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2.8 XF%2DRESILIENT Web Request Policies</w:t>
      </w:r>
    </w:p>
    <w:bookmarkStart w:id="27" w:name="resilient-web-request-policies"/>
    <w:p>
      <w:pPr>
        <w:pStyle w:val="Heading1"/>
      </w:pPr>
      <w:r>
        <w:t xml:space="preserve">Resilient Web Request Policies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Resilient Web Request Policies</w:t>
      </w:r>
      <w:r>
        <w:t xml:space="preserve"> </w:t>
      </w:r>
      <w:r>
        <w:t xml:space="preserve">(</w:t>
      </w:r>
      <w:r>
        <w:rPr>
          <w:b/>
          <w:bCs/>
        </w:rPr>
        <w:t xml:space="preserve">Resilient</w:t>
      </w:r>
      <w:r>
        <w:t xml:space="preserve">) é uma solução que permite condicionalmente aplicar políticas de resiliência e tratamento transitório de falhas a pedidos web gerados em eSpaces de aplicações da plataforma OutSystems.</w:t>
      </w:r>
    </w:p>
    <w:p>
      <w:pPr>
        <w:pStyle w:val="BodyText"/>
      </w:pPr>
      <w:r>
        <w:rPr>
          <w:i/>
          <w:iCs/>
        </w:rPr>
        <w:t xml:space="preserve">TOC</w:t>
      </w:r>
    </w:p>
    <w:bookmarkStart w:id="20" w:name="o-que-compõe-a-solução"/>
    <w:p>
      <w:pPr>
        <w:pStyle w:val="Heading2"/>
      </w:pPr>
      <w:r>
        <w:t xml:space="preserve">O que compõe a solução?</w:t>
      </w:r>
    </w:p>
    <w:p>
      <w:pPr>
        <w:pStyle w:val="Compact"/>
        <w:numPr>
          <w:ilvl w:val="0"/>
          <w:numId w:val="1001"/>
        </w:numPr>
      </w:pPr>
      <w:r>
        <w:t xml:space="preserve">Dynamic Linked Library (DLL), que implementa a interface .NET</w:t>
      </w:r>
      <w:r>
        <w:t xml:space="preserve"> </w:t>
      </w:r>
      <w:r>
        <w:rPr>
          <w:i/>
          <w:iCs/>
        </w:rPr>
        <w:t xml:space="preserve">IWebRequestCreate</w:t>
      </w:r>
      <w:r>
        <w:t xml:space="preserve">, utilizando a livraria</w:t>
      </w:r>
      <w:r>
        <w:t xml:space="preserve"> </w:t>
      </w:r>
      <w:r>
        <w:rPr>
          <w:b/>
          <w:bCs/>
        </w:rPr>
        <w:t xml:space="preserve">Polly</w:t>
      </w:r>
      <w:r>
        <w:t xml:space="preserve"> </w:t>
      </w:r>
      <w:r>
        <w:t xml:space="preserve">para implementar funcionalidades de resiliência e tratamento transitório de falhas.</w:t>
      </w:r>
    </w:p>
    <w:p>
      <w:pPr>
        <w:pStyle w:val="Compact"/>
        <w:numPr>
          <w:ilvl w:val="0"/>
          <w:numId w:val="1001"/>
        </w:numPr>
      </w:pPr>
      <w:r>
        <w:t xml:space="preserve">Aplicação OutSystems</w:t>
      </w:r>
      <w:r>
        <w:t xml:space="preserve"> </w:t>
      </w:r>
      <w:r>
        <w:rPr>
          <w:b/>
          <w:bCs/>
        </w:rPr>
        <w:t xml:space="preserve">Resilient Web Request Policies</w:t>
      </w:r>
      <w:r>
        <w:t xml:space="preserve">, que implementa funcionalidades necessárias para a configuração e distribuição de regras, políticas, medidas, eventos e notificação a</w:t>
      </w:r>
      <w:r>
        <w:t xml:space="preserve"> </w:t>
      </w:r>
      <w:r>
        <w:rPr>
          <w:b/>
          <w:bCs/>
        </w:rPr>
        <w:t xml:space="preserve">instâncias da livraria</w:t>
      </w:r>
      <w:r>
        <w:t xml:space="preserve">, com respectivo</w:t>
      </w:r>
      <w:r>
        <w:t xml:space="preserve"> </w:t>
      </w:r>
      <w:r>
        <w:rPr>
          <w:b/>
          <w:bCs/>
        </w:rPr>
        <w:t xml:space="preserve">BackOffice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Aplicação OutSystems</w:t>
      </w:r>
      <w:r>
        <w:t xml:space="preserve"> </w:t>
      </w:r>
      <w:r>
        <w:rPr>
          <w:b/>
          <w:bCs/>
        </w:rPr>
        <w:t xml:space="preserve">Resilient Web Request Policies Tests</w:t>
      </w:r>
      <w:r>
        <w:t xml:space="preserve">, para executar testes de integração.</w:t>
      </w:r>
    </w:p>
    <w:bookmarkEnd w:id="20"/>
    <w:bookmarkStart w:id="21" w:name="como-funciona"/>
    <w:p>
      <w:pPr>
        <w:pStyle w:val="Heading2"/>
      </w:pPr>
      <w:r>
        <w:t xml:space="preserve">Como funciona?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livraria</w:t>
      </w:r>
      <w:r>
        <w:t xml:space="preserve">, motor central orquestrado pela aplicação OutSystems, é instalada e configurada em OutSystems ao nível de cada eSpace, substituindo a implementação base da interface</w:t>
      </w:r>
      <w:r>
        <w:t xml:space="preserve"> </w:t>
      </w:r>
      <w:r>
        <w:rPr>
          <w:i/>
          <w:iCs/>
        </w:rPr>
        <w:t xml:space="preserve">IWebRequestCreate</w:t>
      </w:r>
      <w:r>
        <w:t xml:space="preserve"> </w:t>
      </w:r>
      <w:r>
        <w:t xml:space="preserve">utilizada pela plataforma na criação de pedidos web.</w:t>
      </w:r>
    </w:p>
    <w:p>
      <w:pPr>
        <w:pStyle w:val="BodyText"/>
      </w:pPr>
      <w:r>
        <w:t xml:space="preserve">Quando instalada no eSpace, qualquer pedido web criado pelo mesmo será capturado e processado por uma instância da livraria, que toma o papel de</w:t>
      </w:r>
      <w:r>
        <w:t xml:space="preserve"> </w:t>
      </w:r>
      <w:r>
        <w:rPr>
          <w:b/>
          <w:bCs/>
        </w:rPr>
        <w:t xml:space="preserve">intermediária</w:t>
      </w:r>
      <w:r>
        <w:t xml:space="preserve"> </w:t>
      </w:r>
      <w:r>
        <w:t xml:space="preserve">entre o eSpace e o destinatário do pedido, aplicando ou não uma política de resiliência ao referido pedido, conforme as regras configuradas.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O Resilient afeta exclusivamente pedidos</w:t>
      </w:r>
      <w:r>
        <w:t xml:space="preserve"> </w:t>
      </w:r>
      <w:r>
        <w:rPr>
          <w:i/>
          <w:iCs/>
        </w:rPr>
        <w:t xml:space="preserve">outbound</w:t>
      </w:r>
      <w:r>
        <w:t xml:space="preserve">, isto é, a pedidos gerados pelo próprio eSpace onde está instalado (seja o destino o próprio eSpace ou qualquer outro ponto).</w:t>
      </w:r>
    </w:p>
    <w:p>
      <w:pPr>
        <w:pStyle w:val="BodyText"/>
      </w:pPr>
      <w:r>
        <w:t xml:space="preserve">Pedidos</w:t>
      </w:r>
      <w:r>
        <w:t xml:space="preserve"> </w:t>
      </w:r>
      <w:r>
        <w:rPr>
          <w:i/>
          <w:iCs/>
        </w:rPr>
        <w:t xml:space="preserve">inbound</w:t>
      </w:r>
      <w:r>
        <w:t xml:space="preserve"> </w:t>
      </w:r>
      <w:r>
        <w:t xml:space="preserve">(e.g. com origem externa ao eSpace) recebidos pelo eSpace com Resilient não são capturados pela sua instância. Por outras palavras, o Resilient funciona na perspetiva de cliente e não de servidor (a limitação pode para já ser contornada, por exemplo, com</w:t>
      </w:r>
      <w:r>
        <w:t xml:space="preserve"> </w:t>
      </w:r>
      <w:r>
        <w:rPr>
          <w:i/>
          <w:iCs/>
        </w:rPr>
        <w:t xml:space="preserve">wrappers</w:t>
      </w:r>
      <w:r>
        <w:t xml:space="preserve">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As instâncias da livraria inicializam com o eSpace e são configuráveis através da implementação em OutSystems de uma API. Ao iniciarem ou serem notificadas de alterações, as instâncias consomem a API, buscando regras, políticas, medidas e eventos ativos. As</w:t>
      </w:r>
      <w:r>
        <w:t xml:space="preserve"> </w:t>
      </w:r>
      <w:r>
        <w:rPr>
          <w:b/>
          <w:bCs/>
        </w:rPr>
        <w:t xml:space="preserve">configurações</w:t>
      </w:r>
      <w:r>
        <w:t xml:space="preserve"> </w:t>
      </w:r>
      <w:r>
        <w:t xml:space="preserve">devolvidas pela API são feitas através do</w:t>
      </w:r>
      <w:r>
        <w:t xml:space="preserve"> </w:t>
      </w:r>
      <w:r>
        <w:rPr>
          <w:b/>
          <w:bCs/>
        </w:rPr>
        <w:t xml:space="preserve">BackOffice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As instâncias da livraria são notificadas de alterações a regras, políticas e medidas e do acontecimento de eventos partilhados através de um ficheiro de notificação (brevemente passará a ser através de mensagens Azure SignalR) numa pasta partilhada, cujo caminho é obtido na referida API. Sempre que o ficheiro é sobrescrito, as instâncias consultam a API.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1"/>
    <w:bookmarkStart w:id="22" w:name="instalação"/>
    <w:p>
      <w:pPr>
        <w:pStyle w:val="Heading2"/>
      </w:pPr>
      <w:r>
        <w:t xml:space="preserve">Instalação</w:t>
      </w:r>
    </w:p>
    <w:p>
      <w:pPr>
        <w:pStyle w:val="FirstParagraph"/>
      </w:pPr>
      <w:r>
        <w:t xml:space="preserve">A instalação do Resilient tem como pré-requisito a distribuição de binários. Há duas formas de distribuir os binários do Resilient num eSpace: por</w:t>
      </w:r>
      <w:r>
        <w:t xml:space="preserve"> </w:t>
      </w:r>
      <w:r>
        <w:rPr>
          <w:b/>
          <w:bCs/>
        </w:rPr>
        <w:t xml:space="preserve">binding dinâmico</w:t>
      </w:r>
      <w:r>
        <w:t xml:space="preserve"> </w:t>
      </w:r>
      <w:r>
        <w:t xml:space="preserve">e por</w:t>
      </w:r>
      <w:r>
        <w:t xml:space="preserve"> </w:t>
      </w:r>
      <w:r>
        <w:rPr>
          <w:b/>
          <w:bCs/>
        </w:rPr>
        <w:t xml:space="preserve">binding estático</w:t>
      </w:r>
      <w:r>
        <w:t xml:space="preserve">:</w:t>
      </w:r>
      <w:r>
        <w:t xml:space="preserve"> </w:t>
      </w:r>
      <w:r>
        <w:t xml:space="preserve">• Por</w:t>
      </w:r>
      <w:r>
        <w:t xml:space="preserve"> </w:t>
      </w:r>
      <w:r>
        <w:rPr>
          <w:b/>
          <w:bCs/>
        </w:rPr>
        <w:t xml:space="preserve">binding dinâmico</w:t>
      </w:r>
      <w:r>
        <w:t xml:space="preserve"> </w:t>
      </w:r>
      <w:r>
        <w:t xml:space="preserve">o eSpace carrega o DLL do Resilient e as suas dependências através de cópias instaladas no Global Assembly Cache (GAC) e numa pasta local.</w:t>
      </w:r>
      <w:r>
        <w:t xml:space="preserve"> </w:t>
      </w:r>
      <w:r>
        <w:t xml:space="preserve">• Por</w:t>
      </w:r>
      <w:r>
        <w:t xml:space="preserve"> </w:t>
      </w:r>
      <w:r>
        <w:rPr>
          <w:b/>
          <w:bCs/>
        </w:rPr>
        <w:t xml:space="preserve">binding estático</w:t>
      </w:r>
      <w:r>
        <w:t xml:space="preserve">, o eSpace carrega o DLL do Resilient e as suas dependências através da associação a uma extensão OutSystems que contém o código da livraria. A associação resulta na compilação e inclusão dos DLL necessários na pasta de binários do eSpace.</w:t>
      </w:r>
      <w:r>
        <w:t xml:space="preserve"> </w:t>
      </w:r>
      <w:r>
        <w:rPr>
          <w:b/>
          <w:bCs/>
        </w:rPr>
        <w:t xml:space="preserve">Este tipo de distribuição está a ser avaliada e não deve ser utilizada fora do contexto de testes</w:t>
      </w:r>
      <w:r>
        <w:t xml:space="preserve">.</w:t>
      </w:r>
    </w:p>
    <w:p>
      <w:pPr>
        <w:pStyle w:val="BodyText"/>
      </w:pPr>
      <w:r>
        <w:t xml:space="preserve">No caso do</w:t>
      </w:r>
      <w:r>
        <w:t xml:space="preserve"> </w:t>
      </w:r>
      <w:r>
        <w:rPr>
          <w:b/>
          <w:bCs/>
        </w:rPr>
        <w:t xml:space="preserve">binding dinâmico</w:t>
      </w:r>
      <w:r>
        <w:t xml:space="preserve">, um pacote ZIP com os binários compilados do Resilient deve ser instalado na GAC e numa pasta local em todos os servidores dos ambientes OutSystems através do BackOffice. O pacote ativo será periodicamente refrescado através de um</w:t>
      </w:r>
      <w:r>
        <w:t xml:space="preserve"> </w:t>
      </w:r>
      <w:r>
        <w:rPr>
          <w:i/>
          <w:iCs/>
        </w:rPr>
        <w:t xml:space="preserve">Timer</w:t>
      </w:r>
      <w:r>
        <w:t xml:space="preserve">, isto é, se houver novos servidores OutSystems adicionados depois do</w:t>
      </w:r>
      <w:r>
        <w:t xml:space="preserve"> </w:t>
      </w:r>
      <w:r>
        <w:rPr>
          <w:i/>
          <w:iCs/>
        </w:rPr>
        <w:t xml:space="preserve">deployment</w:t>
      </w:r>
      <w:r>
        <w:t xml:space="preserve">, serão detectados e o pacote será também instalado neles.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No caso do</w:t>
      </w:r>
      <w:r>
        <w:t xml:space="preserve"> </w:t>
      </w:r>
      <w:r>
        <w:rPr>
          <w:b/>
          <w:bCs/>
        </w:rPr>
        <w:t xml:space="preserve">binding estático</w:t>
      </w:r>
      <w:r>
        <w:t xml:space="preserve">, pode ser por exemplo criado um</w:t>
      </w:r>
      <w:r>
        <w:t xml:space="preserve"> </w:t>
      </w:r>
      <w:r>
        <w:rPr>
          <w:i/>
          <w:iCs/>
        </w:rPr>
        <w:t xml:space="preserve">Timer</w:t>
      </w:r>
      <w:r>
        <w:t xml:space="preserve"> </w:t>
      </w:r>
      <w:r>
        <w:t xml:space="preserve">sem agenda em cada eSpace onde se queira instalar o Resilient, associado a uma</w:t>
      </w:r>
      <w:r>
        <w:t xml:space="preserve"> </w:t>
      </w:r>
      <w:r>
        <w:rPr>
          <w:i/>
          <w:iCs/>
        </w:rPr>
        <w:t xml:space="preserve">Action</w:t>
      </w:r>
      <w:r>
        <w:t xml:space="preserve"> </w:t>
      </w:r>
      <w:r>
        <w:t xml:space="preserve">que chame a</w:t>
      </w:r>
      <w:r>
        <w:t xml:space="preserve"> </w:t>
      </w:r>
      <w:r>
        <w:rPr>
          <w:i/>
          <w:iCs/>
        </w:rPr>
        <w:t xml:space="preserve">Action</w:t>
      </w:r>
      <w:r>
        <w:t xml:space="preserve"> </w:t>
      </w:r>
      <w:r>
        <w:rPr>
          <w:b/>
          <w:bCs/>
          <w:i/>
          <w:iCs/>
        </w:rPr>
        <w:t xml:space="preserve">Bind</w:t>
      </w:r>
      <w:r>
        <w:t xml:space="preserve"> </w:t>
      </w:r>
      <w:r>
        <w:t xml:space="preserve">do eSpace</w:t>
      </w:r>
      <w:r>
        <w:t xml:space="preserve"> </w:t>
      </w:r>
      <w:r>
        <w:rPr>
          <w:b/>
          <w:bCs/>
        </w:rPr>
        <w:t xml:space="preserve">ResiliencePolicies_EXT</w:t>
      </w:r>
      <w:r>
        <w:t xml:space="preserve">.</w:t>
      </w:r>
      <w:r>
        <w:t xml:space="preserve"> </w:t>
      </w:r>
      <w:r>
        <w:rPr>
          <w:b/>
          <w:bCs/>
        </w:rPr>
        <w:t xml:space="preserve">Este tipo de distribuição está a ser avaliada e não deve ser utilizada fora do contexto de testes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Assegurada a distribuição dos binários, em qualquer das suas modalidades, pode-se proceder à instalação do Resilient através de uma</w:t>
      </w:r>
      <w:r>
        <w:t xml:space="preserve"> </w:t>
      </w:r>
      <w:r>
        <w:rPr>
          <w:b/>
          <w:bCs/>
        </w:rPr>
        <w:t xml:space="preserve">Shared Configuration</w:t>
      </w:r>
      <w:r>
        <w:t xml:space="preserve"> </w:t>
      </w:r>
      <w:r>
        <w:t xml:space="preserve">da aplicação</w:t>
      </w:r>
      <w:r>
        <w:t xml:space="preserve"> </w:t>
      </w:r>
      <w:r>
        <w:rPr>
          <w:b/>
          <w:bCs/>
        </w:rPr>
        <w:t xml:space="preserve">Factory Configuration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Shared Configuration</w:t>
      </w:r>
      <w:r>
        <w:t xml:space="preserve">, que possibilita a utilização do Resilient num eSpace, deve incluir:</w:t>
      </w:r>
      <w:r>
        <w:t xml:space="preserve"> </w:t>
      </w:r>
      <w:r>
        <w:t xml:space="preserve">- URL do endpoint da API que fornece caminho do ficheiro de notificação, regras, políticas, medidas e eventos partilhados ativos.</w:t>
      </w:r>
      <w:r>
        <w:t xml:space="preserve"> </w:t>
      </w:r>
      <w:r>
        <w:t xml:space="preserve">- URL do do endpoint da API que regista eventos.</w:t>
      </w:r>
      <w:r>
        <w:t xml:space="preserve"> </w:t>
      </w:r>
      <w:r>
        <w:t xml:space="preserve">- Especificação do DLL do Resilient como módulo criador de pedidos HTTP e HTTPS, para que substitua a implementação base da plataforma.</w:t>
      </w:r>
      <w:r>
        <w:t xml:space="preserve"> </w:t>
      </w:r>
      <w:r>
        <w:t xml:space="preserve">- Especificação do Resilient como módulo HTTP, para</w:t>
      </w:r>
      <w:r>
        <w:t xml:space="preserve"> </w:t>
      </w:r>
      <w:r>
        <w:rPr>
          <w:i/>
          <w:iCs/>
        </w:rPr>
        <w:t xml:space="preserve">eager loading</w:t>
      </w:r>
      <w:r>
        <w:t xml:space="preserve"> </w:t>
      </w:r>
      <w:r>
        <w:t xml:space="preserve">e funcionamento com a livraria</w:t>
      </w:r>
      <w:r>
        <w:t xml:space="preserve"> </w:t>
      </w:r>
      <w:r>
        <w:rPr>
          <w:b/>
          <w:bCs/>
        </w:rPr>
        <w:t xml:space="preserve">DynamicServices</w:t>
      </w:r>
      <w:r>
        <w:t xml:space="preserve">.</w:t>
      </w:r>
    </w:p>
    <w:p>
      <w:pPr>
        <w:pStyle w:val="BodyText"/>
      </w:pPr>
      <w:r>
        <w:t xml:space="preserve">Uma vez:</w:t>
      </w:r>
      <w:r>
        <w:t xml:space="preserve"> </w:t>
      </w:r>
      <w:r>
        <w:t xml:space="preserve">- Garantida a distribuição dos binários;</w:t>
      </w:r>
      <w:r>
        <w:t xml:space="preserve"> </w:t>
      </w:r>
      <w:r>
        <w:t xml:space="preserve">- Associada a Shared Configuration ao eSpace pretendido;</w:t>
      </w:r>
      <w:r>
        <w:t xml:space="preserve"> </w:t>
      </w:r>
      <w:r>
        <w:t xml:space="preserve">- Republicado o eSpace.</w:t>
      </w:r>
    </w:p>
    <w:p>
      <w:pPr>
        <w:pStyle w:val="BodyText"/>
      </w:pPr>
      <w:r>
        <w:t xml:space="preserve">A instalação estará concluída.</w:t>
      </w:r>
    </w:p>
    <w:bookmarkEnd w:id="22"/>
    <w:bookmarkStart w:id="23" w:name="desinstalação"/>
    <w:p>
      <w:pPr>
        <w:pStyle w:val="Heading2"/>
      </w:pPr>
      <w:r>
        <w:t xml:space="preserve">Desinstalação</w:t>
      </w:r>
    </w:p>
    <w:p>
      <w:pPr>
        <w:pStyle w:val="FirstParagraph"/>
      </w:pPr>
      <w:r>
        <w:t xml:space="preserve">Para desfazer a instalação, bastará desassociar a</w:t>
      </w:r>
      <w:r>
        <w:t xml:space="preserve"> </w:t>
      </w:r>
      <w:r>
        <w:rPr>
          <w:b/>
          <w:bCs/>
        </w:rPr>
        <w:t xml:space="preserve">Shared Configuration</w:t>
      </w:r>
      <w:r>
        <w:t xml:space="preserve"> </w:t>
      </w:r>
      <w:r>
        <w:t xml:space="preserve">ao</w:t>
      </w:r>
      <w:r>
        <w:t xml:space="preserve"> </w:t>
      </w:r>
      <w:r>
        <w:rPr>
          <w:b/>
          <w:bCs/>
        </w:rPr>
        <w:t xml:space="preserve">eSpace</w:t>
      </w:r>
      <w:r>
        <w:t xml:space="preserve"> </w:t>
      </w:r>
      <w:r>
        <w:t xml:space="preserve">e republicá-lo.</w:t>
      </w:r>
    </w:p>
    <w:bookmarkEnd w:id="23"/>
    <w:bookmarkStart w:id="25" w:name="configuração"/>
    <w:p>
      <w:pPr>
        <w:pStyle w:val="Heading2"/>
      </w:pPr>
      <w:r>
        <w:t xml:space="preserve">Configuração</w:t>
      </w:r>
    </w:p>
    <w:p>
      <w:pPr>
        <w:pStyle w:val="FirstParagraph"/>
      </w:pPr>
      <w:r>
        <w:t xml:space="preserve">O Resilient funciona configurando as seguintes entidades em</w:t>
      </w:r>
      <w:r>
        <w:t xml:space="preserve"> </w:t>
      </w:r>
      <w:r>
        <w:rPr>
          <w:b/>
          <w:bCs/>
        </w:rPr>
        <w:t xml:space="preserve">BackOffice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Medida</w:t>
      </w:r>
      <w:r>
        <w:t xml:space="preserve">: medida de resiliência (e.g. Circuit-Breaker);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Política</w:t>
      </w:r>
      <w:r>
        <w:t xml:space="preserve">: contentor de medidas que as aplica hierarquicamente (à data é só um embrulho para uma medida Circuit-Breaker);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Regra</w:t>
      </w:r>
      <w:r>
        <w:t xml:space="preserve">: define a que pedidos será aplicada uma política de resiliência.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A aplicação de uma</w:t>
      </w:r>
      <w:r>
        <w:t xml:space="preserve"> </w:t>
      </w:r>
      <w:r>
        <w:rPr>
          <w:b/>
          <w:bCs/>
        </w:rPr>
        <w:t xml:space="preserve">Regra</w:t>
      </w:r>
      <w:r>
        <w:t xml:space="preserve"> </w:t>
      </w:r>
      <w:r>
        <w:t xml:space="preserve">a um pedido é</w:t>
      </w:r>
      <w:r>
        <w:t xml:space="preserve"> </w:t>
      </w:r>
      <w:r>
        <w:rPr>
          <w:b/>
          <w:bCs/>
        </w:rPr>
        <w:t xml:space="preserve">determinada</w:t>
      </w:r>
      <w:r>
        <w:t xml:space="preserve"> </w:t>
      </w:r>
      <w:r>
        <w:t xml:space="preserve">pelo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das suas características com as seguintes configurações de padrões (podem ser padrões</w:t>
      </w:r>
      <w:r>
        <w:t xml:space="preserve"> </w:t>
      </w:r>
      <w:r>
        <w:rPr>
          <w:i/>
          <w:iCs/>
        </w:rPr>
        <w:t xml:space="preserve">wildcard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expressões regulares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Servidor</w:t>
      </w:r>
      <w:r>
        <w:t xml:space="preserve">: o FQDN do servidor de origem (e.g. hluz-sdout04.hluz.ess.local);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Origem</w:t>
      </w:r>
      <w:r>
        <w:t xml:space="preserve">: o caminho e query string da origem do pedido (e.g. /Resilient_Test/Entry.aspx_ts=637898506052892191);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Destino</w:t>
      </w:r>
      <w:r>
        <w:t xml:space="preserve">: o caminho completo do destino do pedido (https://www.google.com/search?q=exemplo).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Regra</w:t>
      </w:r>
      <w:r>
        <w:t xml:space="preserve"> </w:t>
      </w:r>
      <w:r>
        <w:t xml:space="preserve">é também definida pelas seguintes configurações: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Política</w:t>
      </w:r>
      <w:r>
        <w:t xml:space="preserve">: a política que será aplicada aos pedidos que façam match com a regra.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Prioridade</w:t>
      </w:r>
      <w:r>
        <w:t xml:space="preserve">: o nível de prioridade da regra - caso haja mais do que uma regra que faça match ao pedido, a regra com um n.º mais baixo de prioridade é aplicada;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Partilhada</w:t>
      </w:r>
      <w:r>
        <w:t xml:space="preserve">: se uma Regra for partilhada, os eventos de Circuit-Breaker que uma instância lançar serão partilhados e aplicados em outras instâncias paralelas do Resilient;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Início</w:t>
      </w:r>
      <w:r>
        <w:t xml:space="preserve">: a Regra só será aplicada a partir desta data;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Fim</w:t>
      </w:r>
      <w:r>
        <w:t xml:space="preserve">: a Regra deixará de ser aplicada a partir desta data (se não for preenchido, será aplicada indefinidamente)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Ativa/inativa</w:t>
      </w:r>
      <w:r>
        <w:t xml:space="preserve">: a qualquer momento uma Regra poderá ser inativada ou reativada, para forçar que deixe de ser aplicada sem alterar as suas datas.</w:t>
      </w:r>
    </w:p>
    <w:bookmarkStart w:id="24" w:name="medida-circuit-breaker"/>
    <w:p>
      <w:pPr>
        <w:pStyle w:val="Heading3"/>
      </w:pPr>
      <w:r>
        <w:t xml:space="preserve">Medida “Circuit-Breaker”</w:t>
      </w:r>
    </w:p>
    <w:p>
      <w:pPr>
        <w:pStyle w:val="FirstParagraph"/>
      </w:pPr>
      <w:r>
        <w:t xml:space="preserve">Permite proteger um sistema em estado de falha de ser sobrecarregado com pedidos, ajudando-o a recuperar.</w:t>
      </w:r>
    </w:p>
    <w:p>
      <w:pPr>
        <w:pStyle w:val="BodyText"/>
      </w:pPr>
      <w:r>
        <w:t xml:space="preserve">Mitiga situações de falha catastrófica, abrindo o circuito de pedidos web temporariamente quando o n.º de falhas for alto, bloqueando novos pedidos.</w:t>
      </w:r>
    </w:p>
    <w:p>
      <w:pPr>
        <w:pStyle w:val="BodyText"/>
      </w:pPr>
      <w:r>
        <w:rPr>
          <w:b/>
          <w:bCs/>
        </w:rPr>
        <w:t xml:space="preserve">Considera falhas códigos HTTP inferiores a 200 e maiores ou iguais a 500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Tem normalmente três estados: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Aberto</w:t>
      </w:r>
      <w:r>
        <w:t xml:space="preserve">, em que todos os pedidos são aceites.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Fechado</w:t>
      </w:r>
      <w:r>
        <w:t xml:space="preserve">, em que todos os pedidos são rejeitados. Neste estado é devolvido uma resposta com estado</w:t>
      </w:r>
      <w:r>
        <w:t xml:space="preserve"> </w:t>
      </w:r>
      <w:r>
        <w:rPr>
          <w:b/>
          <w:bCs/>
        </w:rPr>
        <w:t xml:space="preserve">HTTP 500</w:t>
      </w:r>
      <w:r>
        <w:t xml:space="preserve"> </w:t>
      </w:r>
      <w:r>
        <w:t xml:space="preserve">(</w:t>
      </w:r>
      <w:r>
        <w:rPr>
          <w:b/>
          <w:bCs/>
        </w:rPr>
        <w:t xml:space="preserve">503</w:t>
      </w:r>
      <w:r>
        <w:t xml:space="preserve"> </w:t>
      </w:r>
      <w:r>
        <w:t xml:space="preserve">se for pelo</w:t>
      </w:r>
      <w:r>
        <w:t xml:space="preserve"> </w:t>
      </w:r>
      <w:r>
        <w:rPr>
          <w:b/>
          <w:bCs/>
        </w:rPr>
        <w:t xml:space="preserve">DynamicServices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Meio-aberto</w:t>
      </w:r>
      <w:r>
        <w:t xml:space="preserve">, transitório, em que um pedido é aceite; caso falhe o estado do circuito volta a aberto, caso não falhe o estado do circuito volta a fechado.</w:t>
      </w:r>
    </w:p>
    <w:p>
      <w:pPr>
        <w:pStyle w:val="BodyText"/>
      </w:pPr>
      <w:r>
        <w:t xml:space="preserve">Em alguns casos poderá ter apenas dois estados, aberto e fechado, sem o estado intermédio, como veremos.</w:t>
      </w:r>
    </w:p>
    <w:p>
      <w:pPr>
        <w:pStyle w:val="BodyText"/>
      </w:pPr>
      <w:r>
        <w:t xml:space="preserve">Em maior detalhe, o ciclo de vida do circuito é o seguinte:</w:t>
      </w:r>
      <w:r>
        <w:t xml:space="preserve"> </w:t>
      </w:r>
      <w:r>
        <w:t xml:space="preserve">- Contabiliza o n.º de pedidos com sucesso e sem sucesso durante uma fatia de tempo (</w:t>
      </w:r>
      <w:r>
        <w:rPr>
          <w:b/>
          <w:bCs/>
        </w:rPr>
        <w:t xml:space="preserve">Sampling Duration</w:t>
      </w:r>
      <w:r>
        <w:t xml:space="preserve">).</w:t>
      </w:r>
      <w:r>
        <w:t xml:space="preserve"> </w:t>
      </w:r>
      <w:r>
        <w:t xml:space="preserve">- Se o n.º total de pedidos excedeu um n.º mínimo (</w:t>
      </w:r>
      <w:r>
        <w:rPr>
          <w:b/>
          <w:bCs/>
        </w:rPr>
        <w:t xml:space="preserve">Minimum Throughput</w:t>
      </w:r>
      <w:r>
        <w:t xml:space="preserve">) continua para o próximo passo, caso contrário volta ao passo anterior.</w:t>
      </w:r>
      <w:r>
        <w:t xml:space="preserve"> </w:t>
      </w:r>
      <w:r>
        <w:t xml:space="preserve">- Se a percentagem de falhas atingiu uma percentagem mínima (</w:t>
      </w:r>
      <w:r>
        <w:rPr>
          <w:b/>
          <w:bCs/>
        </w:rPr>
        <w:t xml:space="preserve">Failure Threshold</w:t>
      </w:r>
      <w:r>
        <w:t xml:space="preserve">) abre o circuito durante uma fatia de tempo (</w:t>
      </w:r>
      <w:r>
        <w:rPr>
          <w:b/>
          <w:bCs/>
        </w:rPr>
        <w:t xml:space="preserve">Duration of Break</w:t>
      </w:r>
      <w:r>
        <w:t xml:space="preserve">), caso contrário volta ao primeiro passo.</w:t>
      </w:r>
      <w:r>
        <w:t xml:space="preserve"> </w:t>
      </w:r>
      <w:r>
        <w:t xml:space="preserve">- O circuito fica meio-aberto e aceita o pedido seguinte; caso falhe, volta a abrir durante a fatia de tempo (passo anterior), caso não falhe, fecha e volta ao primeiro passo.</w:t>
      </w:r>
    </w:p>
    <w:bookmarkEnd w:id="24"/>
    <w:bookmarkEnd w:id="25"/>
    <w:bookmarkStart w:id="26" w:name="evento"/>
    <w:p>
      <w:pPr>
        <w:pStyle w:val="Heading2"/>
      </w:pPr>
      <w:r>
        <w:t xml:space="preserve">Evento</w:t>
      </w:r>
    </w:p>
    <w:p>
      <w:pPr>
        <w:pStyle w:val="FirstParagraph"/>
      </w:pPr>
      <w:r>
        <w:t xml:space="preserve">Um evento é qualquer aplicação no tempo de uma medida de resiliência, despoletada por uma uma política de uma regra (e.g. um Circuit-Breaker aberto em reação a demasiadas falhas de pedidos num determinado intervalo de tempo).</w:t>
      </w:r>
    </w:p>
    <w:p>
      <w:pPr>
        <w:pStyle w:val="BodyText"/>
      </w:pPr>
      <w:r>
        <w:t xml:space="preserve">Os eventos podem ter uma duração temporal em que estão ativos, definida por datas absolutas de início e fim (e.g. Circuit-Breaker aberto entre as 13:00:00 e as 13:10:00 do mesmo dia), ou não (e.g. uma tentativa de Retry).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Há duas formas de criar eventos:</w:t>
      </w:r>
      <w:r>
        <w:t xml:space="preserve"> </w:t>
      </w:r>
      <w:r>
        <w:rPr>
          <w:b/>
          <w:bCs/>
        </w:rPr>
        <w:t xml:space="preserve">criação automática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criação manual</w:t>
      </w:r>
      <w:r>
        <w:t xml:space="preserve">:</w:t>
      </w:r>
      <w:r>
        <w:t xml:space="preserve"> </w:t>
      </w:r>
      <w:r>
        <w:t xml:space="preserve">• Os</w:t>
      </w:r>
      <w:r>
        <w:t xml:space="preserve"> </w:t>
      </w:r>
      <w:r>
        <w:rPr>
          <w:b/>
          <w:bCs/>
        </w:rPr>
        <w:t xml:space="preserve">eventos automáticos</w:t>
      </w:r>
      <w:r>
        <w:t xml:space="preserve"> </w:t>
      </w:r>
      <w:r>
        <w:t xml:space="preserve">são resultado de regras aplicadas por uma instância.</w:t>
      </w:r>
      <w:r>
        <w:t xml:space="preserve"> </w:t>
      </w:r>
      <w:r>
        <w:t xml:space="preserve">• Os</w:t>
      </w:r>
      <w:r>
        <w:t xml:space="preserve"> </w:t>
      </w:r>
      <w:r>
        <w:rPr>
          <w:b/>
          <w:bCs/>
        </w:rPr>
        <w:t xml:space="preserve">eventos manuais</w:t>
      </w:r>
      <w:r>
        <w:t xml:space="preserve"> </w:t>
      </w:r>
      <w:r>
        <w:t xml:space="preserve">são criados ad hoc no BackOffice por utilizadores (podendo ser apenas do tipo Circuit-Breaker). Estes eventos podem também ser cancelados a qualquer momento.</w:t>
      </w:r>
    </w:p>
    <w:p>
      <w:pPr>
        <w:pStyle w:val="BodyText"/>
      </w:pPr>
      <w:r>
        <w:t xml:space="preserve">Há dois tipos de eventos:</w:t>
      </w:r>
      <w:r>
        <w:t xml:space="preserve"> </w:t>
      </w:r>
      <w:r>
        <w:rPr>
          <w:b/>
          <w:bCs/>
        </w:rPr>
        <w:t xml:space="preserve">eventos partilhados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eventos não-partilhados</w:t>
      </w:r>
      <w:r>
        <w:t xml:space="preserve">:</w:t>
      </w:r>
      <w:r>
        <w:t xml:space="preserve"> </w:t>
      </w:r>
      <w:r>
        <w:t xml:space="preserve">• Os</w:t>
      </w:r>
      <w:r>
        <w:t xml:space="preserve"> </w:t>
      </w:r>
      <w:r>
        <w:rPr>
          <w:b/>
          <w:bCs/>
        </w:rPr>
        <w:t xml:space="preserve">eventos partilhados</w:t>
      </w:r>
      <w:r>
        <w:t xml:space="preserve"> </w:t>
      </w:r>
      <w:r>
        <w:t xml:space="preserve">são registados no BackOffice pelas instâncias ou manualmente, e partilhados com todas as instâncias paralelas do Resilient, isto é, às mesmas regras.</w:t>
      </w:r>
      <w:r>
        <w:t xml:space="preserve"> </w:t>
      </w:r>
      <w:r>
        <w:t xml:space="preserve">• Os</w:t>
      </w:r>
      <w:r>
        <w:t xml:space="preserve"> </w:t>
      </w:r>
      <w:r>
        <w:rPr>
          <w:b/>
          <w:bCs/>
        </w:rPr>
        <w:t xml:space="preserve">eventos não-partilhados</w:t>
      </w:r>
      <w:r>
        <w:t xml:space="preserve"> </w:t>
      </w:r>
      <w:r>
        <w:t xml:space="preserve">são registados no BackOffice pelas instâncias do Resilient e não são partilhados com as instâncias paralelas do Resilience.</w:t>
      </w:r>
    </w:p>
    <w:p>
      <w:pPr>
        <w:pStyle w:val="BodyText"/>
      </w:pPr>
      <w:r>
        <w:t xml:space="preserve">Os eventos de</w:t>
      </w:r>
      <w:r>
        <w:t xml:space="preserve"> </w:t>
      </w:r>
      <w:r>
        <w:rPr>
          <w:b/>
          <w:bCs/>
        </w:rPr>
        <w:t xml:space="preserve">Circuit-Breaker</w:t>
      </w:r>
      <w:r>
        <w:t xml:space="preserve"> </w:t>
      </w:r>
      <w:r>
        <w:t xml:space="preserve">têm dois ciclos de vida diferentes, conforme o contexto em que ocorrem:</w:t>
      </w:r>
      <w:r>
        <w:t xml:space="preserve"> </w:t>
      </w:r>
      <w:r>
        <w:t xml:space="preserve">• Os</w:t>
      </w:r>
      <w:r>
        <w:t xml:space="preserve"> </w:t>
      </w:r>
      <w:r>
        <w:rPr>
          <w:b/>
          <w:bCs/>
        </w:rPr>
        <w:t xml:space="preserve">eventos automáticos</w:t>
      </w:r>
      <w:r>
        <w:t xml:space="preserve"> </w:t>
      </w:r>
      <w:r>
        <w:t xml:space="preserve">na instância de origem têm os três estados já explicados:</w:t>
      </w:r>
      <w:r>
        <w:t xml:space="preserve"> </w:t>
      </w:r>
      <w:r>
        <w:rPr>
          <w:b/>
          <w:bCs/>
        </w:rPr>
        <w:t xml:space="preserve">aberto</w:t>
      </w:r>
      <w:r>
        <w:t xml:space="preserve">,</w:t>
      </w:r>
      <w:r>
        <w:t xml:space="preserve"> </w:t>
      </w:r>
      <w:r>
        <w:rPr>
          <w:b/>
          <w:bCs/>
        </w:rPr>
        <w:t xml:space="preserve">meio-aberto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fechado</w:t>
      </w:r>
      <w:r>
        <w:t xml:space="preserve">.</w:t>
      </w:r>
      <w:r>
        <w:t xml:space="preserve"> </w:t>
      </w:r>
      <w:r>
        <w:t xml:space="preserve">• Os</w:t>
      </w:r>
      <w:r>
        <w:t xml:space="preserve"> </w:t>
      </w:r>
      <w:r>
        <w:rPr>
          <w:b/>
          <w:bCs/>
        </w:rPr>
        <w:t xml:space="preserve">eventos automáticos nas instâncias distribuídas</w:t>
      </w:r>
      <w:r>
        <w:t xml:space="preserve"> </w:t>
      </w:r>
      <w:r>
        <w:t xml:space="preserve">têm dois estados:</w:t>
      </w:r>
      <w:r>
        <w:t xml:space="preserve"> </w:t>
      </w:r>
      <w:r>
        <w:rPr>
          <w:b/>
          <w:bCs/>
        </w:rPr>
        <w:t xml:space="preserve">aberto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fechado</w:t>
      </w:r>
      <w:r>
        <w:t xml:space="preserve">.</w:t>
      </w:r>
      <w:r>
        <w:t xml:space="preserve"> </w:t>
      </w:r>
      <w:r>
        <w:t xml:space="preserve">• Os</w:t>
      </w:r>
      <w:r>
        <w:t xml:space="preserve"> </w:t>
      </w:r>
      <w:r>
        <w:rPr>
          <w:b/>
          <w:bCs/>
        </w:rPr>
        <w:t xml:space="preserve">eventos manuais</w:t>
      </w:r>
      <w:r>
        <w:t xml:space="preserve"> </w:t>
      </w:r>
      <w:r>
        <w:t xml:space="preserve">têm, à semelhança dos anteriores, dois estados:</w:t>
      </w:r>
      <w:r>
        <w:t xml:space="preserve"> </w:t>
      </w:r>
      <w:r>
        <w:rPr>
          <w:b/>
          <w:bCs/>
        </w:rPr>
        <w:t xml:space="preserve">aberto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fechado</w:t>
      </w:r>
      <w:r>
        <w:t xml:space="preserve">.</w:t>
      </w:r>
    </w:p>
    <w:p>
      <w:pPr>
        <w:pStyle w:val="BodyText"/>
      </w:pPr>
    </w:p>
    <w:bookmarkEnd w:id="26"/>
    <w:bookmarkEnd w:id="27"/>
    <w:bookmarkStart w:id="28" w:name="video"/>
    <w:p>
      <w:pPr>
        <w:pStyle w:val="Heading1"/>
      </w:pPr>
      <w:r>
        <w:t xml:space="preserve">VIDEO:</w:t>
      </w:r>
    </w:p>
    <w:p>
      <w:pPr>
        <w:pStyle w:val="FirstParagraph"/>
      </w:pPr>
      <w:r>
        <w:t xml:space="preserve">https://luzsaude.sharepoint.com/:v:/r/sites/SW_FACTORY/Documentos%20Partilhados/Governance,%20Rules%20and%20Guidelines/Servi%C3%A7os%20e%20Opera%C3%A7%C3%B5es/Configuration%20Items/Resilient/Resilient%20Web%20Services%20Parte%202.1-20220519_103604-Meeting%20Recording_8B0475A0-BF7A-4742-9860-F2E8B9B4AF262022-05-19T03-05-12.mp4?csf=1&amp;web=1&amp;e=RPPADI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2.8 XF%2DRESILIENT Web Request Policies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