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3.2.2 Aplicações</w:t>
      </w:r>
    </w:p>
    <w:p>
      <w:pPr>
        <w:pStyle w:val="FirstParagraph"/>
      </w:pPr>
      <w:r>
        <w:t xml:space="preserve">A criação de Aplicações Outsystems vai ser feita com o Seguinte Padrão:​</w:t>
      </w:r>
    </w:p>
    <w:p>
      <w:pPr>
        <w:numPr>
          <w:ilvl w:val="0"/>
          <w:numId w:val="1001"/>
        </w:numPr>
      </w:pPr>
      <w:r>
        <w:t xml:space="preserve">[CodigoDomain] [Opcional]​</w:t>
      </w:r>
    </w:p>
    <w:p>
      <w:pPr>
        <w:numPr>
          <w:ilvl w:val="0"/>
          <w:numId w:val="1001"/>
        </w:numPr>
      </w:pPr>
      <w:r>
        <w:t xml:space="preserve">Domain tudo em letras maiúsculas e o opcional pode ser com espaços e em CamelCase​</w:t>
      </w:r>
    </w:p>
    <w:p>
      <w:pPr>
        <w:numPr>
          <w:ilvl w:val="0"/>
          <w:numId w:val="1001"/>
        </w:numPr>
      </w:pPr>
      <w:r>
        <w:t xml:space="preserve">Deve ser solicitado ao TL do projeto, em caso de ausência, deve ser solicitado a SQUAD Purple​</w:t>
      </w:r>
    </w:p>
    <w:p>
      <w:pPr>
        <w:pStyle w:val="FirstParagraph"/>
      </w:pPr>
      <w:r>
        <w:t xml:space="preserve">Ex. CCR Clientes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3.2.2 Aplicações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