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3.3.2 Índices em Tabelas Particionadas</w:t>
      </w:r>
    </w:p>
    <w:p>
      <w:pPr>
        <w:pStyle w:val="FirstParagraph"/>
      </w:pPr>
      <w:r>
        <w:t xml:space="preserve">Após implementar o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particionamento de tabelas</w:t>
        </w:r>
      </w:hyperlink>
      <w:r>
        <w:t xml:space="preserve"> </w:t>
      </w:r>
      <w:r>
        <w:t xml:space="preserve">(</w:t>
      </w:r>
      <w:r>
        <w:t xml:space="preserve">“table partitioning”</w:t>
      </w:r>
      <w:r>
        <w:t xml:space="preserve">), é crítico rever a estratégia de indexação.</w:t>
      </w:r>
      <w:r>
        <w:t xml:space="preserve"> </w:t>
      </w:r>
      <w:r>
        <w:t xml:space="preserve">O particionamento altera fisicamente a distribuição dos dados e, se ignorado, pode causar degradação de performance e impedir funcionalidades essenciais como o </w:t>
      </w:r>
      <w:r>
        <w:rPr>
          <w:i/>
          <w:iCs/>
        </w:rPr>
        <w:t xml:space="preserve">partition pruning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i/>
          <w:iCs/>
        </w:rPr>
        <w:t xml:space="preserve">Índices Locais (Local Indexes)</w:t>
      </w:r>
    </w:p>
    <w:p>
      <w:pPr>
        <w:numPr>
          <w:ilvl w:val="1"/>
          <w:numId w:val="1002"/>
        </w:numPr>
      </w:pPr>
      <w:r>
        <w:rPr>
          <w:b/>
          <w:bCs/>
          <w:i/>
          <w:iCs/>
        </w:rPr>
        <w:t xml:space="preserve">Recomendação:</w:t>
      </w:r>
      <w:r>
        <w:t xml:space="preserve"> Devem ser a escolha preferencial.</w:t>
      </w:r>
    </w:p>
    <w:p>
      <w:pPr>
        <w:numPr>
          <w:ilvl w:val="1"/>
          <w:numId w:val="1002"/>
        </w:numPr>
      </w:pPr>
      <w:r>
        <w:rPr>
          <w:b/>
          <w:bCs/>
          <w:i/>
          <w:iCs/>
        </w:rPr>
        <w:t xml:space="preserve">Porquê:</w:t>
      </w:r>
      <w:r>
        <w:t xml:space="preserve"> Estão alinhados 1 para 1 com as partições da tabela.</w:t>
      </w:r>
    </w:p>
    <w:p>
      <w:pPr>
        <w:numPr>
          <w:ilvl w:val="1"/>
          <w:numId w:val="1002"/>
        </w:numPr>
      </w:pPr>
      <w:r>
        <w:rPr>
          <w:b/>
          <w:bCs/>
          <w:i/>
          <w:iCs/>
        </w:rPr>
        <w:t xml:space="preserve">Vantagens:</w:t>
      </w:r>
    </w:p>
    <w:p>
      <w:pPr>
        <w:numPr>
          <w:ilvl w:val="2"/>
          <w:numId w:val="1003"/>
        </w:numPr>
      </w:pPr>
      <w:r>
        <w:t xml:space="preserve">Permitem operações de manutenção (DROP, SPLIT, MERGE) sem afetar outras partições.</w:t>
      </w:r>
    </w:p>
    <w:p>
      <w:pPr>
        <w:numPr>
          <w:ilvl w:val="2"/>
          <w:numId w:val="1003"/>
        </w:numPr>
      </w:pPr>
      <w:r>
        <w:t xml:space="preserve">Suportam </w:t>
      </w:r>
      <w:r>
        <w:rPr>
          <w:i/>
          <w:iCs/>
        </w:rPr>
        <w:t xml:space="preserve">Rebuilds</w:t>
      </w:r>
      <w:r>
        <w:t xml:space="preserve"> isolados por partição.</w:t>
      </w:r>
    </w:p>
    <w:p>
      <w:pPr>
        <w:numPr>
          <w:ilvl w:val="2"/>
          <w:numId w:val="1003"/>
        </w:numPr>
      </w:pPr>
      <w:r>
        <w:t xml:space="preserve">Maximizam a eficiência do </w:t>
      </w:r>
      <w:r>
        <w:rPr>
          <w:i/>
          <w:iCs/>
        </w:rPr>
        <w:t xml:space="preserve">partition pruning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i/>
          <w:iCs/>
        </w:rPr>
        <w:t xml:space="preserve">Índices Globais (Global Indexes)</w:t>
      </w:r>
    </w:p>
    <w:p>
      <w:pPr>
        <w:numPr>
          <w:ilvl w:val="1"/>
          <w:numId w:val="1004"/>
        </w:numPr>
      </w:pPr>
      <w:r>
        <w:rPr>
          <w:b/>
          <w:bCs/>
          <w:i/>
          <w:iCs/>
        </w:rPr>
        <w:t xml:space="preserve">Recomendação:</w:t>
      </w:r>
      <w:r>
        <w:t xml:space="preserve"> Utilizar apenas quando estritamente necessário (ex: impor unicidade numa coluna que não é a chave de partição).</w:t>
      </w:r>
    </w:p>
    <w:p>
      <w:pPr>
        <w:numPr>
          <w:ilvl w:val="1"/>
          <w:numId w:val="1004"/>
        </w:numPr>
      </w:pPr>
      <w:r>
        <w:rPr>
          <w:b/>
          <w:bCs/>
          <w:i/>
          <w:iCs/>
        </w:rPr>
        <w:t xml:space="preserve">Riscos:</w:t>
      </w:r>
      <w:r>
        <w:t xml:space="preserve"> Qualquer manutenção na tabela pode deixar o índice inteiro </w:t>
      </w:r>
      <w:r>
        <w:rPr>
          <w:b/>
          <w:bCs/>
        </w:rPr>
        <w:t xml:space="preserve">UNUSABLE</w:t>
      </w:r>
      <w:r>
        <w:t xml:space="preserve">, exigindo um </w:t>
      </w:r>
      <w:r>
        <w:rPr>
          <w:i/>
          <w:iCs/>
        </w:rPr>
        <w:t xml:space="preserve">rebuild</w:t>
      </w:r>
      <w:r>
        <w:t xml:space="preserve"> completo e imediato, o que impacta severamente a disponibilidade.</w:t>
      </w:r>
    </w:p>
    <w:p>
      <w:pPr>
        <w:numPr>
          <w:ilvl w:val="1"/>
          <w:numId w:val="1004"/>
        </w:numPr>
      </w:pPr>
      <w:r>
        <w:rPr>
          <w:b/>
          <w:bCs/>
          <w:i/>
          <w:iCs/>
        </w:rPr>
        <w:t xml:space="preserve">Mitigação:</w:t>
      </w:r>
      <w:r>
        <w:t xml:space="preserve"> Se for inevitável, preferir </w:t>
      </w:r>
      <w:r>
        <w:rPr>
          <w:b/>
          <w:bCs/>
        </w:rPr>
        <w:t xml:space="preserve">índices globais particionados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Regra geral:</w:t>
      </w:r>
    </w:p>
    <w:p>
      <w:pPr>
        <w:numPr>
          <w:ilvl w:val="0"/>
          <w:numId w:val="1005"/>
        </w:numPr>
      </w:pPr>
      <w:r>
        <w:rPr>
          <w:b/>
          <w:bCs/>
          <w:i/>
          <w:iCs/>
        </w:rPr>
        <w:t xml:space="preserve">LOCAL:</w:t>
      </w:r>
      <w:r>
        <w:t xml:space="preserve"> Para simplificar manutenção e garantir previsibilidade.</w:t>
      </w:r>
    </w:p>
    <w:p>
      <w:pPr>
        <w:numPr>
          <w:ilvl w:val="0"/>
          <w:numId w:val="1005"/>
        </w:numPr>
      </w:pPr>
      <w:r>
        <w:rPr>
          <w:b/>
          <w:bCs/>
          <w:i/>
          <w:iCs/>
        </w:rPr>
        <w:t xml:space="preserve">GLOBAL:</w:t>
      </w:r>
      <w:r>
        <w:t xml:space="preserve"> Apenas excepções lógicas, com procedimentos de manutenção documentados</w:t>
      </w:r>
    </w:p>
    <w:bookmarkStart w:id="21" w:name="orientação-técnica"/>
    <w:p>
      <w:pPr>
        <w:pStyle w:val="Heading1"/>
      </w:pPr>
      <w:r>
        <w:t xml:space="preserve">Orientação Técnica</w:t>
      </w:r>
    </w:p>
    <w:p>
      <w:pPr>
        <w:pStyle w:val="Compact"/>
        <w:numPr>
          <w:ilvl w:val="0"/>
          <w:numId w:val="1006"/>
        </w:numPr>
      </w:pPr>
      <w:r>
        <w:t xml:space="preserve">****Passo 1: Remoção de Índices Antigos****</w:t>
      </w:r>
    </w:p>
    <w:p>
      <w:pPr>
        <w:pStyle w:val="FirstParagraph"/>
      </w:pPr>
      <w:r>
        <w:t xml:space="preserve">Devemos começar por remover os índices globais existentes. Esta operação deve ser refletida no </w:t>
      </w:r>
      <w:r>
        <w:rPr>
          <w:b/>
          <w:bCs/>
        </w:rPr>
        <w:t xml:space="preserve">Service Studio (OutSystems)</w:t>
      </w:r>
      <w:r>
        <w:t xml:space="preserve">, apagando os índices na definição da entidade, pois não é possível criar índices locais em atributos que já possuam índices globais geridos pela plataforma.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nome_do_indice;</w:t>
      </w:r>
    </w:p>
    <w:p>
      <w:pPr>
        <w:pStyle w:val="Compact"/>
        <w:numPr>
          <w:ilvl w:val="0"/>
          <w:numId w:val="1007"/>
        </w:numPr>
      </w:pPr>
      <w:r>
        <w:t xml:space="preserve">****Passo 2: Criação de Índices Locais com Paralelismo****</w:t>
      </w:r>
    </w:p>
    <w:p>
      <w:pPr>
        <w:pStyle w:val="FirstParagraph"/>
      </w:pPr>
      <w:r>
        <w:t xml:space="preserve">Recriar os índices como </w:t>
      </w:r>
      <w:r>
        <w:rPr>
          <w:rStyle w:val="VerbatimChar"/>
        </w:rPr>
        <w:t xml:space="preserve">LOCAL</w:t>
      </w:r>
      <w:r>
        <w:t xml:space="preserve"> na tabela particionada. Como esta operação bloqueia a tabela (</w:t>
      </w:r>
      <w:r>
        <w:rPr>
          <w:i/>
          <w:iCs/>
        </w:rPr>
        <w:t xml:space="preserve">table lock</w:t>
      </w:r>
      <w:r>
        <w:t xml:space="preserve">), utilizamos a cláusula </w:t>
      </w:r>
      <w:r>
        <w:rPr>
          <w:rStyle w:val="VerbatimChar"/>
        </w:rPr>
        <w:t xml:space="preserve">PARALLEL</w:t>
      </w:r>
      <w:r>
        <w:t xml:space="preserve"> para acelerar o processo e reduzir a janela de indisponibilidade (</w:t>
      </w:r>
      <w:r>
        <w:rPr>
          <w:i/>
          <w:iCs/>
        </w:rPr>
        <w:t xml:space="preserve">downtime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nome_do_indice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nome_da_tabela (coluna1, coluna2) 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PARALLEL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Substitua 4 pelo grau de paralelismo desejado (ex: 8, 16)</w:t>
      </w:r>
    </w:p>
    <w:p>
      <w:pPr>
        <w:pStyle w:val="Compact"/>
        <w:numPr>
          <w:ilvl w:val="0"/>
          <w:numId w:val="1008"/>
        </w:numPr>
      </w:pPr>
      <w:r>
        <w:t xml:space="preserve">****Passo 3: Desativar Paralelismo Pós-Criação****</w:t>
      </w:r>
    </w:p>
    <w:p>
      <w:pPr>
        <w:pStyle w:val="FirstParagraph"/>
      </w:pPr>
      <w:r>
        <w:t xml:space="preserve">O Oracle persiste a configuração de paralelismo do índice, o que pode levar a que queries OLTP simples tentem correr em paralelo desnecessariamente. É </w:t>
      </w:r>
      <w:r>
        <w:rPr>
          <w:b/>
          <w:bCs/>
        </w:rPr>
        <w:t xml:space="preserve">obrigatório</w:t>
      </w:r>
      <w:r>
        <w:t xml:space="preserve"> repor o comportamento logo após a criação.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nome_do_indice </w:t>
      </w:r>
      <w:r>
        <w:rPr>
          <w:rStyle w:val="KeywordTok"/>
        </w:rPr>
        <w:t xml:space="preserve">NOPARALLEL</w:t>
      </w:r>
      <w:r>
        <w:rPr>
          <w:rStyle w:val="NormalTok"/>
        </w:rPr>
        <w:t xml:space="preserve">;</w:t>
      </w:r>
    </w:p>
    <w:bookmarkEnd w:id="21"/>
    <w:bookmarkStart w:id="22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adoção correta de índices locais transcende a performance de leitura; é um pilar fundamental da </w:t>
      </w:r>
      <w:r>
        <w:rPr>
          <w:b/>
          <w:bCs/>
        </w:rPr>
        <w:t xml:space="preserve">disponibilidade e gestão do ciclo de vida dos dados (ILM)</w:t>
      </w:r>
      <w:r>
        <w:t xml:space="preserve">.</w:t>
      </w:r>
      <w:r>
        <w:t xml:space="preserve"> </w:t>
      </w:r>
      <w:r>
        <w:t xml:space="preserve">Numa arquitetura particionada, a escolha errada do tipo de índice transforma operações de rotina (como arquivar dados históricos) em eventos críticos de indisponibilidade.</w:t>
      </w:r>
      <w:r>
        <w:t xml:space="preserve"> </w:t>
      </w:r>
      <w:r>
        <w:t xml:space="preserve">Portanto, a validação da estratégia de índices é um requisito obrigatório no </w:t>
      </w:r>
      <w:r>
        <w:rPr>
          <w:i/>
          <w:iCs/>
        </w:rPr>
        <w:t xml:space="preserve">Definition of Done</w:t>
      </w:r>
      <w:r>
        <w:t xml:space="preserve"> de qualquer modelo de dados particionado, garantindo que a escalabilidade da tabela é acompanhada pela escalabilidade da sua manutenção.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5.-&#128203;-Guidelines/5.2-DataBase-Design/5.2.3-&#205;ndices-em-Tabelas-Particionad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5.-&#128203;-Guidelines/5.2-DataBase-Design/5.2.3-&#205;ndices-em-Tabelas-Particionad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3.3.2 Índices em Tabelas Particionadas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