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4. 📘 Guias de Implementação</w:t>
      </w:r>
    </w:p>
    <w:p>
      <w:pPr>
        <w:pStyle w:val="FirstParagraph"/>
      </w:pPr>
      <w:r>
        <w:rPr>
          <w:b/>
          <w:bCs/>
        </w:rPr>
        <w:t xml:space="preserve">ToDo</w:t>
      </w:r>
    </w:p>
    <w:p>
      <w:pPr>
        <w:pStyle w:val="BodyText"/>
      </w:pPr>
      <w:r>
        <w:t xml:space="preserve">-Implementação Firebase - Pedro Tubal</w:t>
      </w:r>
      <w:r>
        <w:t xml:space="preserve"> </w:t>
      </w:r>
      <w:r>
        <w:t xml:space="preserve">-Implementação de BDDS - Pedro Tubal</w:t>
      </w:r>
      <w:r>
        <w:t xml:space="preserve"> </w:t>
      </w:r>
      <w:r>
        <w:t xml:space="preserve">-Rever guia pubsub - Pedro Tubal</w:t>
      </w:r>
      <w:r>
        <w:t xml:space="preserve"> </w:t>
      </w:r>
      <w:r>
        <w:t xml:space="preserve">-Autenticação OTP;</w:t>
      </w:r>
      <w:r>
        <w:t xml:space="preserve"> </w:t>
      </w:r>
      <w:r>
        <w:t xml:space="preserve">-Envio de SMS’s;</w:t>
      </w:r>
      <w:r>
        <w:t xml:space="preserve"> </w:t>
      </w:r>
      <w:r>
        <w:t xml:space="preserve">-Envio de Emails;</w:t>
      </w:r>
    </w:p>
    <w:p>
      <w:pPr>
        <w:pStyle w:val="BodyText"/>
      </w:pPr>
      <w:r>
        <w:t xml:space="preserve">-Funcionamento de API’s da LiveApi</w:t>
      </w:r>
      <w:r>
        <w:t xml:space="preserve"> </w:t>
      </w:r>
      <w:r>
        <w:t xml:space="preserve">* (pode ser erro apesar de 200), usar campo hasError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 📘 Guias de Implementação</dc:title>
  <dc:creator/>
  <cp:keywords/>
  <dcterms:created xsi:type="dcterms:W3CDTF">2026-05-12T12:13:18Z</dcterms:created>
  <dcterms:modified xsi:type="dcterms:W3CDTF">2026-05-12T12:13:18Z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