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em UTC</w:t>
      </w:r>
    </w:p>
    <w:p>
      <w:pPr>
        <w:pStyle w:val="FirstParagraph"/>
      </w:pPr>
    </w:p>
    <w:bookmarkStart w:id="26" w:name="guideline-guideline"/>
    <w:p>
      <w:pPr>
        <w:pStyle w:val="Heading1"/>
      </w:pPr>
      <w:r>
        <w:t xml:space="preserve">Guideline : [Guideline]</w:t>
      </w:r>
    </w:p>
    <w:p>
      <w:pPr>
        <w:pStyle w:val="FirstParagraph"/>
      </w:pPr>
      <w:r>
        <w:t xml:space="preserve">[BREVE_DESCRICAO]</w:t>
      </w:r>
    </w:p>
    <w:bookmarkStart w:id="21" w:name="nfr"/>
    <w:p>
      <w:pPr>
        <w:pStyle w:val="Heading2"/>
      </w:pPr>
      <w:r>
        <w:t xml:space="preserve">NFR:</w:t>
      </w:r>
    </w:p>
    <w:p>
      <w:pPr>
        <w:pStyle w:val="FirstParagraph"/>
      </w:pPr>
      <w:hyperlink r:id="rId20">
        <w:r>
          <w:rPr>
            <w:rStyle w:val="Hyperlink"/>
          </w:rPr>
          <w:t xml:space="preserve">Top 10 Architecture Characteristics / Non-Functional Requirements with Cheatsheet | by Love Sharma | ByteByteGo System Design Alliance | Medium</w:t>
        </w:r>
      </w:hyperlink>
    </w:p>
    <w:bookmarkEnd w:id="21"/>
    <w:bookmarkStart w:id="22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VALUESET:</w:t>
      </w:r>
    </w:p>
    <w:p>
      <w:pPr>
        <w:pStyle w:val="Compact"/>
        <w:numPr>
          <w:ilvl w:val="0"/>
          <w:numId w:val="1001"/>
        </w:numPr>
      </w:pPr>
      <w:r>
        <w:t xml:space="preserve">Modelo de Dados</w:t>
      </w:r>
    </w:p>
    <w:p>
      <w:pPr>
        <w:pStyle w:val="Compact"/>
        <w:numPr>
          <w:ilvl w:val="0"/>
          <w:numId w:val="1001"/>
        </w:numPr>
      </w:pPr>
      <w:r>
        <w:t xml:space="preserve">Processamento Assíncrono/Timers</w:t>
      </w:r>
    </w:p>
    <w:p>
      <w:pPr>
        <w:pStyle w:val="Compact"/>
        <w:numPr>
          <w:ilvl w:val="0"/>
          <w:numId w:val="1001"/>
        </w:numPr>
      </w:pPr>
      <w:r>
        <w:t xml:space="preserve">Arquitetura de Referência</w:t>
      </w:r>
    </w:p>
    <w:p>
      <w:pPr>
        <w:pStyle w:val="Compact"/>
        <w:numPr>
          <w:ilvl w:val="0"/>
          <w:numId w:val="1001"/>
        </w:numPr>
      </w:pPr>
      <w:r>
        <w:t xml:space="preserve">etc…</w:t>
      </w:r>
    </w:p>
    <w:bookmarkEnd w:id="22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[Como Implementar]</w:t>
      </w:r>
    </w:p>
    <w:p>
      <w:pPr>
        <w:pStyle w:val="BodyText"/>
      </w:pPr>
      <w:r>
        <w:t xml:space="preserve">##Auditoria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2"/>
        </w:numPr>
      </w:pPr>
      <w:r>
        <w:t xml:space="preserve">CheckList 1</w:t>
      </w:r>
    </w:p>
    <w:p>
      <w:pPr>
        <w:pStyle w:val="Compact"/>
        <w:numPr>
          <w:ilvl w:val="0"/>
          <w:numId w:val="1003"/>
        </w:numPr>
      </w:pPr>
      <w:r>
        <w:t xml:space="preserve">CheckList 2</w:t>
      </w:r>
    </w:p>
    <w:p>
      <w:pPr>
        <w:pStyle w:val="Compact"/>
        <w:numPr>
          <w:ilvl w:val="0"/>
          <w:numId w:val="1004"/>
        </w:numPr>
      </w:pPr>
      <w:r>
        <w:t xml:space="preserve">CheckList 3</w:t>
      </w:r>
    </w:p>
    <w:p>
      <w:pPr>
        <w:pStyle w:val="Compact"/>
        <w:numPr>
          <w:ilvl w:val="0"/>
          <w:numId w:val="1005"/>
        </w:numPr>
      </w:pPr>
      <w:r>
        <w:t xml:space="preserve">CheckList 4</w:t>
      </w:r>
    </w:p>
    <w:p>
      <w:pPr>
        <w:pStyle w:val="Compact"/>
        <w:numPr>
          <w:ilvl w:val="0"/>
          <w:numId w:val="1006"/>
        </w:numPr>
      </w:pPr>
      <w:r>
        <w:t xml:space="preserve">CheckList 5</w:t>
      </w:r>
    </w:p>
    <w:bookmarkEnd w:id="23"/>
    <w:bookmarkEnd w:id="24"/>
    <w:bookmarkStart w:id="25" w:name="monitorização-automáticomanual"/>
    <w:p>
      <w:pPr>
        <w:pStyle w:val="Heading2"/>
      </w:pPr>
      <w:r>
        <w:t xml:space="preserve">Monitorização Automático/Manual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edium.com/bytebytego-system-design-alliance/top-10-architecture-characteristics-non-functional-requirements-with-cheatsheat-7ad14bbb0a9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edium.com/bytebytego-system-design-alliance/top-10-architecture-characteristics-non-functional-requirements-with-cheatsheat-7ad14bbb0a9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em UTC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