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APIM Consumidores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Permitir rastrear a origem dos pedidos desde o cliente até ao destino para efeitos de debug, monitorização e análise.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Através da SubscriptionKey de APIM é possível deduzir a SubscriptionName.</w:t>
      </w:r>
    </w:p>
    <w:p>
      <w:pPr>
        <w:pStyle w:val="BodyText"/>
      </w:pPr>
      <w:r>
        <w:t xml:space="preserve">A Subscription Name é composta por</w:t>
      </w:r>
      <w:r>
        <w:t xml:space="preserve"> </w:t>
      </w:r>
      <w:r>
        <w:rPr>
          <w:rStyle w:val="VerbatimChar"/>
        </w:rPr>
        <w:t xml:space="preserve">CodigoApplicacao || '-' || ProdutoApim</w:t>
      </w:r>
      <w:r>
        <w:t xml:space="preserve">, pelo que é possível injectar em em headers nos backends de APIM esta informação.</w:t>
      </w:r>
    </w:p>
    <w:p>
      <w:pPr>
        <w:pStyle w:val="BodyText"/>
      </w:pPr>
      <w:r>
        <w:t xml:space="preserve">Os Headers são</w:t>
      </w:r>
      <w:r>
        <w:t xml:space="preserve"> </w:t>
      </w:r>
      <w:r>
        <w:rPr>
          <w:b/>
          <w:bCs/>
        </w:rPr>
        <w:t xml:space="preserve">X-RefererApplication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X-ApimProduct</w:t>
      </w:r>
      <w:r>
        <w:t xml:space="preserve">.</w:t>
      </w:r>
    </w:p>
    <w:p>
      <w:pPr>
        <w:pStyle w:val="BodyText"/>
      </w:pPr>
      <w:r>
        <w:t xml:space="preserve">Ex:</w:t>
      </w:r>
      <w:r>
        <w:t xml:space="preserve"> </w:t>
      </w:r>
      <w:r>
        <w:t xml:space="preserve">‘MYLUZ-PMA’</w:t>
      </w:r>
      <w:r>
        <w:t xml:space="preserve"> </w:t>
      </w:r>
      <w:r>
        <w:t xml:space="preserve">X-RefererApplication =</w:t>
      </w:r>
      <w:r>
        <w:t xml:space="preserve"> </w:t>
      </w:r>
      <w:r>
        <w:t xml:space="preserve">“MYLUZ”</w:t>
      </w:r>
      <w:r>
        <w:t xml:space="preserve"> </w:t>
      </w:r>
      <w:r>
        <w:t xml:space="preserve">X-ApimProduct =</w:t>
      </w:r>
      <w:r>
        <w:t xml:space="preserve"> </w:t>
      </w:r>
      <w:r>
        <w:t xml:space="preserve">“PMA”</w:t>
      </w:r>
    </w:p>
    <w:p>
      <w:pPr>
        <w:pStyle w:val="BodyText"/>
      </w:pPr>
      <w:r>
        <w:t xml:space="preserve">Estes campos podem ser rastreados em Dynatrace pelo campo</w:t>
      </w:r>
      <w:r>
        <w:t xml:space="preserve"> </w:t>
      </w:r>
      <w:r>
        <w:t xml:space="preserve">“Request Attribute”</w:t>
      </w:r>
    </w:p>
    <w:p>
      <w:pPr>
        <w:pStyle w:val="BodyText"/>
      </w:pPr>
      <w:r>
        <w:rPr>
          <w:b/>
          <w:bCs/>
        </w:rPr>
        <w:t xml:space="preserve">Consequências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APIM Consumidores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