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 Actions</w:t>
      </w:r>
    </w:p>
    <w:bookmarkStart w:id="20" w:name="enquadramento-geral"/>
    <w:p>
      <w:pPr>
        <w:pStyle w:val="Heading1"/>
      </w:pPr>
      <w:r>
        <w:rPr>
          <w:b/>
          <w:bCs/>
        </w:rPr>
        <w:t xml:space="preserve">Enquadramento Geral</w:t>
      </w:r>
    </w:p>
    <w:p>
      <w:pPr>
        <w:numPr>
          <w:ilvl w:val="0"/>
          <w:numId w:val="1001"/>
        </w:numPr>
      </w:pPr>
      <w:r>
        <w:t xml:space="preserve">A abordagem arquitetural orientada a serviços deverá respeitar os seguintes pontos:</w:t>
      </w:r>
    </w:p>
    <w:p>
      <w:pPr>
        <w:numPr>
          <w:ilvl w:val="1"/>
          <w:numId w:val="1002"/>
        </w:numPr>
      </w:pPr>
      <w:r>
        <w:t xml:space="preserve">Ser autocontida, servindo de caixa negra de serviços para múltiplos consumidores</w:t>
      </w:r>
    </w:p>
    <w:p>
      <w:pPr>
        <w:numPr>
          <w:ilvl w:val="1"/>
          <w:numId w:val="1002"/>
        </w:numPr>
      </w:pPr>
      <w:r>
        <w:t xml:space="preserve">Ter release cycles independentes entre serviços e outras aplicações</w:t>
      </w:r>
    </w:p>
    <w:p>
      <w:pPr>
        <w:numPr>
          <w:ilvl w:val="1"/>
          <w:numId w:val="1002"/>
        </w:numPr>
      </w:pPr>
      <w:r>
        <w:t xml:space="preserve">Equipas de desenvolvimento independentes com definições de propriedade claras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numPr>
          <w:ilvl w:val="0"/>
          <w:numId w:val="1003"/>
        </w:numPr>
      </w:pPr>
      <w:r>
        <w:t xml:space="preserve">A abordagem arquitetural orientada a domínios deverá respeitar os seguintes pontos:</w:t>
      </w:r>
    </w:p>
    <w:p>
      <w:pPr>
        <w:numPr>
          <w:ilvl w:val="1"/>
          <w:numId w:val="1004"/>
        </w:numPr>
      </w:pPr>
      <w:r>
        <w:t xml:space="preserve">Possuir uma gateway de comunicação entre domínios distintos</w:t>
      </w:r>
    </w:p>
    <w:p>
      <w:pPr>
        <w:numPr>
          <w:ilvl w:val="1"/>
          <w:numId w:val="1004"/>
        </w:numPr>
      </w:pPr>
      <w:r>
        <w:t xml:space="preserve">Estabelecer regras bem definidas e um contrato “fechado”</w:t>
      </w:r>
    </w:p>
    <w:p>
      <w:pPr>
        <w:numPr>
          <w:ilvl w:val="1"/>
          <w:numId w:val="1004"/>
        </w:numPr>
      </w:pPr>
      <w:r>
        <w:t xml:space="preserve">Manter equipas e release cycles independentes entre domínios verticais</w:t>
      </w:r>
    </w:p>
    <w:p>
      <w:pPr>
        <w:numPr>
          <w:ilvl w:val="1"/>
          <w:numId w:val="1004"/>
        </w:numPr>
      </w:pPr>
      <w:r>
        <w:t xml:space="preserve">Isolar componentes técnicos de forma a suportar decisões técnicas e promover re-usabilidade entre as várias aplicações.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0"/>
    <w:bookmarkStart w:id="21" w:name="definição"/>
    <w:p>
      <w:pPr>
        <w:pStyle w:val="Heading1"/>
      </w:pPr>
      <w:r>
        <w:rPr>
          <w:b/>
          <w:bCs/>
        </w:rPr>
        <w:t xml:space="preserve">Definição</w:t>
      </w:r>
    </w:p>
    <w:p>
      <w:pPr>
        <w:pStyle w:val="FirstParagraph"/>
      </w:pPr>
      <w:r>
        <w:t xml:space="preserve">Uma Service Action é o processo de invocação de uma ação de Outsystems a partir de um serviço REST. O seu uso é muito semelhante ao de uma Server Action, no entanto, ao ser invocada através de um serviço, o ciclo de publicação é menos custoso pois, na maioria dos casos, não existe a necessidade de publicar os seus consumidores.</w:t>
      </w:r>
    </w:p>
    <w:bookmarkEnd w:id="21"/>
    <w:bookmarkStart w:id="22" w:name="funcionamento"/>
    <w:p>
      <w:pPr>
        <w:pStyle w:val="Heading1"/>
      </w:pPr>
      <w:r>
        <w:rPr>
          <w:b/>
          <w:bCs/>
        </w:rPr>
        <w:t xml:space="preserve">Funcionamento</w:t>
      </w:r>
    </w:p>
    <w:p>
      <w:pPr>
        <w:pStyle w:val="FirstParagraph"/>
      </w:pPr>
      <w:r>
        <w:t xml:space="preserve">Diferença entre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e</w:t>
      </w:r>
      <w:r>
        <w:t xml:space="preserve"> </w:t>
      </w:r>
      <w:r>
        <w:t xml:space="preserve">Server Action</w:t>
      </w:r>
    </w:p>
    <w:p>
      <w:pPr>
        <w:numPr>
          <w:ilvl w:val="0"/>
          <w:numId w:val="1005"/>
        </w:numPr>
      </w:pPr>
      <w:r>
        <w:t xml:space="preserve">Uma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gera uma dependência</w:t>
      </w:r>
      <w:r>
        <w:t xml:space="preserve"> </w:t>
      </w:r>
      <w:r>
        <w:t xml:space="preserve">FRACA</w:t>
      </w:r>
      <w:r>
        <w:t xml:space="preserve"> </w:t>
      </w:r>
      <w:r>
        <w:t xml:space="preserve">entre o consumidor e o produtor, enquanto que expor uma</w:t>
      </w:r>
      <w:r>
        <w:t xml:space="preserve"> </w:t>
      </w:r>
      <w:r>
        <w:t xml:space="preserve">Server Action</w:t>
      </w:r>
      <w:r>
        <w:t xml:space="preserve"> </w:t>
      </w:r>
      <w:r>
        <w:t xml:space="preserve">gera uma dependência</w:t>
      </w:r>
      <w:r>
        <w:t xml:space="preserve"> </w:t>
      </w:r>
      <w:r>
        <w:t xml:space="preserve">FORTE</w:t>
      </w:r>
      <w:r>
        <w:t xml:space="preserve"> </w:t>
      </w:r>
      <w:r>
        <w:t xml:space="preserve">entre o consumidor e produtor, ou seja, no caso das</w:t>
      </w:r>
      <w:r>
        <w:t xml:space="preserve"> </w:t>
      </w:r>
      <w:r>
        <w:t xml:space="preserve">Service Actions</w:t>
      </w:r>
      <w:r>
        <w:t xml:space="preserve">, quando a funcionalidade do produtor é mudada não existe impacto no módulo do consumidor em runtime e o consumidor passa a usar automaticamente as últimas implementatações da</w:t>
      </w:r>
      <w:r>
        <w:t xml:space="preserve"> </w:t>
      </w:r>
      <w:r>
        <w:t xml:space="preserve">Service Action</w:t>
      </w:r>
      <w:r>
        <w:t xml:space="preserve">. Existe no entanto a necessidade de fazer</w:t>
      </w:r>
      <w:r>
        <w:t xml:space="preserve"> </w:t>
      </w:r>
      <w:r>
        <w:t xml:space="preserve">“Refresh”</w:t>
      </w:r>
      <w:r>
        <w:t xml:space="preserve"> </w:t>
      </w:r>
      <w:r>
        <w:t xml:space="preserve">aos consumidores caso exista alguma alteração aos parametros de entrada ou saída da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produtora.</w:t>
      </w:r>
    </w:p>
    <w:p>
      <w:pPr>
        <w:numPr>
          <w:ilvl w:val="0"/>
          <w:numId w:val="1005"/>
        </w:numPr>
      </w:pPr>
      <w:r>
        <w:t xml:space="preserve">Uma</w:t>
      </w:r>
      <w:r>
        <w:t xml:space="preserve"> </w:t>
      </w:r>
      <w:r>
        <w:t xml:space="preserve">Server Action</w:t>
      </w:r>
      <w:r>
        <w:t xml:space="preserve"> </w:t>
      </w:r>
      <w:r>
        <w:t xml:space="preserve">quando tem a sua funcionalidade alterada no produtor a mesma fica desactualizada para com o seu Consumidor. Isto é devido ao facto de a Versão do consumidor estar a apontar para a versão antiga do produtor, ou seja, ao alterar o Módulo B (produtor) da versão 1 para a versão 2, o módulo A (consumidor) vai continuar a apontar para a versão 1 do produtor que conhece como sendo a última no momento em que foi publicado. Só com uma nova publicação do Módulo A é que o mesmo passa a apontar para a última versão publicada dos seus produtores, neste caso a versão 2 do Módulo B.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2"/>
    <w:bookmarkStart w:id="23" w:name="vantagens"/>
    <w:p>
      <w:pPr>
        <w:pStyle w:val="Heading1"/>
      </w:pPr>
      <w:r>
        <w:rPr>
          <w:b/>
          <w:bCs/>
        </w:rPr>
        <w:t xml:space="preserve">Vantagens</w:t>
      </w:r>
    </w:p>
    <w:p>
      <w:pPr>
        <w:numPr>
          <w:ilvl w:val="0"/>
          <w:numId w:val="1006"/>
        </w:numPr>
      </w:pPr>
      <w:r>
        <w:t xml:space="preserve">Rastreio – possibilidade de adicionar e remover referências facilmente, pois todas as dependências estarão visíveis no sistema.</w:t>
      </w:r>
    </w:p>
    <w:p>
      <w:pPr>
        <w:numPr>
          <w:ilvl w:val="0"/>
          <w:numId w:val="1006"/>
        </w:numPr>
      </w:pPr>
      <w:r>
        <w:t xml:space="preserve">Analise de impacto – quebrando o contrato (alteração de assinatura) para cada Service Action irá dar origem respetivamente a uma mensagem de aviso no TrueChange.</w:t>
      </w:r>
    </w:p>
    <w:p>
      <w:pPr>
        <w:numPr>
          <w:ilvl w:val="0"/>
          <w:numId w:val="1006"/>
        </w:numPr>
      </w:pPr>
      <w:r>
        <w:t xml:space="preserve">Tipologia forte - é possível atribuir inputs do tipo Entidade ou do tipo Estrutura ao contrato.</w:t>
      </w:r>
    </w:p>
    <w:p>
      <w:pPr>
        <w:numPr>
          <w:ilvl w:val="0"/>
          <w:numId w:val="1006"/>
        </w:numPr>
      </w:pPr>
      <w:r>
        <w:t xml:space="preserve">Segurança - Operações são apenas acessíveis por ações do mesmo ambiente, e contém o contexto do utilizador.</w:t>
      </w:r>
    </w:p>
    <w:p>
      <w:pPr>
        <w:numPr>
          <w:ilvl w:val="0"/>
          <w:numId w:val="1006"/>
        </w:numPr>
      </w:pPr>
      <w:r>
        <w:t xml:space="preserve">Manuseamento de exceções - possibilidade de capturar exceções nos consumidores.</w:t>
      </w:r>
    </w:p>
    <w:p>
      <w:pPr>
        <w:numPr>
          <w:ilvl w:val="0"/>
          <w:numId w:val="1006"/>
        </w:numPr>
      </w:pPr>
      <w:r>
        <w:t xml:space="preserve">Controlo de acesso – mesmo modelo de acesso que outro elemento publico na plataforma gerido através do Lifetime.</w:t>
      </w:r>
    </w:p>
    <w:bookmarkEnd w:id="23"/>
    <w:bookmarkStart w:id="28" w:name="guidelines"/>
    <w:p>
      <w:pPr>
        <w:pStyle w:val="Heading1"/>
      </w:pPr>
      <w:r>
        <w:rPr>
          <w:b/>
          <w:bCs/>
        </w:rPr>
        <w:t xml:space="preserve">Guidelines</w:t>
      </w:r>
    </w:p>
    <w:p>
      <w:pPr>
        <w:numPr>
          <w:ilvl w:val="0"/>
          <w:numId w:val="1007"/>
        </w:numPr>
      </w:pPr>
      <w:r>
        <w:t xml:space="preserve">Service Actions</w:t>
      </w:r>
      <w:r>
        <w:t xml:space="preserve"> </w:t>
      </w:r>
      <w:r>
        <w:t xml:space="preserve">poderão apenas ser expostas dentro dos Service Modules sobre o sufixo _OAPI (</w:t>
      </w:r>
      <w:r>
        <w:rPr>
          <w:b/>
          <w:bCs/>
        </w:rPr>
        <w:t xml:space="preserve">O</w:t>
      </w:r>
      <w:r>
        <w:t xml:space="preserve">utsystems</w:t>
      </w:r>
      <w:r>
        <w:t xml:space="preserve"> </w:t>
      </w:r>
      <w:r>
        <w:rPr>
          <w:b/>
          <w:bCs/>
        </w:rPr>
        <w:t xml:space="preserve">A</w:t>
      </w:r>
      <w:r>
        <w:t xml:space="preserve">pplication</w:t>
      </w:r>
      <w:r>
        <w:t xml:space="preserve"> </w:t>
      </w:r>
      <w:r>
        <w:rPr>
          <w:b/>
          <w:bCs/>
        </w:rPr>
        <w:t xml:space="preserve">P</w:t>
      </w:r>
      <w:r>
        <w:t xml:space="preserve">rogramming</w:t>
      </w:r>
      <w:r>
        <w:t xml:space="preserve"> </w:t>
      </w:r>
      <w:r>
        <w:rPr>
          <w:b/>
          <w:bCs/>
        </w:rPr>
        <w:t xml:space="preserve">I</w:t>
      </w:r>
      <w:r>
        <w:t xml:space="preserve">nterface) quando na camada Core, ou _OFAPI no caso de serem módulos na camada Fundacional.</w:t>
      </w:r>
    </w:p>
    <w:p>
      <w:pPr>
        <w:numPr>
          <w:ilvl w:val="0"/>
          <w:numId w:val="1007"/>
        </w:numPr>
      </w:pPr>
      <w:r>
        <w:t xml:space="preserve">Deverão ser usadas</w:t>
      </w:r>
      <w:r>
        <w:t xml:space="preserve"> </w:t>
      </w:r>
      <w:r>
        <w:t xml:space="preserve">Service Applications</w:t>
      </w:r>
      <w:r>
        <w:t xml:space="preserve"> </w:t>
      </w:r>
      <w:r>
        <w:t xml:space="preserve">para conter</w:t>
      </w:r>
      <w:r>
        <w:t xml:space="preserve"> </w:t>
      </w:r>
      <w:r>
        <w:t xml:space="preserve">Service Actions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Não implementar lógica dentro da API.</w:t>
      </w:r>
      <w:r>
        <w:t xml:space="preserve"> </w:t>
      </w:r>
      <w:r>
        <w:t xml:space="preserve">Service Actions</w:t>
      </w:r>
      <w:r>
        <w:t xml:space="preserve"> </w:t>
      </w:r>
      <w:r>
        <w:t xml:space="preserve">deverão ser agnósticas ao negócio, e servirem como um wrapper que expõe a lógica do produtor. Uma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não deve consumir outra(s)</w:t>
      </w:r>
      <w:r>
        <w:t xml:space="preserve"> </w:t>
      </w:r>
      <w:r>
        <w:t xml:space="preserve">Service Action</w:t>
      </w:r>
      <w:r>
        <w:t xml:space="preserve">(s).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24" w:name="tratamento-de-excepções"/>
    <w:p>
      <w:pPr>
        <w:pStyle w:val="Heading2"/>
      </w:pPr>
      <w:r>
        <w:t xml:space="preserve">Tratamento de Excepções</w:t>
      </w:r>
    </w:p>
    <w:p>
      <w:pPr>
        <w:pStyle w:val="Compact"/>
        <w:numPr>
          <w:ilvl w:val="0"/>
          <w:numId w:val="1008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cenários em que são usados wrappers (Server Actions) a Service Actions</w:t>
      </w:r>
      <w:r>
        <w:t xml:space="preserve"> </w:t>
      </w:r>
      <w:r>
        <w:t xml:space="preserve">devemos ter atenção se colocarmos catch de exceções ao nível do wrapper</w:t>
      </w:r>
    </w:p>
    <w:p>
      <w:pPr>
        <w:pStyle w:val="Compact"/>
        <w:numPr>
          <w:ilvl w:val="1"/>
          <w:numId w:val="1009"/>
        </w:numPr>
      </w:pPr>
      <w:r>
        <w:t xml:space="preserve">Isto porque</w:t>
      </w:r>
      <w:r>
        <w:t xml:space="preserve"> </w:t>
      </w:r>
      <w:r>
        <w:rPr>
          <w:b/>
          <w:bCs/>
        </w:rPr>
        <w:t xml:space="preserve">o wrapper ainda ocorre na mesma transação de BD que a lógica onde o wrapper foi chamado</w:t>
      </w:r>
    </w:p>
    <w:p>
      <w:pPr>
        <w:pStyle w:val="Compact"/>
        <w:numPr>
          <w:ilvl w:val="0"/>
          <w:numId w:val="1008"/>
        </w:numPr>
      </w:pPr>
      <w:r>
        <w:t xml:space="preserve">Ao colocarmos esse catch de exceções devemos ter a noção do impacto que tem o parâmetro</w:t>
      </w:r>
      <w:r>
        <w:t xml:space="preserve"> </w:t>
      </w:r>
      <w:r>
        <w:t xml:space="preserve">“Abort Transaction”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Yes - será feito o rollback de tudo o que foi feito até aí em termos de BD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 - a transação continua normalmente e será feito o commit dos dados no final do fluxo de topo</w:t>
      </w:r>
    </w:p>
    <w:p>
      <w:pPr>
        <w:pStyle w:val="Compact"/>
        <w:numPr>
          <w:ilvl w:val="0"/>
          <w:numId w:val="1008"/>
        </w:numPr>
      </w:pPr>
      <w:r>
        <w:t xml:space="preserve">Se for necessário devolver informação sobre como correu a execução do wrapper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Recomenda-se a inclusão de informação de output de sucesso e eventualmente de detalhe do erro</w:t>
      </w:r>
    </w:p>
    <w:bookmarkEnd w:id="24"/>
    <w:bookmarkStart w:id="25" w:name="versionamento"/>
    <w:p>
      <w:pPr>
        <w:pStyle w:val="Heading2"/>
      </w:pPr>
      <w:r>
        <w:t xml:space="preserve">Versionamento</w:t>
      </w:r>
    </w:p>
    <w:p>
      <w:pPr>
        <w:pStyle w:val="Compact"/>
        <w:numPr>
          <w:ilvl w:val="0"/>
          <w:numId w:val="1012"/>
        </w:numPr>
      </w:pPr>
      <w:r>
        <w:t xml:space="preserve">Porquê versionar?</w:t>
      </w:r>
    </w:p>
    <w:p>
      <w:pPr>
        <w:pStyle w:val="Compact"/>
        <w:numPr>
          <w:ilvl w:val="1"/>
          <w:numId w:val="1013"/>
        </w:numPr>
      </w:pPr>
      <w:r>
        <w:t xml:space="preserve">Minimizar o impacto nos consumidores:</w:t>
      </w:r>
    </w:p>
    <w:p>
      <w:pPr>
        <w:pStyle w:val="Compact"/>
        <w:numPr>
          <w:ilvl w:val="2"/>
          <w:numId w:val="1014"/>
        </w:numPr>
      </w:pPr>
      <w:r>
        <w:t xml:space="preserve">Garantir a compatibilidade com as versões anteriores</w:t>
      </w:r>
    </w:p>
    <w:p>
      <w:pPr>
        <w:pStyle w:val="Compact"/>
        <w:numPr>
          <w:ilvl w:val="2"/>
          <w:numId w:val="1014"/>
        </w:numPr>
      </w:pPr>
      <w:r>
        <w:t xml:space="preserve">Permitir ritmos de desenvolvimento diferentes (principalmente ao nível consumidores)</w:t>
      </w:r>
    </w:p>
    <w:p>
      <w:pPr>
        <w:pStyle w:val="Compact"/>
        <w:numPr>
          <w:ilvl w:val="2"/>
          <w:numId w:val="1014"/>
        </w:numPr>
      </w:pPr>
      <w:r>
        <w:t xml:space="preserve">Gerir artefactos deprecated de forma organizada</w:t>
      </w:r>
    </w:p>
    <w:p>
      <w:pPr>
        <w:pStyle w:val="Compact"/>
        <w:numPr>
          <w:ilvl w:val="3"/>
          <w:numId w:val="1015"/>
        </w:numPr>
      </w:pPr>
      <w:r>
        <w:t xml:space="preserve">Nomeadamente só eliminar esses artefactos quando não estão a ser consumidos em nenhum ambiente</w:t>
      </w:r>
    </w:p>
    <w:p>
      <w:pPr>
        <w:pStyle w:val="Compact"/>
        <w:numPr>
          <w:ilvl w:val="0"/>
          <w:numId w:val="1012"/>
        </w:numPr>
      </w:pPr>
      <w:r>
        <w:t xml:space="preserve">Quando versionar?</w:t>
      </w:r>
    </w:p>
    <w:p>
      <w:pPr>
        <w:pStyle w:val="Compact"/>
        <w:numPr>
          <w:ilvl w:val="1"/>
          <w:numId w:val="1016"/>
        </w:numPr>
      </w:pPr>
      <w:r>
        <w:t xml:space="preserve">Mudança no contrato</w:t>
      </w:r>
    </w:p>
    <w:p>
      <w:pPr>
        <w:pStyle w:val="Compact"/>
        <w:numPr>
          <w:ilvl w:val="1"/>
          <w:numId w:val="1016"/>
        </w:numPr>
      </w:pPr>
      <w:r>
        <w:t xml:space="preserve">Alterações na lógica</w:t>
      </w:r>
    </w:p>
    <w:p>
      <w:pPr>
        <w:pStyle w:val="Compact"/>
        <w:numPr>
          <w:ilvl w:val="2"/>
          <w:numId w:val="1017"/>
        </w:numPr>
      </w:pPr>
      <w:r>
        <w:t xml:space="preserve">Não é bug fix</w:t>
      </w:r>
    </w:p>
    <w:p>
      <w:pPr>
        <w:pStyle w:val="Compact"/>
        <w:numPr>
          <w:ilvl w:val="3"/>
          <w:numId w:val="1018"/>
        </w:numPr>
      </w:pPr>
      <w:r>
        <w:t xml:space="preserve">mas pode ser para permitir rapidamente reverter para a versão anterior se não estivermos seguros do impacto da nova versão</w:t>
      </w:r>
    </w:p>
    <w:p>
      <w:pPr>
        <w:pStyle w:val="Compact"/>
        <w:numPr>
          <w:ilvl w:val="2"/>
          <w:numId w:val="1017"/>
        </w:numPr>
      </w:pPr>
      <w:r>
        <w:t xml:space="preserve">é quando queremos suportar consumidores com diferentes versões de código (business rules)</w:t>
      </w:r>
    </w:p>
    <w:p>
      <w:pPr>
        <w:pStyle w:val="Compact"/>
        <w:numPr>
          <w:ilvl w:val="0"/>
          <w:numId w:val="1012"/>
        </w:numPr>
      </w:pPr>
      <w:r>
        <w:t xml:space="preserve">Como versionar?</w:t>
      </w:r>
    </w:p>
    <w:p>
      <w:pPr>
        <w:pStyle w:val="Compact"/>
        <w:numPr>
          <w:ilvl w:val="1"/>
          <w:numId w:val="1019"/>
        </w:numPr>
      </w:pPr>
      <w:r>
        <w:t xml:space="preserve">Mudança no Contrato</w:t>
      </w:r>
    </w:p>
    <w:p>
      <w:pPr>
        <w:pStyle w:val="Compact"/>
        <w:numPr>
          <w:ilvl w:val="2"/>
          <w:numId w:val="1020"/>
        </w:numPr>
      </w:pPr>
      <w:r>
        <w:t xml:space="preserve">Clonar a Service Action atual, criando uma nova com um incremento de versão e o novo contrato</w:t>
      </w:r>
    </w:p>
    <w:p>
      <w:pPr>
        <w:pStyle w:val="Compact"/>
        <w:numPr>
          <w:ilvl w:val="1"/>
          <w:numId w:val="1019"/>
        </w:numPr>
      </w:pPr>
      <w:r>
        <w:t xml:space="preserve">Alterações na lógica</w:t>
      </w:r>
    </w:p>
    <w:p>
      <w:pPr>
        <w:pStyle w:val="Compact"/>
        <w:numPr>
          <w:ilvl w:val="2"/>
          <w:numId w:val="1021"/>
        </w:numPr>
      </w:pPr>
      <w:r>
        <w:t xml:space="preserve">Parâmetro de input com o VersionId</w:t>
      </w:r>
    </w:p>
    <w:p>
      <w:pPr>
        <w:pStyle w:val="Compact"/>
        <w:numPr>
          <w:ilvl w:val="2"/>
          <w:numId w:val="1021"/>
        </w:numPr>
      </w:pPr>
      <w:r>
        <w:t xml:space="preserve">O produtor tem uma site property com a última versão</w:t>
      </w:r>
    </w:p>
    <w:p>
      <w:pPr>
        <w:pStyle w:val="Compact"/>
        <w:numPr>
          <w:ilvl w:val="2"/>
          <w:numId w:val="1021"/>
        </w:numPr>
      </w:pPr>
      <w:r>
        <w:t xml:space="preserve">e o Consumidor tem uma site property com a versão que pretende usar</w:t>
      </w:r>
    </w:p>
    <w:p>
      <w:pPr>
        <w:pStyle w:val="Compact"/>
        <w:numPr>
          <w:ilvl w:val="3"/>
          <w:numId w:val="1022"/>
        </w:numPr>
      </w:pPr>
      <w:r>
        <w:t xml:space="preserve">Os consumidores controlam quando querem adoptar novas versões</w:t>
      </w:r>
    </w:p>
    <w:p>
      <w:pPr>
        <w:pStyle w:val="Compact"/>
        <w:numPr>
          <w:ilvl w:val="2"/>
          <w:numId w:val="1021"/>
        </w:numPr>
      </w:pPr>
      <w:r>
        <w:t xml:space="preserve">Disclaimer: não devem ser suportadas mais do que duas ou três versões</w:t>
      </w:r>
    </w:p>
    <w:bookmarkEnd w:id="25"/>
    <w:bookmarkStart w:id="27" w:name="first-loads"/>
    <w:p>
      <w:pPr>
        <w:pStyle w:val="Heading2"/>
      </w:pPr>
      <w:r>
        <w:t xml:space="preserve">First Loads</w:t>
      </w:r>
    </w:p>
    <w:p>
      <w:pPr>
        <w:numPr>
          <w:ilvl w:val="0"/>
          <w:numId w:val="1023"/>
        </w:numPr>
      </w:pPr>
      <w:r>
        <w:t xml:space="preserve">As</w:t>
      </w:r>
      <w:r>
        <w:t xml:space="preserve"> </w:t>
      </w:r>
      <w:r>
        <w:t xml:space="preserve">Service Actions</w:t>
      </w:r>
      <w:r>
        <w:t xml:space="preserve"> </w:t>
      </w:r>
      <w:r>
        <w:t xml:space="preserve">incorrem no problema do</w:t>
      </w:r>
      <w:r>
        <w:t xml:space="preserve"> </w:t>
      </w:r>
      <w:r>
        <w:t xml:space="preserve">“Primeiro Load”</w:t>
      </w:r>
      <w:r>
        <w:t xml:space="preserve">. De forma a mitigar este problema, será necessário fazer um “Aquecimento”:</w:t>
      </w:r>
    </w:p>
    <w:p>
      <w:pPr>
        <w:numPr>
          <w:ilvl w:val="1"/>
          <w:numId w:val="1024"/>
        </w:numPr>
      </w:pPr>
      <w:r>
        <w:t xml:space="preserve">Cada _OAPI deverá expor um serviço dummy sem lógica chamado “DummyWarmUpServiceAction”</w:t>
      </w:r>
    </w:p>
    <w:p>
      <w:pPr>
        <w:numPr>
          <w:ilvl w:val="1"/>
          <w:numId w:val="1024"/>
        </w:numPr>
      </w:pPr>
      <w:r>
        <w:t xml:space="preserve">Depois, cada “DummyWarmUpServiceAction” deverá ser consumida pelo módulo “WarmerServiceActions” de cada domínio e adicionado à</w:t>
      </w:r>
      <w:r>
        <w:t xml:space="preserve"> </w:t>
      </w:r>
      <w:r>
        <w:t xml:space="preserve">Server Action</w:t>
      </w:r>
      <w:r>
        <w:t xml:space="preserve"> </w:t>
      </w:r>
      <w:r>
        <w:t xml:space="preserve">privada “WarmUpServiceActions”</w:t>
      </w:r>
    </w:p>
    <w:p>
      <w:pPr>
        <w:numPr>
          <w:ilvl w:val="1"/>
          <w:numId w:val="1024"/>
        </w:numPr>
      </w:pPr>
      <w:r>
        <w:t xml:space="preserve">Incluir um timer que chame os serviços dummy depois de cada deploy entre ambientes.</w:t>
      </w:r>
    </w:p>
    <w:p>
      <w:pPr>
        <w:pStyle w:val="Compact"/>
        <w:numPr>
          <w:ilvl w:val="2"/>
          <w:numId w:val="1025"/>
        </w:numPr>
      </w:pPr>
      <w:r>
        <w:t xml:space="preserve">O timer não está marcado para correr automaticamente.</w:t>
      </w:r>
    </w:p>
    <w:p>
      <w:pPr>
        <w:pStyle w:val="Compact"/>
        <w:numPr>
          <w:ilvl w:val="2"/>
          <w:numId w:val="1025"/>
        </w:numPr>
      </w:pPr>
      <w:r>
        <w:t xml:space="preserve">Existe o timer para se tivermos a necessidade de o correr de forma manual</w:t>
      </w:r>
    </w:p>
    <w:p>
      <w:pPr>
        <w:pStyle w:val="Compact"/>
        <w:numPr>
          <w:ilvl w:val="2"/>
          <w:numId w:val="1025"/>
        </w:numPr>
      </w:pPr>
      <w:r>
        <w:t xml:space="preserve">Mas a forma oficial é a chamada rest que é feita quando o deployment é executado através dos pipelines automáticos de deployment</w:t>
      </w:r>
    </w:p>
    <w:p>
      <w:pPr>
        <w:pStyle w:val="Compact"/>
        <w:numPr>
          <w:ilvl w:val="2"/>
          <w:numId w:val="1025"/>
        </w:numPr>
      </w:pPr>
      <w:r>
        <w:t xml:space="preserve">Isto irá resultar num fetch ao servidor do código das Service Actions utilizadas, o que irá reduzir o downtime provocado pelo Primeiro Load.</w:t>
      </w:r>
    </w:p>
    <w:p>
      <w:pPr>
        <w:pStyle w:val="Compact"/>
        <w:numPr>
          <w:ilvl w:val="3"/>
          <w:numId w:val="1026"/>
        </w:numPr>
      </w:pPr>
      <w:r>
        <w:t xml:space="preserve">Esse primeiro fetch irá levar á compilação do código associado ao módulo que contém as service actions eliminando assim esse tempo daquilo que será o primeiro acesso feito por um utilizador real.</w:t>
      </w:r>
    </w:p>
    <w:bookmarkStart w:id="26" w:name="exemplo-warmup"/>
    <w:p>
      <w:pPr>
        <w:pStyle w:val="Heading3"/>
      </w:pPr>
      <w:r>
        <w:t xml:space="preserve">Exemplo Warmup:</w:t>
      </w:r>
    </w:p>
    <w:p>
      <w:pPr>
        <w:pStyle w:val="FirstParagraph"/>
      </w:pPr>
      <w:r>
        <w:t xml:space="preserve">Criar no _OAPI uma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dummy sem lógica: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Consumir a</w:t>
      </w:r>
      <w:r>
        <w:t xml:space="preserve"> </w:t>
      </w:r>
      <w:r>
        <w:t xml:space="preserve">Service Action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rPr>
          <w:i/>
          <w:iCs/>
        </w:rPr>
        <w:t xml:space="preserve">Warmer</w:t>
      </w:r>
      <w:r>
        <w:t xml:space="preserve">”</w:t>
      </w:r>
      <w:r>
        <w:t xml:space="preserve"> </w:t>
      </w:r>
      <w:r>
        <w:t xml:space="preserve">do Dominio onde foi criada:</w:t>
      </w:r>
      <w:r>
        <w:t xml:space="preserve"> </w:t>
      </w:r>
      <w:r>
        <w:t xml:space="preserve">image.png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Actions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