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Estruturas de Erro</w:t>
      </w:r>
    </w:p>
    <w:bookmarkStart w:id="21" w:name="estruturas-de-erro"/>
    <w:p>
      <w:pPr>
        <w:pStyle w:val="Heading1"/>
      </w:pPr>
      <w:r>
        <w:t xml:space="preserve">Estruturas de Erro</w:t>
      </w:r>
    </w:p>
    <w:p>
      <w:pPr>
        <w:pStyle w:val="FirstParagraph"/>
      </w:pPr>
      <w:r>
        <w:rPr>
          <w:b/>
          <w:bCs/>
        </w:rPr>
        <w:t xml:space="preserve">Estado</w:t>
      </w:r>
      <w:r>
        <w:t xml:space="preserve"> </w:t>
      </w:r>
      <w:r>
        <w:t xml:space="preserve">Proposto</w:t>
      </w:r>
    </w:p>
    <w:p>
      <w:pPr>
        <w:pStyle w:val="BodyText"/>
      </w:pPr>
      <w:r>
        <w:rPr>
          <w:b/>
          <w:bCs/>
        </w:rPr>
        <w:t xml:space="preserve">Contexto</w:t>
      </w:r>
      <w:r>
        <w:t xml:space="preserve"> </w:t>
      </w:r>
      <w:r>
        <w:t xml:space="preserve">Quando uma API tem que lidar com erros para devolver a resposta ao cliente, a devolução apenas do status code é muitas vezes insuficiente e será necessário providenciar mais informação para despiste do problema.</w:t>
      </w:r>
    </w:p>
    <w:p>
      <w:pPr>
        <w:pStyle w:val="BodyText"/>
      </w:pPr>
      <w:r>
        <w:rPr>
          <w:b/>
          <w:bCs/>
        </w:rPr>
        <w:t xml:space="preserve">Decisão</w:t>
      </w:r>
      <w:r>
        <w:t xml:space="preserve"> </w:t>
      </w:r>
      <w:r>
        <w:t xml:space="preserve">Todas as APIs, para além de apresentarem a estrutura de resposta, devem apresentar uma estrutura</w:t>
      </w:r>
      <w:r>
        <w:t xml:space="preserve"> </w:t>
      </w:r>
      <w:r>
        <w:t xml:space="preserve">“Error”</w:t>
      </w:r>
      <w:r>
        <w:t xml:space="preserve"> </w:t>
      </w:r>
      <w:r>
        <w:t xml:space="preserve">constituída da seguinte forma:</w:t>
      </w:r>
    </w:p>
    <w:p>
      <w:pPr>
        <w:pStyle w:val="BodyText"/>
      </w:pPr>
      <w:r>
        <w:rPr>
          <w:rStyle w:val="VerbatimChar"/>
        </w:rPr>
        <w:t xml:space="preserve">{ HasError: true, Code: string, Message: string, Details: string }</w:t>
      </w:r>
    </w:p>
    <w:p>
      <w:pPr>
        <w:pStyle w:val="BodyText"/>
      </w:pPr>
      <w:r>
        <w:t xml:space="preserve">No caso de erros de negócio (exemplo validação de campos obrigatórios, validação de inputs, etc), em que há conhecimento porque razão a API não consegue devolver resultados, deve ser preenchida a estrutura anterior e devolvido o status code 200.</w:t>
      </w:r>
    </w:p>
    <w:p>
      <w:pPr>
        <w:pStyle w:val="BodyText"/>
      </w:pPr>
      <w:r>
        <w:t xml:space="preserve">No caso de erros de sistema ou de terceiros, deve ser feito um levantamento de todos os erros possíveis de acontecer e respectivo código de erro do sistema. Esses códigos de erros devem ser mapeados para erros conhecidos pela organização ou acordados entre equipas. Sempre que isto for possível, mapear a estrutura de erro e enviar o status code convencionado.</w:t>
      </w:r>
    </w:p>
    <w:p>
      <w:pPr>
        <w:pStyle w:val="BodyText"/>
      </w:pPr>
      <w:r>
        <w:t xml:space="preserve">Para tal existe uma aplicação XF - NFR Erros, com um backoffice onde é possível registar os erros dos sistemas de destino e os códigos convencionados. (</w:t>
      </w:r>
      <w:hyperlink r:id="rId20">
        <w:r>
          <w:rPr>
            <w:rStyle w:val="Hyperlink"/>
          </w:rPr>
          <w:t xml:space="preserve">https://devweb.hluz.ess.local/NFR_Erros_BO/Errors.aspx</w:t>
        </w:r>
      </w:hyperlink>
      <w:r>
        <w:t xml:space="preserve">)</w:t>
      </w:r>
    </w:p>
    <w:p>
      <w:pPr>
        <w:pStyle w:val="BodyText"/>
      </w:pPr>
      <w:r>
        <w:t xml:space="preserve">Os erros com status code 500 devem ser reservados para acontecimentos inesperados, como service unavailable, falhas de rede, erros internos de sistema não conhecidos. Nestes casos não será possível preencher a estrutura de erro.</w:t>
      </w:r>
    </w:p>
    <w:p>
      <w:pPr>
        <w:pStyle w:val="BodyText"/>
      </w:pPr>
      <w:r>
        <w:rPr>
          <w:b/>
          <w:bCs/>
        </w:rPr>
        <w:t xml:space="preserve">Consequências</w:t>
      </w:r>
      <w:r>
        <w:t xml:space="preserve"> </w:t>
      </w:r>
      <w:r>
        <w:t xml:space="preserve">Os clientes devem validar se a estrutura de erro vem preenchida quando a resposta vem com status code 2XX e adaptar a sua lógica de negócio.</w:t>
      </w:r>
    </w:p>
    <w:p>
      <w:pPr>
        <w:pStyle w:val="BodyText"/>
      </w:pPr>
      <w:r>
        <w:t xml:space="preserve">Quando a resposta tem status code diferente de 2XX, é necessário o consumidor analisar o comportamento da sua aplicação para os vários status code (ex: quando recebe um 503 - Service Unavailable ter mecanismos de retry, logging de erros, etc.)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devweb.hluz.ess.local/NFR_Erros_BO/Errors.asp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evweb.hluz.ess.local/NFR_Erros_BO/Errors.asp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Estruturas de Erro</dc:title>
  <dc:creator/>
  <cp:keywords/>
  <dcterms:created xsi:type="dcterms:W3CDTF">2026-05-12T12:13:16Z</dcterms:created>
  <dcterms:modified xsi:type="dcterms:W3CDTF">2026-05-12T12:13:16Z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