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4.8 Modelo de Dados</w:t>
      </w:r>
    </w:p>
    <w:bookmarkStart w:id="27" w:name="regras"/>
    <w:p>
      <w:pPr>
        <w:pStyle w:val="Heading1"/>
      </w:pPr>
      <w:r>
        <w:t xml:space="preserve">Regras:</w:t>
      </w:r>
    </w:p>
    <w:bookmarkStart w:id="20" w:name="X6690de788d642da3c144891f53dcd72725fc417"/>
    <w:p>
      <w:pPr>
        <w:pStyle w:val="Heading2"/>
      </w:pPr>
      <w:r>
        <w:t xml:space="preserve">- Nome dos objectos Inglês (Ter em conta os termos FHIR, );</w:t>
      </w:r>
    </w:p>
    <w:bookmarkEnd w:id="20"/>
    <w:bookmarkStart w:id="21" w:name="nome-dos-objectos-em-camelcase"/>
    <w:p>
      <w:pPr>
        <w:pStyle w:val="Heading2"/>
      </w:pPr>
      <w:r>
        <w:t xml:space="preserve">- Nome dos Objectos em CamelCase;</w:t>
      </w:r>
    </w:p>
    <w:bookmarkEnd w:id="21"/>
    <w:bookmarkStart w:id="22" w:name="Xf610d378f67fe954d4c2238c0cf8e23d890957c"/>
    <w:p>
      <w:pPr>
        <w:pStyle w:val="Heading2"/>
      </w:pPr>
      <w:r>
        <w:t xml:space="preserve">- Relações não nomeáveis separadas por underscore (Tabelas de relação);​</w:t>
      </w:r>
    </w:p>
    <w:bookmarkEnd w:id="22"/>
    <w:bookmarkStart w:id="23" w:name="X7cc7a460faba06e7624ede1992e50b25c74fe3c"/>
    <w:p>
      <w:pPr>
        <w:pStyle w:val="Heading2"/>
      </w:pPr>
      <w:r>
        <w:t xml:space="preserve">- Limite máximo de 18 caracteres para os nomes das tabelas;</w:t>
      </w:r>
    </w:p>
    <w:bookmarkEnd w:id="23"/>
    <w:bookmarkStart w:id="24" w:name="X10b1f7ee1b761e5cb4a88a182b5a6b4bc72fbd2"/>
    <w:p>
      <w:pPr>
        <w:pStyle w:val="Heading2"/>
      </w:pPr>
      <w:r>
        <w:t xml:space="preserve">- Necessário colocar descrições em todas as tabelas;</w:t>
      </w:r>
    </w:p>
    <w:bookmarkEnd w:id="24"/>
    <w:bookmarkStart w:id="25" w:name="Xe3b6ada9eb725c5aba275325a3416916fcc3c9b"/>
    <w:p>
      <w:pPr>
        <w:pStyle w:val="Heading2"/>
      </w:pPr>
      <w:r>
        <w:t xml:space="preserve">- Não é mandatório utilizar prefixo (para identificar a aplicação);</w:t>
      </w:r>
    </w:p>
    <w:bookmarkEnd w:id="25"/>
    <w:bookmarkStart w:id="26" w:name="colunas-de-metadados-link"/>
    <w:p>
      <w:pPr>
        <w:pStyle w:val="Heading2"/>
      </w:pPr>
      <w:r>
        <w:t xml:space="preserve">- Colunas de metadados (Link);</w:t>
      </w:r>
    </w:p>
    <w:p>
      <w:pPr>
        <w:pStyle w:val="FirstParagraph"/>
      </w:pPr>
      <w:r>
        <w:t xml:space="preserve"> </w:t>
      </w:r>
    </w:p>
    <w:bookmarkEnd w:id="26"/>
    <w:bookmarkEnd w:id="27"/>
    <w:bookmarkStart w:id="28" w:name="primary-keys-e-foreign-keys"/>
    <w:p>
      <w:pPr>
        <w:pStyle w:val="Heading1"/>
      </w:pPr>
      <w:r>
        <w:t xml:space="preserve">Primary Keys e Foreign Keys:</w:t>
      </w:r>
    </w:p>
    <w:p>
      <w:pPr>
        <w:pStyle w:val="FirstParagraph"/>
      </w:pPr>
      <w:r>
        <w:t xml:space="preserve">Primary Keys:</w:t>
      </w:r>
      <w:r>
        <w:t xml:space="preserve"> </w:t>
      </w:r>
      <w:r>
        <w:t xml:space="preserve">- Id</w:t>
      </w:r>
    </w:p>
    <w:p>
      <w:pPr>
        <w:pStyle w:val="BodyText"/>
      </w:pPr>
      <w:r>
        <w:t xml:space="preserve">Foreign Key:</w:t>
      </w:r>
      <w:r>
        <w:t xml:space="preserve"> </w:t>
      </w:r>
      <w:r>
        <w:t xml:space="preserve">- ​</w:t>
      </w: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Tabela Encounter</w:t>
      </w:r>
    </w:p>
    <w:p>
      <w:pPr>
        <w:pStyle w:val="Compact"/>
        <w:numPr>
          <w:ilvl w:val="0"/>
          <w:numId w:val="1001"/>
        </w:numPr>
      </w:pPr>
      <w:r>
        <w:t xml:space="preserve">PK: Encounter.PatientId</w:t>
      </w:r>
    </w:p>
    <w:p>
      <w:pPr>
        <w:pStyle w:val="FirstParagraph"/>
      </w:pP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Modelo de Dados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