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 📋 Guidelines</w:t>
      </w:r>
    </w:p>
    <w:p>
      <w:pPr>
        <w:pStyle w:val="FirstParagraph"/>
      </w:pPr>
      <w:r>
        <w:rPr>
          <w:b/>
          <w:bCs/>
        </w:rPr>
        <w:t xml:space="preserve">Done</w:t>
      </w:r>
      <w:r>
        <w:t xml:space="preserve">:</w:t>
      </w:r>
      <w:r>
        <w:t xml:space="preserve"> </w:t>
      </w:r>
      <w:r>
        <w:t xml:space="preserve">Timer Operation Toggle ✔</w:t>
      </w:r>
      <w:r>
        <w:t xml:space="preserve"> </w:t>
      </w:r>
      <w:r>
        <w:t xml:space="preserve">API’s - APIM Externo ✔</w:t>
      </w:r>
      <w:r>
        <w:t xml:space="preserve"> </w:t>
      </w:r>
      <w:r>
        <w:t xml:space="preserve">API’s - Error Codes (validar o XF-NFR Erros)✔</w:t>
      </w:r>
    </w:p>
    <w:p>
      <w:pPr>
        <w:pStyle w:val="BodyText"/>
      </w:pPr>
      <w:r>
        <w:rPr>
          <w:b/>
          <w:bCs/>
        </w:rPr>
        <w:t xml:space="preserve">InProgress</w:t>
      </w:r>
      <w:r>
        <w:t xml:space="preserve"> </w:t>
      </w:r>
      <w:r>
        <w:t xml:space="preserve">Arquitectura - Modulos sem dominio</w:t>
      </w:r>
      <w:r>
        <w:t xml:space="preserve"> </w:t>
      </w:r>
      <w:r>
        <w:t xml:space="preserve">DataBase Design - Colunas de Audit nas Tabelas (falta lógica da monitorização) - Francisco Medinas</w:t>
      </w:r>
      <w:r>
        <w:t xml:space="preserve"> </w:t>
      </w:r>
      <w:r>
        <w:t xml:space="preserve">DataBase Design - DataBase Schemas - David Taveira (falta passar para prod)</w:t>
      </w:r>
      <w:r>
        <w:t xml:space="preserve"> </w:t>
      </w:r>
      <w:r>
        <w:t xml:space="preserve">DataBase Design - Cache nas sequências - David Duque</w:t>
      </w:r>
      <w:r>
        <w:t xml:space="preserve"> </w:t>
      </w:r>
      <w:r>
        <w:t xml:space="preserve">DataBase Design - Indices em Tabelas Particionadas - Pedro Gamelas (Pra validar)</w:t>
      </w:r>
      <w:r>
        <w:t xml:space="preserve"> </w:t>
      </w:r>
      <w:r>
        <w:t xml:space="preserve">API’s - URL - Filipa Soares</w:t>
      </w:r>
      <w:r>
        <w:t xml:space="preserve"> </w:t>
      </w:r>
      <w:r>
        <w:t xml:space="preserve">API’s - Circuit Breaker- David Duque</w:t>
      </w:r>
      <w:r>
        <w:t xml:space="preserve"> </w:t>
      </w:r>
      <w:r>
        <w:t xml:space="preserve">Observabilidade - Logging (validar a utilização do logmessage) - Tubal</w:t>
      </w:r>
      <w:r>
        <w:t xml:space="preserve"> </w:t>
      </w:r>
      <w:r>
        <w:t xml:space="preserve">Binários nas Tabelas ( Clobs ) - David Taveira</w:t>
      </w:r>
    </w:p>
    <w:p>
      <w:pPr>
        <w:pStyle w:val="BodyText"/>
      </w:pPr>
      <w:r>
        <w:rPr>
          <w:b/>
          <w:bCs/>
        </w:rPr>
        <w:t xml:space="preserve">ToDo</w:t>
      </w:r>
      <w:r>
        <w:t xml:space="preserve">:</w:t>
      </w:r>
      <w:r>
        <w:t xml:space="preserve"> </w:t>
      </w:r>
      <w:r>
        <w:t xml:space="preserve">Colocar uma aplicação em manutenção</w:t>
      </w:r>
      <w:r>
        <w:t xml:space="preserve"> </w:t>
      </w:r>
      <w:hyperlink r:id="rId20">
        <w:r>
          <w:rPr>
            <w:rStyle w:val="Hyperlink"/>
          </w:rPr>
          <w:t xml:space="preserve">Estruturas de Erro - Overview</w:t>
        </w:r>
      </w:hyperlink>
      <w:r>
        <w:t xml:space="preserve"> </w:t>
      </w:r>
      <w:r>
        <w:t xml:space="preserve">Queries com ORDER BY em campos alimentados por sequences</w:t>
      </w:r>
      <w:r>
        <w:t xml:space="preserve"> </w:t>
      </w:r>
      <w:r>
        <w:t xml:space="preserve">Anonimização</w:t>
      </w:r>
      <w:r>
        <w:t xml:space="preserve"> </w:t>
      </w:r>
      <w:r>
        <w:t xml:space="preserve">Identificar quando nome = description</w:t>
      </w:r>
      <w:r>
        <w:t xml:space="preserve"> </w:t>
      </w:r>
      <w:r>
        <w:t xml:space="preserve">Tabelas sem campos obrigatorios</w:t>
      </w:r>
      <w:r>
        <w:t xml:space="preserve"> </w:t>
      </w:r>
      <w:r>
        <w:t xml:space="preserve">Screen action sem try catch</w:t>
      </w:r>
      <w:r>
        <w:t xml:space="preserve"> </w:t>
      </w:r>
      <w:r>
        <w:t xml:space="preserve">Site proprieties devem ter descrição</w:t>
      </w:r>
      <w:r>
        <w:t xml:space="preserve"> </w:t>
      </w:r>
      <w:r>
        <w:t xml:space="preserve">Binding Variables nas queries</w:t>
      </w:r>
      <w:r>
        <w:t xml:space="preserve"> </w:t>
      </w:r>
      <w:r>
        <w:t xml:space="preserve">Aplicações com módulos externos, DMZ Têm umas quantas regras que podem ser guidelines e que estão nesta apresentação</w:t>
      </w:r>
      <w:r>
        <w:t xml:space="preserve"> </w:t>
      </w:r>
      <w:hyperlink r:id="rId21">
        <w:r>
          <w:rPr>
            <w:rStyle w:val="Hyperlink"/>
          </w:rPr>
          <w:t xml:space="preserve">Blueprint - DMZ.pptx</w:t>
        </w:r>
      </w:hyperlink>
      <w:r>
        <w:t xml:space="preserve"> </w:t>
      </w:r>
      <w:r>
        <w:t xml:space="preserve">Parametro de entrada em APIS para identificar o user que está a fazer acção - no seguimento da guideline das colunas de audit;</w:t>
      </w:r>
      <w:r>
        <w:t xml:space="preserve"> </w:t>
      </w:r>
      <w:r>
        <w:t xml:space="preserve">API’s - Parametros e Validações de Input</w:t>
      </w:r>
      <w:r>
        <w:t xml:space="preserve"> </w:t>
      </w:r>
      <w:r>
        <w:t xml:space="preserve">API’s - Parametros e Validações de Output</w:t>
      </w:r>
      <w:r>
        <w:t xml:space="preserve"> </w:t>
      </w:r>
      <w:r>
        <w:t xml:space="preserve">API’s - Data em UTC</w:t>
      </w:r>
      <w:r>
        <w:t xml:space="preserve"> </w:t>
      </w:r>
      <w:r>
        <w:t xml:space="preserve">API’s - APIM Interno</w:t>
      </w:r>
    </w:p>
    <w:p>
      <w:pPr>
        <w:pStyle w:val="BodyText"/>
      </w:pPr>
      <w:r>
        <w:rPr>
          <w:b/>
          <w:bCs/>
        </w:rPr>
        <w:t xml:space="preserve">A Rever:</w:t>
      </w:r>
      <w:r>
        <w:t xml:space="preserve"> </w:t>
      </w:r>
      <w:r>
        <w:t xml:space="preserve">Arquitectura de Referência - Nomenclatura dos Módulos</w:t>
      </w:r>
      <w:r>
        <w:t xml:space="preserve"> </w:t>
      </w:r>
      <w:r>
        <w:t xml:space="preserve">Monitorização Aplicacional - BizEvents Dynatrace</w:t>
      </w:r>
      <w:r>
        <w:t xml:space="preserve"> </w:t>
      </w:r>
      <w:r>
        <w:t xml:space="preserve">API’s - Arquitetura de Componentes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ev.azure.com/DSTILuzSaude/LS.DSTI.SWF.ARCH/_wiki/wikis/LS.DSTI.SWF.Wiki.wiki/1229/Estruturas-de-Erro" TargetMode="External" /><Relationship Type="http://schemas.openxmlformats.org/officeDocument/2006/relationships/hyperlink" Id="rId21" Target="https://luzsaude.sharepoint.com/:p:/r/sites/SW_FACTORY/_layouts/15/Doc.aspx?sourcedoc=%7B0CF24341-2C77-41AB-AE22-D3277D086B5A%7D&amp;file=Blueprint%20-%20DMZ.pptx&amp;action=edit&amp;mobileredirect=tr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v.azure.com/DSTILuzSaude/LS.DSTI.SWF.ARCH/_wiki/wikis/LS.DSTI.SWF.Wiki.wiki/1229/Estruturas-de-Erro" TargetMode="External" /><Relationship Type="http://schemas.openxmlformats.org/officeDocument/2006/relationships/hyperlink" Id="rId21" Target="https://luzsaude.sharepoint.com/:p:/r/sites/SW_FACTORY/_layouts/15/Doc.aspx?sourcedoc=%7B0CF24341-2C77-41AB-AE22-D3277D086B5A%7D&amp;file=Blueprint%20-%20DMZ.pptx&amp;action=edit&amp;mobileredirect=tr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📋 Guidelines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