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5.2.2 Database Schemas</w:t>
      </w:r>
    </w:p>
    <w:p>
      <w:pPr>
        <w:pStyle w:val="FirstParagraph"/>
      </w:pPr>
    </w:p>
    <w:bookmarkStart w:id="23" w:name="Xc272cc032d1fc60601915b118cba82a7be98364"/>
    <w:p>
      <w:pPr>
        <w:pStyle w:val="Heading1"/>
      </w:pPr>
      <w:r>
        <w:t xml:space="preserve">Guideline : Naming Conventions (Nomenclaturas), Deployments e Separação de Database Schemas em Oracle</w:t>
      </w:r>
    </w:p>
    <w:p>
      <w:pPr>
        <w:pStyle w:val="Compact"/>
        <w:numPr>
          <w:ilvl w:val="0"/>
          <w:numId w:val="1001"/>
        </w:numPr>
      </w:pPr>
      <w:r>
        <w:t xml:space="preserve">Cada Domain deve ter o seu Schema, exceto Domains Foundation (XF);</w:t>
      </w:r>
    </w:p>
    <w:p>
      <w:pPr>
        <w:pStyle w:val="Compact"/>
        <w:numPr>
          <w:ilvl w:val="0"/>
          <w:numId w:val="1001"/>
        </w:numPr>
      </w:pPr>
      <w:r>
        <w:t xml:space="preserve">Módulos devem ser publicados no schema correto a partir de DEV;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2"/>
        </w:numPr>
      </w:pPr>
      <w:r>
        <w:t xml:space="preserve">Security -&gt; Legality -&gt; Compliance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3"/>
        </w:numPr>
      </w:pPr>
      <w:r>
        <w:t xml:space="preserve">Modelo de Dados</w:t>
      </w:r>
    </w:p>
    <w:p>
      <w:pPr>
        <w:pStyle w:val="Compact"/>
        <w:numPr>
          <w:ilvl w:val="0"/>
          <w:numId w:val="1003"/>
        </w:numPr>
      </w:pPr>
      <w:r>
        <w:t xml:space="preserve">Arquitetura de Referência</w:t>
      </w:r>
    </w:p>
    <w:bookmarkEnd w:id="21"/>
    <w:bookmarkStart w:id="22" w:name="orientação-técnica"/>
    <w:p>
      <w:pPr>
        <w:pStyle w:val="Heading2"/>
      </w:pPr>
      <w:r>
        <w:t xml:space="preserve">Orientação Técnica</w:t>
      </w:r>
    </w:p>
    <w:bookmarkEnd w:id="22"/>
    <w:bookmarkEnd w:id="23"/>
    <w:bookmarkStart w:id="28" w:name="section"/>
    <w:p>
      <w:pPr>
        <w:pStyle w:val="Heading1"/>
      </w:pPr>
    </w:p>
    <w:p>
      <w:pPr>
        <w:pStyle w:val="FirstParagraph"/>
      </w:pPr>
      <w:r>
        <w:rPr>
          <w:b/>
          <w:bCs/>
          <w:i/>
          <w:iCs/>
        </w:rPr>
        <w:t xml:space="preserve">A) Pedido de Criação de Schema</w:t>
      </w:r>
    </w:p>
    <w:p>
      <w:pPr>
        <w:numPr>
          <w:ilvl w:val="0"/>
          <w:numId w:val="1004"/>
        </w:numPr>
      </w:pPr>
      <w:r>
        <w:t xml:space="preserve">A criação de um novo Schema deve ser pedida no canal</w:t>
      </w:r>
      <w:r>
        <w:t xml:space="preserve"> </w:t>
      </w:r>
      <w:r>
        <w:rPr>
          <w:b/>
          <w:bCs/>
        </w:rPr>
        <w:t xml:space="preserve">[Squad GRAPHITE] Platform Ops and Maintenance</w:t>
      </w:r>
      <w:r>
        <w:t xml:space="preserve">, com os seguintes requisitos:</w:t>
      </w:r>
    </w:p>
    <w:p>
      <w:pPr>
        <w:pStyle w:val="Compact"/>
        <w:numPr>
          <w:ilvl w:val="1"/>
          <w:numId w:val="1005"/>
        </w:numPr>
      </w:pPr>
      <w:r>
        <w:t xml:space="preserve">Infraestrutura onde o Schema se encontra;</w:t>
      </w:r>
    </w:p>
    <w:p>
      <w:pPr>
        <w:pStyle w:val="Compact"/>
        <w:numPr>
          <w:ilvl w:val="1"/>
          <w:numId w:val="1005"/>
        </w:numPr>
      </w:pPr>
      <w:r>
        <w:t xml:space="preserve">Nome do Schema;</w:t>
      </w:r>
    </w:p>
    <w:p>
      <w:pPr>
        <w:pStyle w:val="Compact"/>
        <w:numPr>
          <w:ilvl w:val="1"/>
          <w:numId w:val="1005"/>
        </w:numPr>
      </w:pPr>
      <w:r>
        <w:t xml:space="preserve">Descrição do Schema.</w:t>
      </w:r>
    </w:p>
    <w:p>
      <w:pPr>
        <w:pStyle w:val="FirstParagraph"/>
      </w:pPr>
      <w:r>
        <w:rPr>
          <w:b/>
          <w:bCs/>
          <w:i/>
          <w:iCs/>
        </w:rPr>
        <w:t xml:space="preserve">B)</w:t>
      </w:r>
      <w:r>
        <w:rPr>
          <w:b/>
          <w:bCs/>
          <w:i/>
          <w:iCs/>
        </w:rPr>
        <w:t xml:space="preserve"> </w:t>
      </w:r>
      <w:hyperlink r:id="rId24">
        <w:r>
          <w:rPr>
            <w:rStyle w:val="Hyperlink"/>
            <w:b/>
            <w:bCs/>
            <w:i/>
            <w:iCs/>
          </w:rPr>
          <w:t xml:space="preserve">5.2.2.1 Database Schemas - Naming Conventions (Nomenclatura Consistente)</w:t>
        </w:r>
      </w:hyperlink>
    </w:p>
    <w:p>
      <w:pPr>
        <w:pStyle w:val="BodyText"/>
      </w:pPr>
      <w:r>
        <w:rPr>
          <w:b/>
          <w:bCs/>
          <w:i/>
          <w:iCs/>
        </w:rPr>
        <w:t xml:space="preserve">C) Cada módulo de um Domain deve ser publicado estando associado ao Schema desse Domain</w:t>
      </w:r>
    </w:p>
    <w:p>
      <w:pPr>
        <w:pStyle w:val="BodyText"/>
      </w:pPr>
      <w:r>
        <w:t xml:space="preserve">##Auditoria</w:t>
      </w:r>
    </w:p>
    <w:p>
      <w:pPr>
        <w:pStyle w:val="BodyText"/>
      </w:pPr>
      <w:r>
        <w:t xml:space="preserve">A auditoria será realizada por inspeção visual da base de dados nos seguintes momentos:</w:t>
      </w:r>
    </w:p>
    <w:p>
      <w:pPr>
        <w:pStyle w:val="Compact"/>
        <w:numPr>
          <w:ilvl w:val="0"/>
          <w:numId w:val="1006"/>
        </w:numPr>
      </w:pPr>
      <w:r>
        <w:t xml:space="preserve">Fase de Deployment - Revisão do</w:t>
      </w:r>
      <w:r>
        <w:t xml:space="preserve"> </w:t>
      </w:r>
      <w:r>
        <w:rPr>
          <w:b/>
          <w:bCs/>
        </w:rPr>
        <w:t xml:space="preserve">Plano de Instalação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Fase de Validação com</w:t>
      </w:r>
      <w:r>
        <w:t xml:space="preserve"> </w:t>
      </w:r>
      <w:r>
        <w:rPr>
          <w:b/>
          <w:bCs/>
        </w:rPr>
        <w:t xml:space="preserve">FMT-IPV</w:t>
      </w:r>
      <w:r>
        <w:t xml:space="preserve"> </w:t>
      </w:r>
      <w:r>
        <w:t xml:space="preserve">- Revisão de potenciais erros que a ferramenta encontre.</w:t>
      </w:r>
    </w:p>
    <w:p>
      <w:pPr>
        <w:pStyle w:val="FirstParagraph"/>
      </w:pPr>
      <w:r>
        <w:rPr>
          <w:i/>
          <w:iCs/>
        </w:rPr>
        <w:t xml:space="preserve">(Nota: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FMT-IPV</w:t>
      </w:r>
      <w:r>
        <w:rPr>
          <w:i/>
          <w:iCs/>
        </w:rPr>
        <w:t xml:space="preserve"> </w:t>
      </w:r>
      <w:r>
        <w:rPr>
          <w:i/>
          <w:iCs/>
        </w:rPr>
        <w:t xml:space="preserve">é uma ferramenta in-house, OutSystems-based, desenvolvida pela Graphite, que efetua as validações de alterações nas subidas, incluindo, para esta guideline, nos schemas da base de dados)</w:t>
      </w:r>
    </w:p>
    <w:bookmarkStart w:id="26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8"/>
        </w:numPr>
      </w:pPr>
      <w:r>
        <w:t xml:space="preserve">Fase de Deployment - Revisão do</w:t>
      </w:r>
      <w:r>
        <w:t xml:space="preserve"> </w:t>
      </w:r>
      <w:r>
        <w:rPr>
          <w:b/>
          <w:bCs/>
        </w:rPr>
        <w:t xml:space="preserve">Plano de Instalação</w:t>
      </w:r>
    </w:p>
    <w:p>
      <w:pPr>
        <w:pStyle w:val="Heading2"/>
        <w:numPr>
          <w:ilvl w:val="1"/>
          <w:numId w:val="1009"/>
        </w:numPr>
      </w:pPr>
      <w:bookmarkStart w:id="25" w:name="pré-requisitos-para-instalação."/>
      <w:r>
        <w:t xml:space="preserve">Pré-requisitos para Instalação.</w:t>
      </w:r>
      <w:bookmarkEnd w:id="25"/>
    </w:p>
    <w:p>
      <w:pPr>
        <w:pStyle w:val="Compact"/>
        <w:numPr>
          <w:ilvl w:val="0"/>
          <w:numId w:val="1010"/>
        </w:numPr>
      </w:pPr>
      <w:r>
        <w:t xml:space="preserve">Fase de Validação com</w:t>
      </w:r>
      <w:r>
        <w:t xml:space="preserve"> </w:t>
      </w:r>
      <w:r>
        <w:rPr>
          <w:b/>
          <w:bCs/>
        </w:rPr>
        <w:t xml:space="preserve">FMT-IPV</w:t>
      </w:r>
    </w:p>
    <w:p>
      <w:pPr>
        <w:pStyle w:val="Compact"/>
        <w:numPr>
          <w:ilvl w:val="1"/>
          <w:numId w:val="1011"/>
        </w:numPr>
      </w:pPr>
      <w:r>
        <w:t xml:space="preserve">Comparação de PRE com PRD;</w:t>
      </w:r>
    </w:p>
    <w:p>
      <w:pPr>
        <w:pStyle w:val="Compact"/>
        <w:numPr>
          <w:ilvl w:val="1"/>
          <w:numId w:val="1011"/>
        </w:numPr>
      </w:pPr>
      <w:r>
        <w:t xml:space="preserve">Se for em ambientes antes de PRE/PRD, tem que se abrir não conformidade no Hall of Fame caso o schema não esteja associado. Tem que se validar (2 momentos que o Hall of Fame valida: QA e PRD);</w:t>
      </w:r>
    </w:p>
    <w:p>
      <w:pPr>
        <w:pStyle w:val="Compact"/>
        <w:numPr>
          <w:ilvl w:val="1"/>
          <w:numId w:val="1011"/>
        </w:numPr>
      </w:pPr>
      <w:r>
        <w:t xml:space="preserve">Verificação da identificação de novos módulos e do seu schema associado pela equipa.</w:t>
      </w:r>
    </w:p>
    <w:bookmarkEnd w:id="26"/>
    <w:bookmarkStart w:id="27" w:name="monitorização-automáticomanual"/>
    <w:p>
      <w:pPr>
        <w:pStyle w:val="Heading2"/>
      </w:pPr>
      <w:r>
        <w:t xml:space="preserve">Monitorização Automático/Manual</w:t>
      </w:r>
    </w:p>
    <w:p>
      <w:pPr>
        <w:pStyle w:val="Compact"/>
        <w:numPr>
          <w:ilvl w:val="0"/>
          <w:numId w:val="1012"/>
        </w:numPr>
      </w:pPr>
      <w:r>
        <w:t xml:space="preserve">Existe um automatismo definido na aplicação</w:t>
      </w:r>
      <w:r>
        <w:t xml:space="preserve"> </w:t>
      </w:r>
      <w:r>
        <w:rPr>
          <w:b/>
          <w:bCs/>
        </w:rPr>
        <w:t xml:space="preserve">GPURPLE</w:t>
      </w:r>
      <w:r>
        <w:t xml:space="preserve"> </w:t>
      </w:r>
      <w:r>
        <w:t xml:space="preserve">(aplicação criada para os automatismos das Guidelines Purple);</w:t>
      </w:r>
    </w:p>
    <w:p>
      <w:pPr>
        <w:pStyle w:val="Compact"/>
        <w:numPr>
          <w:ilvl w:val="0"/>
          <w:numId w:val="1012"/>
        </w:numPr>
      </w:pPr>
      <w:r>
        <w:t xml:space="preserve">A lógica desta guideline insere-se no Módulo</w:t>
      </w:r>
      <w:r>
        <w:t xml:space="preserve"> </w:t>
      </w:r>
      <w:r>
        <w:rPr>
          <w:b/>
          <w:bCs/>
        </w:rPr>
        <w:t xml:space="preserve">GPURPLE_SECURITY_BL</w:t>
      </w:r>
      <w:r>
        <w:t xml:space="preserve"> </w:t>
      </w:r>
      <w:r>
        <w:t xml:space="preserve">(pois a mesma está alocada ao NFR de Security).</w:t>
      </w:r>
    </w:p>
    <w:p>
      <w:pPr>
        <w:pStyle w:val="Compact"/>
        <w:numPr>
          <w:ilvl w:val="0"/>
          <w:numId w:val="1012"/>
        </w:numPr>
      </w:pPr>
      <w:r>
        <w:t xml:space="preserve">As não conformidades criadas com este automatismo podem ser filtradas no seguinte URL por</w:t>
      </w:r>
      <w:r>
        <w:t xml:space="preserve"> </w:t>
      </w:r>
      <w:r>
        <w:t xml:space="preserve">“Database Schemas”</w:t>
      </w:r>
      <w:r>
        <w:t xml:space="preserve">: https://devweb.hluz.ess.local/HOF/Listagem.aspx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/5.-&#128203;-Guidelines/5.2-DataBase-Design/5.2.2-Database-Schemas/5.2.2.1-Database-Schemas-%2D-Naming-Conventions-(Nomenclatura-Consistente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/5.-&#128203;-Guidelines/5.2-DataBase-Design/5.2.2-Database-Schemas/5.2.2.1-Database-Schemas-%2D-Naming-Conventions-(Nomenclatura-Consistente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Database Schemas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