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5.2.3 Índices em Tabelas Particionadas</w:t>
      </w:r>
    </w:p>
    <w:bookmarkStart w:id="27" w:name="X12773ef6d1704905f04d3ea7fafebb87747e1de"/>
    <w:p>
      <w:pPr>
        <w:pStyle w:val="Heading1"/>
      </w:pPr>
      <w:r>
        <w:t xml:space="preserve">Guideline : Índices em Tabelas Particionadas</w:t>
      </w:r>
    </w:p>
    <w:p>
      <w:pPr>
        <w:pStyle w:val="Compact"/>
        <w:numPr>
          <w:ilvl w:val="0"/>
          <w:numId w:val="1001"/>
        </w:numPr>
      </w:pPr>
      <w:r>
        <w:t xml:space="preserve">A inclusão de índices locais deve ser o padrão para todas as tabelas particionadas.</w:t>
      </w:r>
    </w:p>
    <w:p>
      <w:pPr>
        <w:pStyle w:val="FirstParagraph"/>
      </w:pPr>
      <w:r>
        <w:t xml:space="preserve">Após implementar o particionamento, é crítico rever a estratégia de indexação para garantir o </w:t>
      </w:r>
      <w:r>
        <w:rPr>
          <w:i/>
          <w:iCs/>
        </w:rPr>
        <w:t xml:space="preserve">partition pruning</w:t>
      </w:r>
      <w:r>
        <w:t xml:space="preserve"> e a manutenção eficiente (DROP/SPLIT de partições).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Compact"/>
        <w:numPr>
          <w:ilvl w:val="0"/>
          <w:numId w:val="1002"/>
        </w:numPr>
      </w:pPr>
      <w:r>
        <w:t xml:space="preserve">Scalability -&gt; Lactency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3"/>
        </w:numPr>
      </w:pPr>
      <w:r>
        <w:t xml:space="preserve">Modelo de Dados</w:t>
      </w:r>
    </w:p>
    <w:p>
      <w:pPr>
        <w:pStyle w:val="Compact"/>
        <w:numPr>
          <w:ilvl w:val="0"/>
          <w:numId w:val="1003"/>
        </w:numPr>
      </w:pPr>
      <w:r>
        <w:t xml:space="preserve">Manutenção / Disponibilidade</w:t>
      </w:r>
    </w:p>
    <w:bookmarkEnd w:id="21"/>
    <w:bookmarkStart w:id="24" w:name="orientação-técnica"/>
    <w:p>
      <w:pPr>
        <w:pStyle w:val="Heading2"/>
      </w:pPr>
      <w:r>
        <w:t xml:space="preserve">Orientação Técnica</w:t>
      </w:r>
    </w:p>
    <w:p>
      <w:pPr>
        <w:pStyle w:val="Compact"/>
        <w:numPr>
          <w:ilvl w:val="0"/>
          <w:numId w:val="1004"/>
        </w:numPr>
      </w:pPr>
      <w:r>
        <w:t xml:space="preserve">A regra geral é utilizar </w:t>
      </w:r>
      <w:r>
        <w:rPr>
          <w:b/>
          <w:bCs/>
        </w:rPr>
        <w:t xml:space="preserve">Índices Locais</w:t>
      </w:r>
      <w:r>
        <w:t xml:space="preserve"> em vez de</w:t>
      </w:r>
      <w:r>
        <w:t xml:space="preserve"> </w:t>
      </w:r>
      <w:r>
        <w:rPr>
          <w:b/>
          <w:bCs/>
        </w:rPr>
        <w:t xml:space="preserve">Índices Globais</w:t>
      </w:r>
      <w:r>
        <w:t xml:space="preserve"> </w:t>
      </w:r>
      <w:r>
        <w:t xml:space="preserve">para simplificar a manutenção e garantir previsibilidade.</w:t>
      </w:r>
    </w:p>
    <w:p>
      <w:pPr>
        <w:pStyle w:val="Compact"/>
        <w:numPr>
          <w:ilvl w:val="0"/>
          <w:numId w:val="1004"/>
        </w:numPr>
      </w:pPr>
      <w:r>
        <w:t xml:space="preserve">Índices Globais devem ser utilizados apenas em exceções lógicas estritas, pois impactam a disponibilidade durante manutenções(DROP/SPLIT de partições).</w:t>
      </w:r>
    </w:p>
    <w:p>
      <w:pPr>
        <w:pStyle w:val="Compact"/>
        <w:numPr>
          <w:ilvl w:val="0"/>
          <w:numId w:val="1004"/>
        </w:numPr>
      </w:pPr>
      <w:r>
        <w:t xml:space="preserve">A troca</w:t>
      </w:r>
      <w:r>
        <w:t xml:space="preserve"> </w:t>
      </w:r>
      <w:r>
        <w:rPr>
          <w:b/>
          <w:bCs/>
        </w:rPr>
        <w:t xml:space="preserve">Índices Globais</w:t>
      </w:r>
      <w:r>
        <w:t xml:space="preserve"> para</w:t>
      </w:r>
      <w:r>
        <w:t xml:space="preserve"> </w:t>
      </w:r>
      <w:r>
        <w:rPr>
          <w:b/>
          <w:bCs/>
        </w:rPr>
        <w:t xml:space="preserve">Índices Locais</w:t>
      </w:r>
      <w:r>
        <w:t xml:space="preserve"> </w:t>
      </w:r>
      <w:r>
        <w:t xml:space="preserve">deve ser feita diretamente na base de dados (após apagar os Índices Globais no Service Studio) seguindo os procedimentos de paralelismo para reduzir janelas de indisponibilidade.</w:t>
      </w:r>
    </w:p>
    <w:p>
      <w:pPr>
        <w:pStyle w:val="FirstParagraph"/>
      </w:pPr>
      <w:hyperlink r:id="rId22">
        <w:r>
          <w:rPr>
            <w:rStyle w:val="Hyperlink"/>
          </w:rPr>
          <w:t xml:space="preserve">Procedimento e Orientação Técnica</w:t>
        </w:r>
      </w:hyperlink>
    </w:p>
    <w:p>
      <w:pPr>
        <w:pStyle w:val="BodyText"/>
      </w:pPr>
      <w:r>
        <w:t xml:space="preserve">##Auditoria</w:t>
      </w:r>
    </w:p>
    <w:p>
      <w:pPr>
        <w:pStyle w:val="BodyText"/>
      </w:pPr>
      <w:r>
        <w:t xml:space="preserve">A auditoria será realizada por inspeção da tabela de índices no Schema em que a tabela se encontra no seguinte momento:</w:t>
      </w:r>
      <w:r>
        <w:t xml:space="preserve"> </w:t>
      </w:r>
      <w:r>
        <w:t xml:space="preserve">*  Fase de Deployment - Cerimónia Audit</w:t>
      </w:r>
    </w:p>
    <w:bookmarkStart w:id="23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5"/>
        </w:numPr>
      </w:pPr>
      <w:r>
        <w:t xml:space="preserve">Aceder à base de dados via SQL Developer ou TOAD.</w:t>
      </w:r>
    </w:p>
    <w:p>
      <w:pPr>
        <w:pStyle w:val="Compact"/>
        <w:numPr>
          <w:ilvl w:val="0"/>
          <w:numId w:val="1005"/>
        </w:numPr>
      </w:pPr>
      <w:r>
        <w:t xml:space="preserve">Abrir uma worksheet no Schema com a tabela particionada</w:t>
      </w:r>
    </w:p>
    <w:p>
      <w:pPr>
        <w:pStyle w:val="Compact"/>
        <w:numPr>
          <w:ilvl w:val="0"/>
          <w:numId w:val="1005"/>
        </w:numPr>
      </w:pPr>
      <w:r>
        <w:t xml:space="preserve">Executar a seguinte query para validar se os índices estão corretamente configurados como </w:t>
      </w:r>
      <w:r>
        <w:rPr>
          <w:rStyle w:val="VerbatimChar"/>
        </w:rPr>
        <w:t xml:space="preserve">LOCAL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user_indexes.index_name,</w:t>
      </w:r>
      <w:r>
        <w:br/>
      </w:r>
      <w:r>
        <w:rPr>
          <w:rStyle w:val="NormalTok"/>
        </w:rPr>
        <w:t xml:space="preserve">    user_indexes.table_name,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locality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locality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partitioned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 (Non-Partitioned)'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tipo_indice,</w:t>
      </w:r>
      <w:r>
        <w:br/>
      </w:r>
      <w:r>
        <w:rPr>
          <w:rStyle w:val="NormalTok"/>
        </w:rPr>
        <w:t xml:space="preserve">    alignment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user_indexes 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user_part_indexes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user_indexes.index_name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user_part_indexes.index_name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user_indexes.table_name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'NOME_FISICO_DA_TABELA'</w:t>
      </w:r>
      <w:r>
        <w:rPr>
          <w:rStyle w:val="NormalTok"/>
        </w:rPr>
        <w:t xml:space="preserve">;</w:t>
      </w:r>
    </w:p>
    <w:bookmarkEnd w:id="23"/>
    <w:bookmarkEnd w:id="24"/>
    <w:bookmarkStart w:id="26" w:name="monitorização-automáticomanual"/>
    <w:p>
      <w:pPr>
        <w:pStyle w:val="Heading2"/>
      </w:pPr>
      <w:r>
        <w:t xml:space="preserve">Monitorização Automático/Manual</w:t>
      </w:r>
    </w:p>
    <w:p>
      <w:pPr>
        <w:pStyle w:val="FirstParagraph"/>
      </w:pPr>
      <w:r>
        <w:t xml:space="preserve">A monitorização será assegurada através dos mecanismos de auditoria do Oracle Enterprise Manager.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  <w:i/>
          <w:iCs/>
        </w:rPr>
        <w:t xml:space="preserve">Momento de Controlo:</w:t>
      </w:r>
      <w:r>
        <w:t xml:space="preserve"> Fase de Deployment - Cerimónia de Audit.</w:t>
      </w:r>
    </w:p>
    <w:p>
      <w:pPr>
        <w:pStyle w:val="Compact"/>
        <w:numPr>
          <w:ilvl w:val="0"/>
          <w:numId w:val="1006"/>
        </w:numPr>
      </w:pPr>
      <w:r>
        <w:t xml:space="preserve">Criar Não Conformidade com base no procedimento:</w:t>
      </w:r>
      <w:r>
        <w:t xml:space="preserve"> </w:t>
      </w:r>
      <w:hyperlink r:id="rId25">
        <w:r>
          <w:rPr>
            <w:rStyle w:val="Hyperlink"/>
          </w:rPr>
          <w:t xml:space="preserve">Procedimento Criação de Não Conformidades</w:t>
        </w:r>
      </w:hyperlink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/3.-&#128295;-Procedimentos-/3.3-Particionamento-de-tabelas/3.3.2-&#205;ndices-em-Tabelas-Particionadas#orienta&#231;&#227;o-t&#233;cnica" TargetMode="External" /><Relationship Type="http://schemas.openxmlformats.org/officeDocument/2006/relationships/hyperlink" Id="rId25" Target="/3.-&#128295;-Procedimentos-/Procedimento-Cria&#231;&#227;o-de-N&#227;o-Conformidad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/3.-&#128295;-Procedimentos-/3.3-Particionamento-de-tabelas/3.3.2-&#205;ndices-em-Tabelas-Particionadas#orienta&#231;&#227;o-t&#233;cnica" TargetMode="External" /><Relationship Type="http://schemas.openxmlformats.org/officeDocument/2006/relationships/hyperlink" Id="rId25" Target="/3.-&#128295;-Procedimentos-/Procedimento-Cria&#231;&#227;o-de-N&#227;o-Conformidad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5.2.3 Índices em Tabelas Particionadas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