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5.2.5 Caracteres nas Tabelas (CLOBs)</w:t>
      </w:r>
    </w:p>
    <w:p>
      <w:pPr>
        <w:pStyle w:val="FirstParagraph"/>
      </w:pPr>
    </w:p>
    <w:bookmarkStart w:id="25" w:name="guideline-caracteres-nas-tabelas-clobs"/>
    <w:p>
      <w:pPr>
        <w:pStyle w:val="Heading1"/>
      </w:pPr>
      <w:r>
        <w:t xml:space="preserve">Guideline : Caracteres nas Tabelas (CLOBs)</w:t>
      </w:r>
    </w:p>
    <w:p>
      <w:pPr>
        <w:numPr>
          <w:ilvl w:val="0"/>
          <w:numId w:val="1001"/>
        </w:numPr>
      </w:pPr>
      <w:r>
        <w:t xml:space="preserve">CLOB (Character LOB) tem como intuito armazenar grandes quantidades de texto (excedendo os 2000 caracteres), out-of-line (em tabelas de extensão);</w:t>
      </w:r>
    </w:p>
    <w:p>
      <w:pPr>
        <w:numPr>
          <w:ilvl w:val="0"/>
          <w:numId w:val="1001"/>
        </w:numPr>
      </w:pPr>
      <w:r>
        <w:t xml:space="preserve">O tipo de dado em OutSystems é definido como</w:t>
      </w:r>
      <w:r>
        <w:t xml:space="preserve"> </w:t>
      </w:r>
      <w:r>
        <w:t xml:space="preserve">“Text”</w:t>
      </w:r>
      <w:r>
        <w:t xml:space="preserve">, em Oracle torna-se</w:t>
      </w:r>
      <w:r>
        <w:t xml:space="preserve"> </w:t>
      </w:r>
      <w:r>
        <w:t xml:space="preserve">“CLOB”</w:t>
      </w:r>
      <w:r>
        <w:t xml:space="preserve">.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Compact"/>
        <w:numPr>
          <w:ilvl w:val="0"/>
          <w:numId w:val="1002"/>
        </w:numPr>
      </w:pPr>
      <w:r>
        <w:t xml:space="preserve">Durability -&gt; Archivability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3"/>
        </w:numPr>
      </w:pPr>
      <w:r>
        <w:t xml:space="preserve">Modelo de Dados</w:t>
      </w:r>
    </w:p>
    <w:p>
      <w:pPr>
        <w:pStyle w:val="Compact"/>
        <w:numPr>
          <w:ilvl w:val="0"/>
          <w:numId w:val="1003"/>
        </w:numPr>
      </w:pPr>
      <w:r>
        <w:t xml:space="preserve">Arquitetura de Referência</w:t>
      </w:r>
    </w:p>
    <w:bookmarkEnd w:id="21"/>
    <w:bookmarkStart w:id="23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Peguemos num exemplo de uma Entity OutSystems hipotética (</w:t>
      </w:r>
      <w:r>
        <w:rPr>
          <w:b/>
          <w:bCs/>
        </w:rPr>
        <w:t xml:space="preserve">REGISTOS_CLINICOS</w:t>
      </w:r>
      <w:r>
        <w:t xml:space="preserve">). Usemos o exemplo em que uma coluna é um CLOB (</w:t>
      </w:r>
      <w:r>
        <w:rPr>
          <w:b/>
          <w:bCs/>
        </w:rPr>
        <w:t xml:space="preserve">CONTEUDO_NOTA</w:t>
      </w:r>
      <w:r>
        <w:t xml:space="preserve">), e criemos uma tabela de extensão, que apenas terá a Primary Key de</w:t>
      </w:r>
      <w:r>
        <w:t xml:space="preserve"> </w:t>
      </w:r>
      <w:r>
        <w:rPr>
          <w:b/>
          <w:bCs/>
        </w:rPr>
        <w:t xml:space="preserve">REGISTOS_CLINICOS</w:t>
      </w:r>
      <w:r>
        <w:t xml:space="preserve"> </w:t>
      </w:r>
      <w:r>
        <w:t xml:space="preserve">e esse CLOB</w:t>
      </w:r>
      <w:r>
        <w:t xml:space="preserve"> </w:t>
      </w:r>
      <w:r>
        <w:rPr>
          <w:b/>
          <w:bCs/>
        </w:rPr>
        <w:t xml:space="preserve">CONTEUDO_NOTA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 da Coluna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Dado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REGISTO_ID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 Integer</w:t>
            </w:r>
          </w:p>
        </w:tc>
        <w:tc>
          <w:tcPr/>
          <w:p>
            <w:pPr>
              <w:pStyle w:val="Compact"/>
            </w:pPr>
            <w:r>
              <w:t xml:space="preserve">Chave Primária (PK) da Tabela</w:t>
            </w:r>
            <w:r>
              <w:t xml:space="preserve"> </w:t>
            </w:r>
            <w:r>
              <w:rPr>
                <w:b/>
                <w:bCs/>
              </w:rPr>
              <w:t xml:space="preserve">REGISTOS_CLINICOS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CONTEUDO_NOTA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Armazena o texto completo do relatório (notas de enfermagem, descrições cirúrgicas, etc.), que pode exceder 2000 caracteres (</w:t>
            </w:r>
            <w:r>
              <w:rPr>
                <w:b/>
                <w:bCs/>
              </w:rPr>
              <w:t xml:space="preserve">acima disso já se torna CLOB</w:t>
            </w:r>
            <w:r>
              <w:t xml:space="preserve">, por isso podemos definir um valor na Length de</w:t>
            </w:r>
            <w:r>
              <w:t xml:space="preserve"> </w:t>
            </w:r>
            <w:r>
              <w:rPr>
                <w:b/>
                <w:bCs/>
              </w:rPr>
              <w:t xml:space="preserve">2001</w:t>
            </w:r>
            <w:r>
              <w:t xml:space="preserve"> </w:t>
            </w:r>
            <w:r>
              <w:t xml:space="preserve">para cima.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E.g.: 4000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##Auditoria</w:t>
      </w:r>
    </w:p>
    <w:p>
      <w:pPr>
        <w:pStyle w:val="BodyText"/>
      </w:pPr>
      <w:r>
        <w:t xml:space="preserve">A auditoria será realizada por inspeção visual das tabelas de extensão com CLOBs nos seguintes momentos:</w:t>
      </w:r>
    </w:p>
    <w:p>
      <w:pPr>
        <w:pStyle w:val="BodyText"/>
      </w:pPr>
      <w:r>
        <w:t xml:space="preserve">Fase de Deployment - Revisão do Plano de Instalação;</w:t>
      </w:r>
      <w:r>
        <w:t xml:space="preserve"> </w:t>
      </w:r>
      <w:r>
        <w:t xml:space="preserve">Fase de Validação com FMT-IPV - Revisão de potenciais erros que a ferramenta encontre.</w:t>
      </w:r>
      <w:r>
        <w:t xml:space="preserve"> </w:t>
      </w:r>
      <w:r>
        <w:t xml:space="preserve">(Nota: FMT-IPV é uma ferramenta in-house, OutSystems-based, desenvolvida pela Graphite, que efetua as validações de alterações nas subidas, incluindo, para esta guideline, nos CLOBS das tabelas de extensão afetadas da base de dados)</w:t>
      </w:r>
    </w:p>
    <w:bookmarkStart w:id="22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4"/>
        </w:numPr>
      </w:pPr>
      <w:r>
        <w:t xml:space="preserve">Fase de Deployment - Revisão do</w:t>
      </w:r>
      <w:r>
        <w:t xml:space="preserve"> </w:t>
      </w:r>
      <w:r>
        <w:rPr>
          <w:b/>
          <w:bCs/>
        </w:rPr>
        <w:t xml:space="preserve">Plano de Instalação</w:t>
      </w:r>
    </w:p>
    <w:p>
      <w:pPr>
        <w:pStyle w:val="Compact"/>
        <w:numPr>
          <w:ilvl w:val="1"/>
          <w:numId w:val="1005"/>
        </w:numPr>
      </w:pPr>
      <w:r>
        <w:t xml:space="preserve">Pré-requisitos para Instalação.</w:t>
      </w:r>
    </w:p>
    <w:p>
      <w:pPr>
        <w:pStyle w:val="Compact"/>
        <w:numPr>
          <w:ilvl w:val="0"/>
          <w:numId w:val="1006"/>
        </w:numPr>
      </w:pPr>
      <w:r>
        <w:t xml:space="preserve">Fase de Validação com</w:t>
      </w:r>
      <w:r>
        <w:t xml:space="preserve"> </w:t>
      </w:r>
      <w:r>
        <w:rPr>
          <w:b/>
          <w:bCs/>
        </w:rPr>
        <w:t xml:space="preserve">FMT-IPV</w:t>
      </w:r>
    </w:p>
    <w:p>
      <w:pPr>
        <w:pStyle w:val="Compact"/>
        <w:numPr>
          <w:ilvl w:val="1"/>
          <w:numId w:val="1007"/>
        </w:numPr>
      </w:pPr>
      <w:r>
        <w:t xml:space="preserve">Comparação de PRE com PRD;</w:t>
      </w:r>
    </w:p>
    <w:p>
      <w:pPr>
        <w:pStyle w:val="Compact"/>
        <w:numPr>
          <w:ilvl w:val="1"/>
          <w:numId w:val="1007"/>
        </w:numPr>
      </w:pPr>
      <w:r>
        <w:t xml:space="preserve">Se for em ambientes antes de PRE/PRD, tem que se abrir não conformidade no Hall of Fame caso o schema não esteja associado. Tem que se validar (2 momentos que o Hall of Fame valida: QA e PRD);</w:t>
      </w:r>
    </w:p>
    <w:p>
      <w:pPr>
        <w:pStyle w:val="Compact"/>
        <w:numPr>
          <w:ilvl w:val="1"/>
          <w:numId w:val="1007"/>
        </w:numPr>
      </w:pPr>
      <w:r>
        <w:t xml:space="preserve">Verificação da identificação de novos CLOBs nas tabelas de extensão do schema associado à sua equipa.</w:t>
      </w:r>
    </w:p>
    <w:bookmarkEnd w:id="22"/>
    <w:bookmarkEnd w:id="23"/>
    <w:bookmarkStart w:id="24" w:name="monitorização-automáticomanual"/>
    <w:p>
      <w:pPr>
        <w:pStyle w:val="Heading2"/>
      </w:pPr>
      <w:r>
        <w:t xml:space="preserve">Monitorização Automático/Manual</w:t>
      </w:r>
    </w:p>
    <w:p>
      <w:pPr>
        <w:pStyle w:val="Compact"/>
        <w:numPr>
          <w:ilvl w:val="0"/>
          <w:numId w:val="1008"/>
        </w:numPr>
      </w:pPr>
      <w:r>
        <w:t xml:space="preserve">https://devweb.hluz.ess.local/HOF/Listagem.aspx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1"/>
  </w:num>
  <w:num w:numId="1006">
    <w:abstractNumId w:val="992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5.2.5 Caracteres nas Tabelas (CLOBs)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