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5.3.1 Nomenclatura dos Módulos</w:t>
      </w:r>
    </w:p>
    <w:bookmarkStart w:id="25" w:name="guideline-nomenclatura-dos-módulos"/>
    <w:p>
      <w:pPr>
        <w:pStyle w:val="Heading1"/>
      </w:pPr>
      <w:r>
        <w:t xml:space="preserve">Guideline : Nomenclatura dos Módulos</w:t>
      </w:r>
    </w:p>
    <w:p>
      <w:pPr>
        <w:pStyle w:val="FirstParagraph"/>
      </w:pPr>
      <w:r>
        <w:t xml:space="preserve">Todos os Módulos devem seguir as nomenclaturas definidas pela Luz Saúde.</w:t>
      </w:r>
    </w:p>
    <w:bookmarkStart w:id="20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1"/>
        </w:numPr>
      </w:pPr>
      <w:r>
        <w:t xml:space="preserve">Arquitetura de Referência</w:t>
      </w:r>
    </w:p>
    <w:bookmarkEnd w:id="20"/>
    <w:bookmarkStart w:id="21" w:name="orientação-técnica"/>
    <w:p>
      <w:pPr>
        <w:pStyle w:val="Heading2"/>
      </w:pPr>
      <w:r>
        <w:t xml:space="preserve">Orientação Técnica</w:t>
      </w:r>
    </w:p>
    <w:p>
      <w:pPr>
        <w:pStyle w:val="FirstParagraph"/>
      </w:pPr>
      <w:r>
        <w:t xml:space="preserve">Todos os Módulos devem seguir a seguinte nomenclatura: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Nomenclatura Permitidas: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End-user Layer:</w:t>
            </w:r>
            <w:r>
              <w:t xml:space="preserve"> </w:t>
            </w:r>
            <w:r>
              <w:t xml:space="preserve">- N.A. para FO’s</w:t>
            </w:r>
            <w:r>
              <w:t xml:space="preserve"> </w:t>
            </w:r>
            <w:r>
              <w:t xml:space="preserve">- 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Layer:</w:t>
            </w:r>
            <w:r>
              <w:t xml:space="preserve"> </w:t>
            </w:r>
            <w:r>
              <w:t xml:space="preserve">- OAPI</w:t>
            </w:r>
            <w:r>
              <w:t xml:space="preserve"> </w:t>
            </w:r>
            <w:r>
              <w:t xml:space="preserve">- CW</w:t>
            </w:r>
            <w:r>
              <w:t xml:space="preserve"> </w:t>
            </w:r>
            <w:r>
              <w:t xml:space="preserve">- WF</w:t>
            </w:r>
            <w:r>
              <w:t xml:space="preserve"> </w:t>
            </w:r>
            <w:r>
              <w:t xml:space="preserve">- Eng</w:t>
            </w:r>
            <w:r>
              <w:t xml:space="preserve"> </w:t>
            </w:r>
            <w:r>
              <w:t xml:space="preserve">- API</w:t>
            </w:r>
            <w:r>
              <w:t xml:space="preserve"> </w:t>
            </w:r>
            <w:r>
              <w:t xml:space="preserve">- Sync</w:t>
            </w:r>
            <w:r>
              <w:t xml:space="preserve"> </w:t>
            </w:r>
            <w:r>
              <w:t xml:space="preserve">- BL</w:t>
            </w:r>
            <w:r>
              <w:t xml:space="preserve"> </w:t>
            </w:r>
            <w:r>
              <w:t xml:space="preserve">- 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 Layer:</w:t>
            </w:r>
            <w:r>
              <w:t xml:space="preserve"> </w:t>
            </w:r>
            <w:r>
              <w:t xml:space="preserve">- IS</w:t>
            </w:r>
            <w:r>
              <w:t xml:space="preserve"> </w:t>
            </w:r>
            <w:r>
              <w:t xml:space="preserve">- Drv</w:t>
            </w:r>
            <w:r>
              <w:t xml:space="preserve"> </w:t>
            </w:r>
            <w:r>
              <w:t xml:space="preserve">- FOAPI</w:t>
            </w:r>
            <w:r>
              <w:t xml:space="preserve"> </w:t>
            </w:r>
            <w:r>
              <w:t xml:space="preserve">- FAPI</w:t>
            </w:r>
            <w:r>
              <w:t xml:space="preserve"> </w:t>
            </w:r>
            <w:r>
              <w:t xml:space="preserve">- BL</w:t>
            </w:r>
            <w:r>
              <w:t xml:space="preserve"> </w:t>
            </w:r>
            <w:r>
              <w:t xml:space="preserve">- FS</w:t>
            </w:r>
            <w:r>
              <w:t xml:space="preserve"> </w:t>
            </w:r>
            <w:r>
              <w:t xml:space="preserve">- Lib</w:t>
            </w:r>
            <w:r>
              <w:t xml:space="preserve"> </w:t>
            </w:r>
            <w:r>
              <w:t xml:space="preserve">- Plug</w:t>
            </w:r>
            <w:r>
              <w:t xml:space="preserve"> </w:t>
            </w:r>
            <w:r>
              <w:t xml:space="preserve">- Ext</w:t>
            </w:r>
          </w:p>
        </w:tc>
      </w:tr>
    </w:tbl>
    <w:bookmarkEnd w:id="21"/>
    <w:bookmarkStart w:id="23" w:name="auditoria"/>
    <w:p>
      <w:pPr>
        <w:pStyle w:val="Heading2"/>
      </w:pPr>
      <w:r>
        <w:t xml:space="preserve">Auditoria</w:t>
      </w:r>
    </w:p>
    <w:p>
      <w:pPr>
        <w:pStyle w:val="FirstParagraph"/>
      </w:pPr>
      <w:r>
        <w:t xml:space="preserve">A auditoria será realizada por inspeção visual do Módulos dentro do respetivo Domain nos seguintes momentos:</w:t>
      </w:r>
      <w:r>
        <w:t xml:space="preserve"> </w:t>
      </w:r>
      <w:r>
        <w:t xml:space="preserve">@</w:t>
      </w:r>
    </w:p>
    <w:bookmarkStart w:id="22" w:name="verificação"/>
    <w:p>
      <w:pPr>
        <w:pStyle w:val="Heading3"/>
      </w:pPr>
      <w:r>
        <w:t xml:space="preserve">Verificação</w:t>
      </w:r>
    </w:p>
    <w:p>
      <w:pPr>
        <w:pStyle w:val="Compact"/>
        <w:numPr>
          <w:ilvl w:val="0"/>
          <w:numId w:val="1002"/>
        </w:numPr>
      </w:pPr>
      <w:r>
        <w:t xml:space="preserve">Abrir o Modulo do Discovery</w:t>
      </w:r>
    </w:p>
    <w:p>
      <w:pPr>
        <w:pStyle w:val="Compact"/>
        <w:numPr>
          <w:ilvl w:val="0"/>
          <w:numId w:val="1003"/>
        </w:numPr>
      </w:pPr>
      <w:r>
        <w:t xml:space="preserve">Selecionar o Domain</w:t>
      </w:r>
    </w:p>
    <w:p>
      <w:pPr>
        <w:pStyle w:val="Compact"/>
        <w:numPr>
          <w:ilvl w:val="0"/>
          <w:numId w:val="1004"/>
        </w:numPr>
      </w:pPr>
      <w:r>
        <w:t xml:space="preserve">Validar se todos os módulos têm a nomenclatura definida pela Luz Saúde</w:t>
      </w:r>
    </w:p>
    <w:bookmarkEnd w:id="22"/>
    <w:bookmarkEnd w:id="23"/>
    <w:bookmarkStart w:id="24" w:name="monitorização-automática"/>
    <w:p>
      <w:pPr>
        <w:pStyle w:val="Heading2"/>
      </w:pPr>
      <w:r>
        <w:t xml:space="preserve">Monitorização Automática</w:t>
      </w:r>
    </w:p>
    <w:p>
      <w:pPr>
        <w:pStyle w:val="FirstParagraph"/>
      </w:pPr>
      <w:r>
        <w:t xml:space="preserve">Existe um processo que vai analisar todos os Módulos da Fabrica e vai ser criada uma Não Conformidade do tipo</w:t>
      </w:r>
      <w:r>
        <w:t xml:space="preserve"> </w:t>
      </w:r>
      <w:r>
        <w:t xml:space="preserve">“</w:t>
      </w:r>
      <w:r>
        <w:rPr>
          <w:b/>
          <w:bCs/>
        </w:rPr>
        <w:t xml:space="preserve">Guideline Luz Saúde</w:t>
      </w:r>
      <w:r>
        <w:t xml:space="preserve">”</w:t>
      </w:r>
      <w:r>
        <w:t xml:space="preserve">. no Wall Of Fame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5.3.1 Nomenclatura dos Módulos</dc:title>
  <dc:creator/>
  <cp:keywords/>
  <dcterms:created xsi:type="dcterms:W3CDTF">2026-05-12T12:13:19Z</dcterms:created>
  <dcterms:modified xsi:type="dcterms:W3CDTF">2026-05-12T12:13:19Z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