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[InProgress] Circuit Breaker</w:t>
      </w:r>
    </w:p>
    <w:p>
      <w:pPr>
        <w:pStyle w:val="FirstParagraph"/>
      </w:pPr>
    </w:p>
    <w:bookmarkStart w:id="25" w:name="guideline-circuit-breaker"/>
    <w:p>
      <w:pPr>
        <w:pStyle w:val="Heading1"/>
      </w:pPr>
      <w:r>
        <w:t xml:space="preserve">Guideline : Circuit Breaker</w:t>
      </w:r>
    </w:p>
    <w:p>
      <w:pPr>
        <w:pStyle w:val="FirstParagraph"/>
      </w:pPr>
      <w:r>
        <w:t xml:space="preserve">Módulos de exposíção de APIs deverão ter circuit breaker configurado na componente Resilient (https://dev.azure.com/DSTILuzSaude/LS.DSTI.SWF.ARCH/_wiki/wikis/LS.DSTI.SWF.Wiki.wiki/1033/2.8-XF-RESILIENT-Web-Request-Policies).</w:t>
      </w:r>
    </w:p>
    <w:p>
      <w:pPr>
        <w:pStyle w:val="BodyText"/>
      </w:pPr>
      <w:r>
        <w:t xml:space="preserve">Quando existe contenção/lentidão de base de dados/servidores Outsystems, causando erros de APIs é preferível evitar chamadas ao servidor com o objetivo de acelerar a recuperação dos sistemas.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FirstParagraph"/>
      </w:pPr>
      <w:r>
        <w:t xml:space="preserve">Resiliency -&gt; Design Patterns -&gt; Circuit Breaker</w:t>
      </w:r>
    </w:p>
    <w:bookmarkEnd w:id="20"/>
    <w:bookmarkStart w:id="21" w:name="scope"/>
    <w:p>
      <w:pPr>
        <w:pStyle w:val="Heading2"/>
      </w:pPr>
      <w:r>
        <w:t xml:space="preserve">SCOPE:</w:t>
      </w:r>
    </w:p>
    <w:p>
      <w:pPr>
        <w:pStyle w:val="FirstParagraph"/>
      </w:pPr>
      <w:r>
        <w:t xml:space="preserve">APIs</w:t>
      </w:r>
    </w:p>
    <w:bookmarkEnd w:id="21"/>
    <w:bookmarkStart w:id="23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Quando é criado um módulo que expôe APIs deve ser aberto um pedido no canal</w:t>
      </w:r>
      <w:r>
        <w:t xml:space="preserve"> </w:t>
      </w:r>
      <w:r>
        <w:rPr>
          <w:b/>
          <w:bCs/>
        </w:rPr>
        <w:t xml:space="preserve">[Squad GRAPHITE] Platform Ops and Maintenance</w:t>
      </w:r>
      <w:r>
        <w:t xml:space="preserve"> </w:t>
      </w:r>
      <w:r>
        <w:t xml:space="preserve">para que seja configurada uma regra de medida de Circuit Break no Resilient para o mesmo.</w:t>
      </w:r>
    </w:p>
    <w:p>
      <w:pPr>
        <w:pStyle w:val="BodyText"/>
      </w:pPr>
      <w:r>
        <w:t xml:space="preserve">##Auditoria</w:t>
      </w:r>
      <w:r>
        <w:t xml:space="preserve"> </w:t>
      </w:r>
      <w:r>
        <w:t xml:space="preserve">(A definir)</w:t>
      </w:r>
    </w:p>
    <w:bookmarkStart w:id="22" w:name="verificação"/>
    <w:p>
      <w:pPr>
        <w:pStyle w:val="Heading3"/>
      </w:pPr>
      <w:r>
        <w:t xml:space="preserve">Verificação</w:t>
      </w:r>
    </w:p>
    <w:p>
      <w:pPr>
        <w:pStyle w:val="Compact"/>
        <w:numPr>
          <w:ilvl w:val="0"/>
          <w:numId w:val="1001"/>
        </w:numPr>
      </w:pPr>
      <w:r>
        <w:t xml:space="preserve">Abrir o BackOffice da componente Resilient</w:t>
      </w:r>
    </w:p>
    <w:p>
      <w:pPr>
        <w:pStyle w:val="Compact"/>
        <w:numPr>
          <w:ilvl w:val="0"/>
          <w:numId w:val="1001"/>
        </w:numPr>
      </w:pPr>
      <w:r>
        <w:t xml:space="preserve"> Validar se existe uma regra para o módulo de API</w:t>
      </w:r>
    </w:p>
    <w:bookmarkEnd w:id="22"/>
    <w:bookmarkEnd w:id="23"/>
    <w:bookmarkStart w:id="24" w:name="monitorização-manual"/>
    <w:p>
      <w:pPr>
        <w:pStyle w:val="Heading2"/>
      </w:pPr>
      <w:r>
        <w:t xml:space="preserve">Monitorização Manual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[InProgress] Circuit Breaker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