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5.6.2 Operation Toggle</w:t>
      </w:r>
    </w:p>
    <w:p>
      <w:pPr>
        <w:pStyle w:val="FirstParagraph"/>
      </w:pPr>
    </w:p>
    <w:bookmarkStart w:id="26" w:name="guideline-operation-toogle-for-apis"/>
    <w:p>
      <w:pPr>
        <w:pStyle w:val="Heading1"/>
      </w:pPr>
      <w:r>
        <w:t xml:space="preserve">Guideline : Operation Toogle for APIs</w:t>
      </w:r>
    </w:p>
    <w:p>
      <w:pPr>
        <w:pStyle w:val="FirstParagraph"/>
      </w:pPr>
      <w:r>
        <w:t xml:space="preserve">Todos as APIs devem ser objeto de inativação operacional.</w:t>
      </w:r>
      <w:r>
        <w:t xml:space="preserve"> </w:t>
      </w:r>
      <w:r>
        <w:t xml:space="preserve">Deve ser possível por configuração indicar que a API deve imediatamente cancelar a sua execução.</w:t>
      </w:r>
    </w:p>
    <w:bookmarkStart w:id="20" w:name="nfr"/>
    <w:p>
      <w:pPr>
        <w:pStyle w:val="Heading2"/>
      </w:pPr>
      <w:r>
        <w:t xml:space="preserve">NFR:</w:t>
      </w:r>
    </w:p>
    <w:p>
      <w:pPr>
        <w:pStyle w:val="Compact"/>
        <w:numPr>
          <w:ilvl w:val="0"/>
          <w:numId w:val="1001"/>
        </w:numPr>
      </w:pPr>
      <w:r>
        <w:t xml:space="preserve">Resiliency -&gt; Design Patterns -&gt; Circuit Breaker</w:t>
      </w:r>
    </w:p>
    <w:bookmarkEnd w:id="20"/>
    <w:bookmarkStart w:id="21" w:name="scope"/>
    <w:p>
      <w:pPr>
        <w:pStyle w:val="Heading2"/>
      </w:pPr>
      <w:r>
        <w:t xml:space="preserve">Scope:</w:t>
      </w:r>
    </w:p>
    <w:p>
      <w:pPr>
        <w:pStyle w:val="Compact"/>
        <w:numPr>
          <w:ilvl w:val="0"/>
          <w:numId w:val="1002"/>
        </w:numPr>
      </w:pPr>
      <w:r>
        <w:t xml:space="preserve">APIs</w:t>
      </w:r>
    </w:p>
    <w:bookmarkEnd w:id="21"/>
    <w:bookmarkStart w:id="22" w:name="orientação-técnica"/>
    <w:p>
      <w:pPr>
        <w:pStyle w:val="Heading2"/>
      </w:pPr>
      <w:r>
        <w:t xml:space="preserve">Orientação Técnica</w:t>
      </w:r>
    </w:p>
    <w:p>
      <w:pPr>
        <w:pStyle w:val="FirstParagraph"/>
      </w:pPr>
      <w:r>
        <w:t xml:space="preserve">Todos as APIs devem imediatamente após o Start avaliar uma configuração que determina o seu fim de forma imediata.</w:t>
      </w:r>
      <w:r>
        <w:t xml:space="preserve"> </w:t>
      </w:r>
      <w:r>
        <w:t xml:space="preserve">Pode ser uma site property, tabela de configuração, etc. Pode ser uma property para todos os timers do domain aplicacional ou uma property por grupo de timers ou timer.</w:t>
      </w:r>
    </w:p>
    <w:p>
      <w:pPr>
        <w:pStyle w:val="BodyText"/>
      </w:pPr>
      <w:r>
        <w:t xml:space="preserve">Sugestão:</w:t>
      </w:r>
      <w:r>
        <w:t xml:space="preserve"> </w:t>
      </w:r>
      <w:r>
        <w:t xml:space="preserve">1. Criar uma Site Property com o nome: API_</w:t>
      </w:r>
      <w:r>
        <w:t xml:space="preserve">.</w:t>
      </w:r>
      <w:r>
        <w:t xml:space="preserve"> </w:t>
      </w:r>
      <w:r>
        <w:t xml:space="preserve">2. Imediatamente após o Start do Flow avaliar a site property e caso True terminar imediatamente a execução da API.</w:t>
      </w:r>
    </w:p>
    <w:bookmarkEnd w:id="22"/>
    <w:bookmarkStart w:id="24" w:name="auditoria"/>
    <w:p>
      <w:pPr>
        <w:pStyle w:val="Heading2"/>
      </w:pPr>
      <w:r>
        <w:t xml:space="preserve">Auditoria</w:t>
      </w:r>
    </w:p>
    <w:p>
      <w:pPr>
        <w:pStyle w:val="FirstParagraph"/>
      </w:pPr>
      <w:r>
        <w:t xml:space="preserve">A auditoria será realizada por inspeção visual do código nos seguintes momentos:</w:t>
      </w:r>
      <w:r>
        <w:t xml:space="preserve"> </w:t>
      </w:r>
      <w:r>
        <w:t xml:space="preserve">@</w:t>
      </w:r>
      <w:r>
        <w:t xml:space="preserve"> </w:t>
      </w:r>
      <w:r>
        <w:t xml:space="preserve">definir por favor quais as checklists em que este audit é realizado.</w:t>
      </w:r>
    </w:p>
    <w:bookmarkStart w:id="23" w:name="verificação"/>
    <w:p>
      <w:pPr>
        <w:pStyle w:val="Heading3"/>
      </w:pPr>
      <w:r>
        <w:t xml:space="preserve">Verificação</w:t>
      </w:r>
    </w:p>
    <w:p>
      <w:pPr>
        <w:pStyle w:val="Compact"/>
        <w:numPr>
          <w:ilvl w:val="0"/>
          <w:numId w:val="1003"/>
        </w:numPr>
      </w:pPr>
      <w:r>
        <w:t xml:space="preserve"> Abrir o Modulo da API</w:t>
      </w:r>
    </w:p>
    <w:p>
      <w:pPr>
        <w:pStyle w:val="Compact"/>
        <w:numPr>
          <w:ilvl w:val="0"/>
          <w:numId w:val="1003"/>
        </w:numPr>
      </w:pPr>
      <w:r>
        <w:t xml:space="preserve"> Abrir a Action da API</w:t>
      </w:r>
    </w:p>
    <w:p>
      <w:pPr>
        <w:pStyle w:val="Compact"/>
        <w:numPr>
          <w:ilvl w:val="0"/>
          <w:numId w:val="1003"/>
        </w:numPr>
      </w:pPr>
      <w:r>
        <w:t xml:space="preserve"> Validar se existe uma SiteProperty</w:t>
      </w:r>
      <w:r>
        <w:t xml:space="preserve"> </w:t>
      </w:r>
      <w:r>
        <w:t xml:space="preserve">“API_Desligar_(API)”</w:t>
      </w:r>
      <w:r>
        <w:t xml:space="preserve"> </w:t>
      </w:r>
      <w:r>
        <w:t xml:space="preserve">depois do Start e se acaba a execução do mesmo</w:t>
      </w:r>
    </w:p>
    <w:bookmarkEnd w:id="23"/>
    <w:bookmarkEnd w:id="24"/>
    <w:bookmarkStart w:id="25" w:name="monitorização-automática"/>
    <w:p>
      <w:pPr>
        <w:pStyle w:val="Heading2"/>
      </w:pPr>
      <w:r>
        <w:t xml:space="preserve">Monitorização Automática</w:t>
      </w:r>
    </w:p>
    <w:p>
      <w:pPr>
        <w:pStyle w:val="FirstParagraph"/>
      </w:pPr>
      <w:r>
        <w:t xml:space="preserve">Vou fazer isto no FMP através do MetaModelo, validar todas as APIs que forem expostas e se têm a SiteProperty com a nomenclatura indicada</w:t>
      </w:r>
    </w:p>
    <w:p>
      <w:pPr>
        <w:pStyle w:val="BodyText"/>
      </w:pPr>
      <w:r>
        <w:t xml:space="preserve">Sempre que for encontrada uma não conformidade durante a verificação da guideline deve ser criada uma Não Conformidade do tipo</w:t>
      </w:r>
      <w:r>
        <w:t xml:space="preserve"> </w:t>
      </w:r>
      <w:r>
        <w:t xml:space="preserve">“</w:t>
      </w:r>
      <w:r>
        <w:rPr>
          <w:b/>
          <w:bCs/>
        </w:rPr>
        <w:t xml:space="preserve">Guideline Luz Saúde</w:t>
      </w:r>
      <w:r>
        <w:t xml:space="preserve">”</w:t>
      </w:r>
      <w:r>
        <w:t xml:space="preserve">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5.6.2 Operation Toggle</dc:title>
  <dc:creator/>
  <cp:keywords/>
  <dcterms:created xsi:type="dcterms:W3CDTF">2026-05-12T12:13:19Z</dcterms:created>
  <dcterms:modified xsi:type="dcterms:W3CDTF">2026-05-12T12:13:19Z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gs">
    <vt:lpwstr/>
  </property>
</Properties>
</file>