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5.6.5 RESTFul URL</w:t>
      </w:r>
    </w:p>
    <w:p>
      <w:pPr>
        <w:pStyle w:val="FirstParagraph"/>
      </w:pPr>
    </w:p>
    <w:bookmarkStart w:id="25" w:name="X39506d5d1963c279cea5c0526f65522530d7062"/>
    <w:p>
      <w:pPr>
        <w:pStyle w:val="Heading1"/>
      </w:pPr>
      <w:r>
        <w:t xml:space="preserve">Guideline : As APIs expostas devem ter</w:t>
      </w:r>
      <w:r>
        <w:t xml:space="preserve"> </w:t>
      </w:r>
      <w:r>
        <w:rPr>
          <w:i/>
          <w:iCs/>
        </w:rPr>
        <w:t xml:space="preserve">RESTful URLs</w:t>
      </w:r>
    </w:p>
    <w:p>
      <w:pPr>
        <w:pStyle w:val="FirstParagraph"/>
      </w:pPr>
      <w:r>
        <w:t xml:space="preserve">Todas as APIs devem cumprir as regras de construção do url path para que a leitura do swagger seja intuitiva e transversal a toda a fábrica.</w:t>
      </w:r>
    </w:p>
    <w:bookmarkStart w:id="20" w:name="nfr"/>
    <w:p>
      <w:pPr>
        <w:pStyle w:val="Heading2"/>
      </w:pPr>
      <w:r>
        <w:t xml:space="preserve">NFR:</w:t>
      </w:r>
    </w:p>
    <w:p>
      <w:pPr>
        <w:pStyle w:val="FirstParagraph"/>
      </w:pPr>
      <w:r>
        <w:t xml:space="preserve">Usability -&gt; API Contract</w:t>
      </w:r>
    </w:p>
    <w:bookmarkEnd w:id="20"/>
    <w:bookmarkStart w:id="21" w:name="scope"/>
    <w:p>
      <w:pPr>
        <w:pStyle w:val="Heading2"/>
      </w:pPr>
      <w:r>
        <w:t xml:space="preserve">SCOPE:</w:t>
      </w:r>
    </w:p>
    <w:p>
      <w:pPr>
        <w:pStyle w:val="Compact"/>
        <w:numPr>
          <w:ilvl w:val="0"/>
          <w:numId w:val="1001"/>
        </w:numPr>
      </w:pPr>
      <w:r>
        <w:t xml:space="preserve">API</w:t>
      </w:r>
    </w:p>
    <w:bookmarkEnd w:id="21"/>
    <w:bookmarkStart w:id="23" w:name="orientação-técnica"/>
    <w:p>
      <w:pPr>
        <w:pStyle w:val="Heading2"/>
      </w:pPr>
      <w:r>
        <w:t xml:space="preserve">Orientação Técnica</w:t>
      </w:r>
    </w:p>
    <w:p>
      <w:pPr>
        <w:pStyle w:val="SourceCode"/>
      </w:pPr>
      <w:r>
        <w:rPr>
          <w:rStyle w:val="VerbatimChar"/>
        </w:rPr>
        <w:t xml:space="preserve">/* APIs em Outsystems */</w:t>
      </w:r>
      <w:r>
        <w:br/>
      </w:r>
      <w:r>
        <w:rPr>
          <w:rStyle w:val="VerbatimChar"/>
        </w:rPr>
        <w:t xml:space="preserve">  https://&lt;DomainName&gt;/&lt;Espace&gt;/rest/&lt;Resource&gt;/v&lt;Versao&gt;/[&lt;Id&gt;/&lt;SubResource&gt;/&lt;SubResourceId&gt;]</w:t>
      </w:r>
      <w:r>
        <w:br/>
      </w:r>
      <w:r>
        <w:br/>
      </w:r>
      <w:r>
        <w:br/>
      </w:r>
      <w:r>
        <w:rPr>
          <w:rStyle w:val="VerbatimChar"/>
        </w:rPr>
        <w:t xml:space="preserve">/* APIs não Outsystems */</w:t>
      </w:r>
      <w:r>
        <w:br/>
      </w:r>
      <w:r>
        <w:rPr>
          <w:rStyle w:val="VerbatimChar"/>
        </w:rPr>
        <w:t xml:space="preserve">https://&lt;DomainName&gt;/&lt;ProdutoAPI&gt;/&lt;versao&gt;/&lt;Resource&gt;/[&lt;Id&gt;/&lt;SubResource&gt;/&lt;SubResourceId&gt;]</w:t>
      </w:r>
    </w:p>
    <w:p>
      <w:pPr>
        <w:pStyle w:val="FirstParagraph"/>
      </w:pPr>
      <w:r>
        <w:t xml:space="preserve">Detalhe do URL Path:</w:t>
      </w:r>
      <w:r>
        <w:br/>
      </w:r>
      <w:r>
        <w:t xml:space="preserve">-</w:t>
      </w:r>
      <w:r>
        <w:t xml:space="preserve"> </w:t>
      </w:r>
      <w:r>
        <w:t xml:space="preserve"> </w:t>
      </w:r>
      <w:r>
        <w:t xml:space="preserve">- DNS name do servidor que contém a api. Não devem ser invocados endpoints por IP.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- Nome da API de backend que será exposta num produto de APIM.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- Número da versão da api. Ver Guideline</w:t>
      </w:r>
      <w:r>
        <w:t xml:space="preserve"> </w:t>
      </w:r>
      <w:r>
        <w:t xml:space="preserve">“Versionamento”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- Nome do recurso pelo qual se está a pesquisar.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- Identificador unívoco do objecto que queremos obter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- Quando queremos pesquisar um objecto a partir de outro. Nome do recurso que queremos devolver.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- Campo opcional. Mesma lógica que path para o SubResource.</w:t>
      </w:r>
      <w:r>
        <w:t xml:space="preserve"> </w:t>
      </w:r>
      <w:r>
        <w:t xml:space="preserve">-</w:t>
      </w:r>
      <w:r>
        <w:t xml:space="preserve"> </w:t>
      </w:r>
      <w:r>
        <w:t xml:space="preserve"> </w:t>
      </w:r>
      <w:r>
        <w:t xml:space="preserve">- Identificador unívoco do objecto que queremos obter a partir de outro.</w:t>
      </w:r>
    </w:p>
    <w:p>
      <w:pPr>
        <w:pStyle w:val="BodyText"/>
      </w:pPr>
      <w:r>
        <w:t xml:space="preserve">Para apis que executam procedimentos</w:t>
      </w:r>
      <w:r>
        <w:t xml:space="preserve"> </w:t>
      </w:r>
      <w:r>
        <w:rPr>
          <w:b/>
          <w:bCs/>
        </w:rPr>
        <w:t xml:space="preserve">mais complexos do que meras CRUDs</w:t>
      </w:r>
      <w:r>
        <w:t xml:space="preserve">, é permitida a utilização de verbos que expressem a finalidade da acção:</w:t>
      </w:r>
    </w:p>
    <w:p>
      <w:pPr>
        <w:pStyle w:val="SourceCode"/>
      </w:pPr>
      <w:r>
        <w:rPr>
          <w:rStyle w:val="VerbatimChar"/>
        </w:rPr>
        <w:t xml:space="preserve">/* APIs em Outsystems */</w:t>
      </w:r>
      <w:r>
        <w:br/>
      </w:r>
      <w:r>
        <w:rPr>
          <w:rStyle w:val="VerbatimChar"/>
        </w:rPr>
        <w:t xml:space="preserve"> https://&lt;DomainName&gt;/&lt;Espace&gt;/rest/&lt;Resource&gt;/v&lt;Versao&gt;/&lt;NomeAcção&gt;</w:t>
      </w:r>
      <w:r>
        <w:br/>
      </w:r>
      <w:r>
        <w:br/>
      </w:r>
      <w:r>
        <w:br/>
      </w:r>
      <w:r>
        <w:rPr>
          <w:rStyle w:val="VerbatimChar"/>
        </w:rPr>
        <w:t xml:space="preserve">/* APIs não Outsystems */</w:t>
      </w:r>
      <w:r>
        <w:br/>
      </w:r>
      <w:r>
        <w:rPr>
          <w:rStyle w:val="VerbatimChar"/>
        </w:rPr>
        <w:t xml:space="preserve">https://&lt;DomainName&gt;/&lt;ProdutoAPI&gt;/v&lt;Versao&gt;/&lt;Resource&gt;/&lt;NomeAcção&gt;</w:t>
      </w:r>
    </w:p>
    <w:p>
      <w:pPr>
        <w:pStyle w:val="FirstParagraph"/>
      </w:pPr>
      <w:r>
        <w:t xml:space="preserve">Nos casos em que queremos obter um recurso a partir de outro temos diferentes possibilidades de criar os paths. Ter em atenção que esta decisão deve ser ponderada por:</w:t>
      </w:r>
      <w:r>
        <w:t xml:space="preserve"> </w:t>
      </w:r>
      <w:r>
        <w:t xml:space="preserve">- Número de caracteres máximo suportado num URL Path. Devemos evitar comboios!</w:t>
      </w:r>
      <w:r>
        <w:t xml:space="preserve"> </w:t>
      </w:r>
      <w:r>
        <w:t xml:space="preserve">- Performance da api</w:t>
      </w:r>
      <w:r>
        <w:t xml:space="preserve"> </w:t>
      </w:r>
      <w:r>
        <w:t xml:space="preserve">- Tipo de relação entre recurso e sub-recurso. Quando a relação não é hierárquica, recomenda-se optar pela forma (*), marcada nos seguintes exemplos</w:t>
      </w:r>
    </w:p>
    <w:p>
      <w:pPr>
        <w:pStyle w:val="BodyText"/>
      </w:pPr>
      <w:r>
        <w:rPr>
          <w:b/>
          <w:bCs/>
        </w:rPr>
        <w:t xml:space="preserve">Exemplos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Operação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Listagem simples</w:t>
            </w:r>
          </w:p>
        </w:tc>
        <w:tc>
          <w:tcPr/>
          <w:p>
            <w:pPr>
              <w:pStyle w:val="Compact"/>
            </w:pPr>
            <w:r>
              <w:t xml:space="preserve">Appointment</w:t>
            </w:r>
          </w:p>
        </w:tc>
        <w:tc>
          <w:tcPr/>
          <w:p>
            <w:pPr>
              <w:pStyle w:val="Compact"/>
            </w:pPr>
            <w:r>
              <w:t xml:space="preserve">Listar recursos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https://devweb.hluz.ess.local/Appointment_API/rest/appointment/v1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Listagem simples</w:t>
            </w:r>
          </w:p>
        </w:tc>
        <w:tc>
          <w:tcPr/>
          <w:p>
            <w:pPr>
              <w:pStyle w:val="Compact"/>
            </w:pPr>
            <w:r>
              <w:t xml:space="preserve">Practitioner</w:t>
            </w:r>
          </w:p>
        </w:tc>
        <w:tc>
          <w:tcPr/>
          <w:p>
            <w:pPr>
              <w:pStyle w:val="Compact"/>
            </w:pPr>
            <w:r>
              <w:t xml:space="preserve">Listar recursos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https://devweb.hluz.ess.local/HUBRH_WS/rest/practitioner/v1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Obter objeto específico</w:t>
            </w:r>
          </w:p>
        </w:tc>
        <w:tc>
          <w:tcPr/>
          <w:p>
            <w:pPr>
              <w:pStyle w:val="Compact"/>
            </w:pPr>
            <w:r>
              <w:t xml:space="preserve">Appointment</w:t>
            </w:r>
          </w:p>
        </w:tc>
        <w:tc>
          <w:tcPr/>
          <w:p>
            <w:pPr>
              <w:pStyle w:val="Compact"/>
            </w:pPr>
            <w:r>
              <w:t xml:space="preserve">Obter recurso por ID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https://devweb.hluz.ess.local/Appointment_API/rest/appointment/v1/1234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Listagem de subrecurso</w:t>
            </w:r>
          </w:p>
        </w:tc>
        <w:tc>
          <w:tcPr/>
          <w:p>
            <w:pPr>
              <w:pStyle w:val="Compact"/>
            </w:pPr>
            <w:r>
              <w:t xml:space="preserve">BillingDoc → Item</w:t>
            </w:r>
          </w:p>
        </w:tc>
        <w:tc>
          <w:tcPr/>
          <w:p>
            <w:pPr>
              <w:pStyle w:val="Compact"/>
            </w:pPr>
            <w:r>
              <w:t xml:space="preserve">Listar subrecursos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https://devweb.hluz.ess.local/BillingDoc_API/rest/billingdoc/v1/urn__luzsaude__billingdoc__xhis</w:t>
            </w:r>
            <w:r>
              <w:rPr>
                <w:b/>
                <w:bCs/>
                <w:i/>
                <w:iCs/>
              </w:rPr>
              <w:t xml:space="preserve">xhis</w:t>
            </w:r>
            <w:r>
              <w:t xml:space="preserve">_luzsaude__234366/item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Obter subrecurso específico</w:t>
            </w:r>
          </w:p>
        </w:tc>
        <w:tc>
          <w:tcPr/>
          <w:p>
            <w:pPr>
              <w:pStyle w:val="Compact"/>
            </w:pPr>
            <w:r>
              <w:t xml:space="preserve">BillingDoc → Item</w:t>
            </w:r>
          </w:p>
        </w:tc>
        <w:tc>
          <w:tcPr/>
          <w:p>
            <w:pPr>
              <w:pStyle w:val="Compact"/>
            </w:pPr>
            <w:r>
              <w:t xml:space="preserve">Obter subrecurso por ID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https://devweb.hluz.ess.local/BillingDoc_API/rest/billingdoc/v1/urn__luzsaude__billingdoc__xhis</w:t>
            </w:r>
            <w:r>
              <w:rPr>
                <w:b/>
                <w:bCs/>
                <w:i/>
                <w:iCs/>
              </w:rPr>
              <w:t xml:space="preserve">xhis</w:t>
            </w:r>
            <w:r>
              <w:t xml:space="preserve">_luzsaude__234366/item/1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Listagem por critério</w:t>
            </w:r>
          </w:p>
        </w:tc>
        <w:tc>
          <w:tcPr/>
          <w:p>
            <w:pPr>
              <w:pStyle w:val="Compact"/>
            </w:pPr>
            <w:r>
              <w:t xml:space="preserve">BillingDoc</w:t>
            </w:r>
          </w:p>
        </w:tc>
        <w:tc>
          <w:tcPr/>
          <w:p>
            <w:pPr>
              <w:pStyle w:val="Compact"/>
            </w:pPr>
            <w:r>
              <w:t xml:space="preserve">Listar por Encounter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https://devweb.hluz.ess.local/BillingDoc_API/rest/billingdoc/v1?encounterURI=urn:luzsaude:xhis@xhis.luzsaude:192345225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Criação de recurso</w:t>
            </w:r>
          </w:p>
        </w:tc>
        <w:tc>
          <w:tcPr/>
          <w:p>
            <w:pPr>
              <w:pStyle w:val="Compact"/>
            </w:pPr>
            <w:r>
              <w:t xml:space="preserve">Encounter</w:t>
            </w:r>
          </w:p>
        </w:tc>
        <w:tc>
          <w:tcPr/>
          <w:p>
            <w:pPr>
              <w:pStyle w:val="Compact"/>
            </w:pPr>
            <w:r>
              <w:t xml:space="preserve">Criar recurso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https://devweb.hluz.ess.local/Encounter_API/rest/encounter/v1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Atualização de recurso</w:t>
            </w:r>
          </w:p>
        </w:tc>
        <w:tc>
          <w:tcPr/>
          <w:p>
            <w:pPr>
              <w:pStyle w:val="Compact"/>
            </w:pPr>
            <w:r>
              <w:t xml:space="preserve">Patient</w:t>
            </w:r>
          </w:p>
        </w:tc>
        <w:tc>
          <w:tcPr/>
          <w:p>
            <w:pPr>
              <w:pStyle w:val="Compact"/>
            </w:pPr>
            <w:r>
              <w:t xml:space="preserve">Atualizar recurso</w:t>
            </w:r>
          </w:p>
        </w:tc>
        <w:tc>
          <w:tcPr/>
          <w:p>
            <w:pPr>
              <w:pStyle w:val="Compact"/>
            </w:pPr>
            <w:r>
              <w:t xml:space="preserve">PUT/PATCH</w:t>
            </w:r>
          </w:p>
        </w:tc>
        <w:tc>
          <w:tcPr/>
          <w:p>
            <w:pPr>
              <w:pStyle w:val="Compact"/>
            </w:pPr>
            <w:r>
              <w:t xml:space="preserve">https://devweb.hluz.ess.local/Patient_API/rest/patient/v1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Envio de email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Enviar email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https://devweb.hluz.ess.local/HUBEMAIL_API/rest/email/v1/send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Consequências</w:t>
      </w:r>
    </w:p>
    <w:p>
      <w:pPr>
        <w:pStyle w:val="BodyText"/>
      </w:pPr>
      <w:r>
        <w:t xml:space="preserve">A forma como se organizam as apis dentro dos espaces é uma decisão de projecto mas deve ter em conta a organização em APIM. Podemos por exemplo segregar APIs consoante o seu nível de criticidade ou diferenciar apis genéricas de apis customizadas.</w:t>
      </w:r>
    </w:p>
    <w:p>
      <w:pPr>
        <w:pStyle w:val="BodyText"/>
      </w:pPr>
      <w:r>
        <w:t xml:space="preserve">Em outsystems o versionamento é feito ao nível da método, por limitação da plataforma.</w:t>
      </w:r>
    </w:p>
    <w:p>
      <w:pPr>
        <w:pStyle w:val="BodyText"/>
      </w:pPr>
      <w:r>
        <w:t xml:space="preserve">Em apps não outsystems deve seguir as boas práticas da indústria e versionar ao nível da api.</w:t>
      </w:r>
    </w:p>
    <w:p>
      <w:pPr>
        <w:pStyle w:val="BodyText"/>
      </w:pPr>
      <w:r>
        <w:t xml:space="preserve">O uso de query parameters deve restringir-se a:</w:t>
      </w:r>
      <w:r>
        <w:t xml:space="preserve"> </w:t>
      </w:r>
      <w:r>
        <w:t xml:space="preserve">- filtros não relacionados com o resource/subresource</w:t>
      </w:r>
      <w:r>
        <w:t xml:space="preserve"> </w:t>
      </w:r>
      <w:r>
        <w:t xml:space="preserve">- ordenação</w:t>
      </w:r>
      <w:r>
        <w:t xml:space="preserve"> </w:t>
      </w:r>
      <w:r>
        <w:t xml:space="preserve">- paginação</w:t>
      </w:r>
    </w:p>
    <w:p>
      <w:pPr>
        <w:pStyle w:val="BodyText"/>
      </w:pPr>
      <w:r>
        <w:t xml:space="preserve">##Auditoria</w:t>
      </w:r>
      <w:r>
        <w:t xml:space="preserve"> </w:t>
      </w:r>
      <w:r>
        <w:t xml:space="preserve">Quando será realizada? A definir pela Purple</w:t>
      </w:r>
    </w:p>
    <w:bookmarkStart w:id="22" w:name="verificação"/>
    <w:p>
      <w:pPr>
        <w:pStyle w:val="Heading3"/>
      </w:pPr>
      <w:r>
        <w:t xml:space="preserve">Verificação</w:t>
      </w:r>
    </w:p>
    <w:p>
      <w:pPr>
        <w:pStyle w:val="FirstParagraph"/>
      </w:pPr>
      <w:r>
        <w:t xml:space="preserve">(Pela Purple)</w:t>
      </w:r>
      <w:r>
        <w:t xml:space="preserve"> </w:t>
      </w:r>
      <w:r>
        <w:t xml:space="preserve">- [ ] CheckList 1</w:t>
      </w:r>
      <w:r>
        <w:t xml:space="preserve"> </w:t>
      </w:r>
      <w:r>
        <w:t xml:space="preserve">- [ ] CheckList 2</w:t>
      </w:r>
      <w:r>
        <w:t xml:space="preserve"> </w:t>
      </w:r>
      <w:r>
        <w:t xml:space="preserve">- [ ] CheckList 3</w:t>
      </w:r>
    </w:p>
    <w:bookmarkEnd w:id="22"/>
    <w:bookmarkEnd w:id="23"/>
    <w:bookmarkStart w:id="24" w:name="monitorização-automáticomanual"/>
    <w:p>
      <w:pPr>
        <w:pStyle w:val="Heading2"/>
      </w:pPr>
      <w:r>
        <w:t xml:space="preserve">Monitorização Automático/Manual</w:t>
      </w:r>
    </w:p>
    <w:p>
      <w:pPr>
        <w:pStyle w:val="FirstParagraph"/>
      </w:pPr>
      <w:r>
        <w:t xml:space="preserve">(Pela Purple)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5.6.5 RESTFul URL</dc:title>
  <dc:creator/>
  <cp:keywords/>
  <dcterms:created xsi:type="dcterms:W3CDTF">2026-05-12T12:13:20Z</dcterms:created>
  <dcterms:modified xsi:type="dcterms:W3CDTF">2026-05-12T12:13:20Z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