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SQUAD PURPLE %2D Modelo Operacional</w:t>
      </w:r>
    </w:p>
    <w:p>
      <w:pPr>
        <w:pStyle w:val="FirstParagraph"/>
      </w:pPr>
      <w:r>
        <w:t xml:space="preserve">Bem-vindo ao Modelo Operacional da Purple Team. </w:t>
      </w:r>
    </w:p>
    <w:p>
      <w:pPr>
        <w:pStyle w:val="BodyText"/>
      </w:pPr>
      <w:r>
        <w:t xml:space="preserve">Esta wiki define, de forma estruturada e modular, a interação da equipa ao longo dos três tipos de projeto suportados: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Discovery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Implementação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Manutenção</w:t>
      </w:r>
    </w:p>
    <w:p>
      <w:pPr>
        <w:pStyle w:val="FirstParagraph"/>
      </w:pPr>
      <w:r>
        <w:t xml:space="preserve">Para cada tipo de projeto identificamos: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Touchpoints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Artefactos</w:t>
      </w:r>
    </w:p>
    <w:p>
      <w:r>
        <w:pict>
          <v:rect style="width:0;height:1.5pt" o:hralign="center" o:hrstd="t" o:hr="t"/>
        </w:pict>
      </w:r>
    </w:p>
    <w:bookmarkStart w:id="20" w:name="autores-das-guidelines"/>
    <w:p>
      <w:pPr>
        <w:pStyle w:val="Heading2"/>
      </w:pPr>
      <w:r>
        <w:t xml:space="preserve">Autores das Guidelines</w:t>
      </w:r>
    </w:p>
    <w:p>
      <w:pPr>
        <w:pStyle w:val="FirstParagraph"/>
      </w:pPr>
      <w:r>
        <w:t xml:space="preserve">As guidelines técnicas são desenvolvidas por seis elementos da equipa:</w:t>
      </w:r>
    </w:p>
    <w:p>
      <w:pPr>
        <w:numPr>
          <w:ilvl w:val="0"/>
          <w:numId w:val="1003"/>
        </w:numPr>
      </w:pPr>
      <w:r>
        <w:t xml:space="preserve">David Taveira </w:t>
      </w:r>
    </w:p>
    <w:p>
      <w:pPr>
        <w:numPr>
          <w:ilvl w:val="0"/>
          <w:numId w:val="1003"/>
        </w:numPr>
      </w:pPr>
      <w:r>
        <w:t xml:space="preserve">David Duque </w:t>
      </w:r>
    </w:p>
    <w:p>
      <w:pPr>
        <w:numPr>
          <w:ilvl w:val="0"/>
          <w:numId w:val="1003"/>
        </w:numPr>
      </w:pPr>
      <w:r>
        <w:t xml:space="preserve">Francisco Medinas </w:t>
      </w:r>
    </w:p>
    <w:p>
      <w:pPr>
        <w:numPr>
          <w:ilvl w:val="0"/>
          <w:numId w:val="1003"/>
        </w:numPr>
      </w:pPr>
      <w:r>
        <w:t xml:space="preserve">Pedro Túbal </w:t>
      </w:r>
    </w:p>
    <w:p>
      <w:pPr>
        <w:numPr>
          <w:ilvl w:val="0"/>
          <w:numId w:val="1003"/>
        </w:numPr>
      </w:pPr>
      <w:r>
        <w:t xml:space="preserve">Ana Soares </w:t>
      </w:r>
    </w:p>
    <w:p>
      <w:pPr>
        <w:numPr>
          <w:ilvl w:val="0"/>
          <w:numId w:val="1003"/>
        </w:numPr>
      </w:pPr>
      <w:r>
        <w:t xml:space="preserve">Pedro Gamelas </w:t>
      </w:r>
    </w:p>
    <w:p>
      <w:pPr>
        <w:pStyle w:val="FirstParagraph"/>
      </w:pPr>
      <w:r>
        <w:t xml:space="preserve">Estas guidelines alimentam os processos de todos os tipos de projeto.</w:t>
      </w:r>
    </w:p>
    <w:p>
      <w:r>
        <w:pict>
          <v:rect style="width:0;height:1.5pt" o:hralign="center" o:hrstd="t" o:hr="t"/>
        </w:pic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SQUAD PURPLE %2D Modelo Operacional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