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Discovery %2D Projetos Discovery</w:t>
      </w:r>
    </w:p>
    <w:p>
      <w:pPr>
        <w:pStyle w:val="FirstParagraph"/>
      </w:pPr>
      <w:r>
        <w:t xml:space="preserve">## TP1 — Sessões Discovery</w:t>
      </w:r>
      <w:r>
        <w:t xml:space="preserve"> </w:t>
      </w:r>
      <w:r>
        <w:t xml:space="preserve">- Open Format</w:t>
      </w:r>
      <w:r>
        <w:t xml:space="preserve"> </w:t>
      </w:r>
      <w:r>
        <w:t xml:space="preserve">—</w:t>
      </w:r>
      <w:r>
        <w:t xml:space="preserve"> </w:t>
      </w:r>
      <w:r>
        <w:t xml:space="preserve">## TP2 — Discussão Arquitectura</w:t>
      </w:r>
      <w:r>
        <w:t xml:space="preserve"> </w:t>
      </w:r>
      <w:r>
        <w:t xml:space="preserve">- Open Format</w:t>
      </w:r>
    </w:p>
    <w:p>
      <w:r>
        <w:pict>
          <v:rect style="width:0;height:1.5pt" o:hralign="center" o:hrstd="t" o:hr="t"/>
        </w:pict>
      </w:r>
    </w:p>
    <w:bookmarkStart w:id="20" w:name="tp3-revisão-de-arquitectura"/>
    <w:p>
      <w:pPr>
        <w:pStyle w:val="Heading2"/>
      </w:pPr>
      <w:r>
        <w:t xml:space="preserve">TP3 — Revisão de Arquitectura</w:t>
      </w:r>
    </w:p>
    <w:p>
      <w:pPr>
        <w:pStyle w:val="FirstParagraph"/>
      </w:pPr>
      <w:r>
        <w:rPr>
          <w:b/>
          <w:bCs/>
        </w:rPr>
        <w:t xml:space="preserve">Inputs</w:t>
      </w:r>
    </w:p>
    <w:p>
      <w:pPr>
        <w:pStyle w:val="Compact"/>
        <w:numPr>
          <w:ilvl w:val="0"/>
          <w:numId w:val="1001"/>
        </w:numPr>
      </w:pPr>
      <w:r>
        <w:t xml:space="preserve">Documento de Arquitectura Inicial</w:t>
      </w:r>
    </w:p>
    <w:p>
      <w:pPr>
        <w:pStyle w:val="FirstParagraph"/>
      </w:pPr>
      <w:r>
        <w:rPr>
          <w:b/>
          <w:bCs/>
        </w:rPr>
        <w:t xml:space="preserve">Outputs</w:t>
      </w:r>
    </w:p>
    <w:p>
      <w:pPr>
        <w:pStyle w:val="Compact"/>
        <w:numPr>
          <w:ilvl w:val="0"/>
          <w:numId w:val="1002"/>
        </w:numPr>
      </w:pPr>
      <w:r>
        <w:t xml:space="preserve">Ficheiro Loop (workspace) para seguimento do Projecto</w:t>
      </w:r>
    </w:p>
    <w:p>
      <w:pPr>
        <w:pStyle w:val="FirstParagraph"/>
      </w:pPr>
      <w:r>
        <w:rPr>
          <w:b/>
          <w:bCs/>
        </w:rPr>
        <w:t xml:space="preserve">Checklist</w:t>
      </w:r>
    </w:p>
    <w:p>
      <w:pPr>
        <w:pStyle w:val="Compact"/>
        <w:numPr>
          <w:ilvl w:val="0"/>
          <w:numId w:val="1003"/>
        </w:numPr>
      </w:pPr>
      <w:r>
        <w:t xml:space="preserve">Validar Arquitectura de referência:</w:t>
      </w:r>
    </w:p>
    <w:p>
      <w:pPr>
        <w:pStyle w:val="Compact"/>
        <w:numPr>
          <w:ilvl w:val="0"/>
          <w:numId w:val="1004"/>
        </w:numPr>
      </w:pPr>
      <w:r>
        <w:t xml:space="preserve">1.1) Naming conventions;</w:t>
      </w:r>
    </w:p>
    <w:p>
      <w:pPr>
        <w:pStyle w:val="Compact"/>
        <w:numPr>
          <w:ilvl w:val="0"/>
          <w:numId w:val="1005"/>
        </w:numPr>
      </w:pPr>
      <w:r>
        <w:t xml:space="preserve">1.2) Abordagem</w:t>
      </w:r>
      <w:r>
        <w:t xml:space="preserve"> </w:t>
      </w:r>
      <w:r>
        <w:t xml:space="preserve">“Filosófica”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Validar dependência de sistemas Externos</w:t>
      </w:r>
    </w:p>
    <w:p>
      <w:pPr>
        <w:numPr>
          <w:ilvl w:val="0"/>
          <w:numId w:val="1007"/>
        </w:numPr>
      </w:pPr>
      <w:r>
        <w:t xml:space="preserve">2.1) Componentes de Fábrica</w:t>
      </w:r>
    </w:p>
    <w:p>
      <w:pPr>
        <w:numPr>
          <w:ilvl w:val="0"/>
          <w:numId w:val="1008"/>
        </w:numPr>
      </w:pPr>
      <w:r>
        <w:t xml:space="preserve">2.1.1) Validar comportamento: Como vai reagir a erros do componente; como vai reagir a uma ausência de resposta do componente; Qual o mecanismo para colocar sistema externo</w:t>
      </w:r>
      <w:r>
        <w:t xml:space="preserve"> </w:t>
      </w:r>
      <w:r>
        <w:t xml:space="preserve">“Out of funcionamento”</w:t>
      </w:r>
    </w:p>
    <w:p>
      <w:pPr>
        <w:numPr>
          <w:ilvl w:val="0"/>
          <w:numId w:val="1009"/>
        </w:numPr>
      </w:pPr>
      <w:r>
        <w:t xml:space="preserve">2.2) Consumo de API’s</w:t>
      </w:r>
    </w:p>
    <w:p>
      <w:pPr>
        <w:numPr>
          <w:ilvl w:val="0"/>
          <w:numId w:val="1010"/>
        </w:numPr>
      </w:pPr>
      <w:r>
        <w:t xml:space="preserve">2.2.1) Validar comportamento: Como vai reagir a erros da API; como vai reagir a uma ausência de resposta da API; Qual o mecanismo para colocar API</w:t>
      </w:r>
      <w:r>
        <w:t xml:space="preserve"> </w:t>
      </w:r>
      <w:r>
        <w:t xml:space="preserve">“Out of funcionamento”</w:t>
      </w:r>
    </w:p>
    <w:p>
      <w:pPr>
        <w:numPr>
          <w:ilvl w:val="0"/>
          <w:numId w:val="1011"/>
        </w:numPr>
      </w:pPr>
      <w:r>
        <w:t xml:space="preserve">2.3) Exposição de API’s</w:t>
      </w:r>
    </w:p>
    <w:p>
      <w:pPr>
        <w:numPr>
          <w:ilvl w:val="0"/>
          <w:numId w:val="1012"/>
        </w:numPr>
      </w:pPr>
      <w:r>
        <w:t xml:space="preserve">2.3.1) APIs Expostas em REST!</w:t>
      </w:r>
    </w:p>
    <w:p>
      <w:pPr>
        <w:numPr>
          <w:ilvl w:val="0"/>
          <w:numId w:val="1013"/>
        </w:numPr>
      </w:pPr>
      <w:r>
        <w:t xml:space="preserve">2.3.2) Guidelines Cobalt</w:t>
      </w:r>
    </w:p>
    <w:p>
      <w:pPr>
        <w:numPr>
          <w:ilvl w:val="0"/>
          <w:numId w:val="1014"/>
        </w:numPr>
      </w:pPr>
      <w:r>
        <w:t xml:space="preserve">2.3.3) Como inactivar/Toggle?</w:t>
      </w:r>
    </w:p>
    <w:p>
      <w:pPr>
        <w:numPr>
          <w:ilvl w:val="0"/>
          <w:numId w:val="1015"/>
        </w:numPr>
      </w:pPr>
      <w:r>
        <w:t xml:space="preserve">2.4) Produção de eventos?</w:t>
      </w:r>
    </w:p>
    <w:p>
      <w:pPr>
        <w:numPr>
          <w:ilvl w:val="0"/>
          <w:numId w:val="1016"/>
        </w:numPr>
      </w:pPr>
      <w:r>
        <w:t xml:space="preserve">2.4.1) sistema tem que invocar uma API/MllP do SmartHub. Validar comportamento: Como vai reagir a erros da API; como vai reagir a uma ausência de resposta da API; Qual o mecanismo para colocar API</w:t>
      </w:r>
      <w:r>
        <w:t xml:space="preserve"> </w:t>
      </w:r>
      <w:r>
        <w:t xml:space="preserve">“Out of funcionamento”</w:t>
      </w:r>
    </w:p>
    <w:p>
      <w:pPr>
        <w:pStyle w:val="Compact"/>
        <w:numPr>
          <w:ilvl w:val="0"/>
          <w:numId w:val="1017"/>
        </w:numPr>
      </w:pPr>
      <w:r>
        <w:t xml:space="preserve">Processamento Assincrono</w:t>
      </w:r>
    </w:p>
    <w:p>
      <w:pPr>
        <w:numPr>
          <w:ilvl w:val="0"/>
          <w:numId w:val="1018"/>
        </w:numPr>
      </w:pPr>
      <w:r>
        <w:t xml:space="preserve">3.1) Não queremos BPTs</w:t>
      </w:r>
    </w:p>
    <w:p>
      <w:pPr>
        <w:numPr>
          <w:ilvl w:val="0"/>
          <w:numId w:val="1019"/>
        </w:numPr>
      </w:pPr>
      <w:r>
        <w:t xml:space="preserve">3.2) LBPTs</w:t>
      </w:r>
    </w:p>
    <w:p>
      <w:pPr>
        <w:numPr>
          <w:ilvl w:val="0"/>
          <w:numId w:val="1020"/>
        </w:numPr>
      </w:pPr>
      <w:r>
        <w:t xml:space="preserve">3.2.1) Validar guideline Boas práticas (Toggle, Não tem SLA’s, Analise Quantitativa, não chamar sistema externo)</w:t>
      </w:r>
    </w:p>
    <w:p>
      <w:pPr>
        <w:numPr>
          <w:ilvl w:val="0"/>
          <w:numId w:val="1021"/>
        </w:numPr>
      </w:pPr>
      <w:r>
        <w:t xml:space="preserve">3.3) Timers</w:t>
      </w:r>
    </w:p>
    <w:p>
      <w:pPr>
        <w:numPr>
          <w:ilvl w:val="0"/>
          <w:numId w:val="1022"/>
        </w:numPr>
      </w:pPr>
      <w:r>
        <w:t xml:space="preserve">3.3.1) Validar guideline Boas práticas (Toggle, Não tem SLA’s, Analise Quantitativa, Forever running com wakes!)</w:t>
      </w:r>
    </w:p>
    <w:p>
      <w:pPr>
        <w:pStyle w:val="Compact"/>
        <w:numPr>
          <w:ilvl w:val="0"/>
          <w:numId w:val="1023"/>
        </w:numPr>
      </w:pPr>
      <w:r>
        <w:t xml:space="preserve">Modelo Lógico</w:t>
      </w:r>
    </w:p>
    <w:p>
      <w:pPr>
        <w:numPr>
          <w:ilvl w:val="0"/>
          <w:numId w:val="1024"/>
        </w:numPr>
      </w:pPr>
      <w:r>
        <w:t xml:space="preserve">4.1) Volumetria/Particionamento</w:t>
      </w:r>
    </w:p>
    <w:p>
      <w:pPr>
        <w:numPr>
          <w:ilvl w:val="0"/>
          <w:numId w:val="1025"/>
        </w:numPr>
      </w:pPr>
      <w:r>
        <w:t xml:space="preserve">4.2) Design!</w:t>
      </w:r>
    </w:p>
    <w:p>
      <w:pPr>
        <w:numPr>
          <w:ilvl w:val="0"/>
          <w:numId w:val="1026"/>
        </w:numPr>
      </w:pPr>
      <w:r>
        <w:t xml:space="preserve">5) Aplicação no modo Manutenção</w:t>
      </w:r>
    </w:p>
    <w:p>
      <w:r>
        <w:pict>
          <v:rect style="width:0;height:1.5pt" o:hralign="center" o:hrstd="t" o:hr="t"/>
        </w:pic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2"/>
  </w:num>
  <w:num w:numId="1025">
    <w:abstractNumId w:val="992"/>
  </w:num>
  <w:num w:numId="102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Discovery %2D Projetos Discovery</dc:title>
  <dc:creator/>
  <cp:keywords/>
  <dcterms:created xsi:type="dcterms:W3CDTF">2026-05-12T12:13:20Z</dcterms:created>
  <dcterms:modified xsi:type="dcterms:W3CDTF">2026-05-12T12:13:20Z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