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Implementation— Projetos Discovery</w:t>
      </w:r>
    </w:p>
    <w:bookmarkStart w:id="20" w:name="tp3-tech-sync"/>
    <w:p>
      <w:pPr>
        <w:pStyle w:val="Heading2"/>
      </w:pPr>
      <w:r>
        <w:t xml:space="preserve">TP3 — Tech Sync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numPr>
          <w:ilvl w:val="0"/>
          <w:numId w:val="1001"/>
        </w:numPr>
      </w:pPr>
      <w:r>
        <w:t xml:space="preserve">Repos + políticas</w:t>
      </w:r>
    </w:p>
    <w:p>
      <w:pPr>
        <w:numPr>
          <w:ilvl w:val="0"/>
          <w:numId w:val="1001"/>
        </w:numPr>
      </w:pPr>
      <w:r>
        <w:t xml:space="preserve">CI/CD</w:t>
      </w:r>
    </w:p>
    <w:p>
      <w:pPr>
        <w:numPr>
          <w:ilvl w:val="0"/>
          <w:numId w:val="1001"/>
        </w:numPr>
      </w:pPr>
      <w:r>
        <w:t xml:space="preserve">Ambientes</w:t>
      </w:r>
    </w:p>
    <w:p>
      <w:pPr>
        <w:numPr>
          <w:ilvl w:val="0"/>
          <w:numId w:val="1001"/>
        </w:numPr>
      </w:pPr>
      <w:r>
        <w:t xml:space="preserve">Observabilidade</w:t>
      </w:r>
    </w:p>
    <w:p>
      <w:pPr>
        <w:numPr>
          <w:ilvl w:val="0"/>
          <w:numId w:val="1001"/>
        </w:numPr>
      </w:pPr>
      <w:r>
        <w:t xml:space="preserve">Plano de rollback/migração (se aplicável)</w:t>
      </w:r>
    </w:p>
    <w:p>
      <w:pPr>
        <w:numPr>
          <w:ilvl w:val="0"/>
          <w:numId w:val="1001"/>
        </w:numPr>
      </w:pPr>
      <w:r>
        <w:t xml:space="preserve">Incremento do sprint</w:t>
      </w:r>
    </w:p>
    <w:p>
      <w:pPr>
        <w:numPr>
          <w:ilvl w:val="0"/>
          <w:numId w:val="1001"/>
        </w:numPr>
      </w:pPr>
      <w:r>
        <w:t xml:space="preserve">Resultados de build/testes</w:t>
      </w:r>
    </w:p>
    <w:p>
      <w:pPr>
        <w:numPr>
          <w:ilvl w:val="0"/>
          <w:numId w:val="1001"/>
        </w:numPr>
      </w:pPr>
      <w:r>
        <w:t xml:space="preserve">Issues técnicas</w:t>
      </w:r>
    </w:p>
    <w:p>
      <w:pPr>
        <w:pStyle w:val="FirstParagraph"/>
      </w:pPr>
      <w:r>
        <w:rPr>
          <w:b/>
          <w:bCs/>
        </w:rPr>
        <w:t xml:space="preserve">Outputs</w:t>
      </w:r>
    </w:p>
    <w:p>
      <w:pPr>
        <w:numPr>
          <w:ilvl w:val="0"/>
          <w:numId w:val="1002"/>
        </w:numPr>
      </w:pPr>
      <w:r>
        <w:t xml:space="preserve">Parecer de readiness</w:t>
      </w:r>
    </w:p>
    <w:p>
      <w:pPr>
        <w:numPr>
          <w:ilvl w:val="0"/>
          <w:numId w:val="1002"/>
        </w:numPr>
      </w:pPr>
      <w:r>
        <w:t xml:space="preserve">Ações pendentes</w:t>
      </w:r>
    </w:p>
    <w:p>
      <w:pPr>
        <w:numPr>
          <w:ilvl w:val="0"/>
          <w:numId w:val="1002"/>
        </w:numPr>
      </w:pPr>
      <w:r>
        <w:t xml:space="preserve">Riscos emergentes</w:t>
      </w:r>
    </w:p>
    <w:p>
      <w:pPr>
        <w:numPr>
          <w:ilvl w:val="0"/>
          <w:numId w:val="1002"/>
        </w:numPr>
      </w:pPr>
      <w:r>
        <w:t xml:space="preserve">Recomendações</w:t>
      </w:r>
    </w:p>
    <w:p>
      <w:pPr>
        <w:pStyle w:val="FirstParagraph"/>
      </w:pPr>
      <w:r>
        <w:rPr>
          <w:b/>
          <w:bCs/>
        </w:rPr>
        <w:t xml:space="preserve">Checklist (Purple)</w:t>
      </w:r>
    </w:p>
    <w:p>
      <w:pPr>
        <w:numPr>
          <w:ilvl w:val="0"/>
          <w:numId w:val="1003"/>
        </w:numPr>
      </w:pPr>
      <w:r>
        <w:t xml:space="preserve">Logs/métricas/traces</w:t>
      </w:r>
    </w:p>
    <w:p>
      <w:pPr>
        <w:numPr>
          <w:ilvl w:val="0"/>
          <w:numId w:val="1004"/>
        </w:numPr>
      </w:pPr>
      <w:r>
        <w:t xml:space="preserve">Testes automatizados mínimos</w:t>
      </w:r>
    </w:p>
    <w:p>
      <w:pPr>
        <w:numPr>
          <w:ilvl w:val="0"/>
          <w:numId w:val="1005"/>
        </w:numPr>
      </w:pPr>
      <w:r>
        <w:t xml:space="preserve">Breaking changes versionadas</w:t>
      </w:r>
    </w:p>
    <w:p>
      <w:r>
        <w:pict>
          <v:rect style="width:0;height:1.5pt" o:hralign="center" o:hrstd="t" o:hr="t"/>
        </w:pict>
      </w:r>
    </w:p>
    <w:bookmarkEnd w:id="20"/>
    <w:bookmarkStart w:id="21" w:name="tp4-prégolive-técnico"/>
    <w:p>
      <w:pPr>
        <w:pStyle w:val="Heading2"/>
      </w:pPr>
      <w:r>
        <w:t xml:space="preserve">TP4 — Pré‑GoLive Técnico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numPr>
          <w:ilvl w:val="0"/>
          <w:numId w:val="1006"/>
        </w:numPr>
      </w:pPr>
      <w:r>
        <w:t xml:space="preserve">Release candidate</w:t>
      </w:r>
    </w:p>
    <w:p>
      <w:pPr>
        <w:numPr>
          <w:ilvl w:val="0"/>
          <w:numId w:val="1006"/>
        </w:numPr>
      </w:pPr>
      <w:r>
        <w:t xml:space="preserve">Plano de deploy</w:t>
      </w:r>
    </w:p>
    <w:p>
      <w:pPr>
        <w:numPr>
          <w:ilvl w:val="0"/>
          <w:numId w:val="1006"/>
        </w:numPr>
      </w:pPr>
      <w:r>
        <w:t xml:space="preserve">Evidências de testes</w:t>
      </w:r>
    </w:p>
    <w:p>
      <w:pPr>
        <w:numPr>
          <w:ilvl w:val="0"/>
          <w:numId w:val="1006"/>
        </w:numPr>
      </w:pPr>
      <w:r>
        <w:t xml:space="preserve">Runbooks</w:t>
      </w:r>
    </w:p>
    <w:p>
      <w:pPr>
        <w:pStyle w:val="FirstParagraph"/>
      </w:pPr>
      <w:r>
        <w:rPr>
          <w:b/>
          <w:bCs/>
        </w:rPr>
        <w:t xml:space="preserve">Outputs (Purple)</w:t>
      </w:r>
    </w:p>
    <w:p>
      <w:pPr>
        <w:numPr>
          <w:ilvl w:val="0"/>
          <w:numId w:val="1007"/>
        </w:numPr>
      </w:pPr>
      <w:r>
        <w:t xml:space="preserve">Recomendação Go / Go c/ condições / No‑Go</w:t>
      </w:r>
    </w:p>
    <w:p>
      <w:pPr>
        <w:numPr>
          <w:ilvl w:val="0"/>
          <w:numId w:val="1007"/>
        </w:numPr>
      </w:pPr>
      <w:r>
        <w:t xml:space="preserve">Riscos remanescentes</w:t>
      </w:r>
    </w:p>
    <w:p>
      <w:pPr>
        <w:pStyle w:val="FirstParagraph"/>
      </w:pPr>
      <w:r>
        <w:rPr>
          <w:b/>
          <w:bCs/>
        </w:rPr>
        <w:t xml:space="preserve">Checklist (Purple)</w:t>
      </w:r>
    </w:p>
    <w:p>
      <w:pPr>
        <w:numPr>
          <w:ilvl w:val="0"/>
          <w:numId w:val="1008"/>
        </w:numPr>
      </w:pPr>
      <w:r>
        <w:t xml:space="preserve">Observabilidade/alertas</w:t>
      </w:r>
    </w:p>
    <w:p>
      <w:pPr>
        <w:numPr>
          <w:ilvl w:val="0"/>
          <w:numId w:val="1009"/>
        </w:numPr>
      </w:pPr>
      <w:r>
        <w:t xml:space="preserve">Smoke test plan</w:t>
      </w:r>
    </w:p>
    <w:p>
      <w:pPr>
        <w:numPr>
          <w:ilvl w:val="0"/>
          <w:numId w:val="1010"/>
        </w:numPr>
      </w:pPr>
      <w:r>
        <w:t xml:space="preserve">Documentação atualizada</w:t>
      </w:r>
    </w:p>
    <w:p>
      <w:pPr>
        <w:numPr>
          <w:ilvl w:val="0"/>
          <w:numId w:val="1011"/>
        </w:numPr>
      </w:pPr>
      <w:r>
        <w:t xml:space="preserve">Rollback definido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Implementation— Projetos Discovery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