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Refinement — Projetos Discovery</w:t>
      </w:r>
    </w:p>
    <w:bookmarkStart w:id="20" w:name="tp2-2-amigos"/>
    <w:p>
      <w:pPr>
        <w:pStyle w:val="Heading2"/>
      </w:pPr>
      <w:r>
        <w:t xml:space="preserve">TP2 —</w:t>
      </w:r>
      <w:r>
        <w:t xml:space="preserve"> </w:t>
      </w:r>
      <w:r>
        <w:t xml:space="preserve">“2 Amigos”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numPr>
          <w:ilvl w:val="0"/>
          <w:numId w:val="1001"/>
        </w:numPr>
      </w:pPr>
      <w:r>
        <w:t xml:space="preserve">Arquitetura refinada</w:t>
      </w:r>
    </w:p>
    <w:p>
      <w:pPr>
        <w:numPr>
          <w:ilvl w:val="0"/>
          <w:numId w:val="1001"/>
        </w:numPr>
      </w:pPr>
      <w:r>
        <w:t xml:space="preserve">Modelo de dados detalhado</w:t>
      </w:r>
    </w:p>
    <w:p>
      <w:pPr>
        <w:numPr>
          <w:ilvl w:val="0"/>
          <w:numId w:val="1001"/>
        </w:numPr>
      </w:pPr>
      <w:r>
        <w:t xml:space="preserve">NFRs</w:t>
      </w:r>
    </w:p>
    <w:p>
      <w:pPr>
        <w:pStyle w:val="FirstParagraph"/>
      </w:pPr>
      <w:r>
        <w:rPr>
          <w:b/>
          <w:bCs/>
        </w:rPr>
        <w:t xml:space="preserve">Outputs</w:t>
      </w:r>
    </w:p>
    <w:p>
      <w:pPr>
        <w:numPr>
          <w:ilvl w:val="0"/>
          <w:numId w:val="1002"/>
        </w:numPr>
      </w:pPr>
      <w:r>
        <w:t xml:space="preserve">Parecer de conformidade</w:t>
      </w:r>
    </w:p>
    <w:p>
      <w:pPr>
        <w:numPr>
          <w:ilvl w:val="0"/>
          <w:numId w:val="1002"/>
        </w:numPr>
      </w:pPr>
      <w:r>
        <w:t xml:space="preserve">Gaps técnicos e recomendações</w:t>
      </w:r>
    </w:p>
    <w:p>
      <w:pPr>
        <w:numPr>
          <w:ilvl w:val="0"/>
          <w:numId w:val="1002"/>
        </w:numPr>
      </w:pPr>
      <w:r>
        <w:t xml:space="preserve">Itens obrigatórios pré‑Sprint (Guidelines)</w:t>
      </w:r>
    </w:p>
    <w:p>
      <w:pPr>
        <w:pStyle w:val="FirstParagraph"/>
      </w:pPr>
      <w:r>
        <w:rPr>
          <w:b/>
          <w:bCs/>
        </w:rPr>
        <w:t xml:space="preserve">Checklist (Purple)</w:t>
      </w:r>
    </w:p>
    <w:p>
      <w:pPr>
        <w:numPr>
          <w:ilvl w:val="0"/>
          <w:numId w:val="1003"/>
        </w:numPr>
      </w:pPr>
      <w:r>
        <w:t xml:space="preserve">Critérios de aceitação testáveis</w:t>
      </w:r>
    </w:p>
    <w:p>
      <w:pPr>
        <w:numPr>
          <w:ilvl w:val="0"/>
          <w:numId w:val="1004"/>
        </w:numPr>
      </w:pPr>
      <w:r>
        <w:t xml:space="preserve">NFRs explícitas (Guidelines)</w:t>
      </w:r>
    </w:p>
    <w:p>
      <w:pPr>
        <w:numPr>
          <w:ilvl w:val="0"/>
          <w:numId w:val="1005"/>
        </w:numPr>
      </w:pPr>
      <w:r>
        <w:t xml:space="preserve">Critérios mínimos para Sprint 0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Refinement — Projetos Discovery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