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pBdr>
          <w:bottom w:val="single" w:color="2E75B6" w:sz="18" w:space="4"/>
        </w:pBdr>
        <w:spacing w:after="200" w:before="0"/>
        <w:jc w:val="center"/>
      </w:pPr>
      <w:r>
        <w:rPr>
          <w:rFonts w:ascii="Arial" w:cs="Arial" w:eastAsia="Arial" w:hAnsi="Arial"/>
          <w:b/>
          <w:bCs/>
          <w:color w:val="1F3864"/>
          <w:sz w:val="44"/>
          <w:szCs w:val="44"/>
        </w:rPr>
        <w:t xml:space="preserve">Apex Managed Services Ltd</w:t>
      </w:r>
    </w:p>
    <w:p>
      <w:pPr>
        <w:spacing w:after="80" w:before="200"/>
        <w:jc w:val="center"/>
      </w:pPr>
      <w:r>
        <w:rPr>
          <w:rFonts w:ascii="Arial" w:cs="Arial" w:eastAsia="Arial" w:hAnsi="Arial"/>
          <w:color w:val="404040"/>
          <w:sz w:val="26"/>
          <w:szCs w:val="26"/>
        </w:rPr>
        <w:t xml:space="preserve">Information Security Management System</w:t>
      </w:r>
    </w:p>
    <w:p>
      <w:pPr>
        <w:spacing w:after="60" w:before="0"/>
        <w:jc w:val="center"/>
      </w:pPr>
      <w:r>
        <w:rPr>
          <w:rFonts w:ascii="Arial" w:cs="Arial" w:eastAsia="Arial" w:hAnsi="Arial"/>
          <w:b/>
          <w:bCs/>
          <w:color w:val="2E75B6"/>
          <w:sz w:val="40"/>
          <w:szCs w:val="40"/>
        </w:rPr>
        <w:t xml:space="preserve">Internal Audit Guide</w:t>
      </w:r>
    </w:p>
    <w:p>
      <w:pPr>
        <w:spacing w:after="300" w:before="0"/>
        <w:jc w:val="center"/>
      </w:pPr>
      <w:r>
        <w:rPr>
          <w:rFonts w:ascii="Arial" w:cs="Arial" w:eastAsia="Arial" w:hAnsi="Arial"/>
          <w:color w:val="404040"/>
          <w:sz w:val="24"/>
          <w:szCs w:val="24"/>
        </w:rPr>
        <w:t xml:space="preserve">Auditor and Auditee Reference Manual</w:t>
      </w:r>
    </w:p>
    <w:p>
      <w:pPr>
        <w:spacing w:after="80" w:before="0"/>
        <w:jc w:val="center"/>
      </w:pPr>
      <w:r>
        <w:rPr>
          <w:rFonts w:ascii="Arial" w:cs="Arial" w:eastAsia="Arial" w:hAnsi="Arial"/>
          <w:color w:val="404040"/>
          <w:sz w:val="19"/>
          <w:szCs w:val="19"/>
        </w:rPr>
        <w:t xml:space="preserve">ISO/IEC 27001:2022 — All Clauses 4–10 and Annex A Controls</w:t>
      </w:r>
    </w:p>
    <w:p>
      <w:pPr>
        <w:spacing w:after="60" w:before="0"/>
        <w:jc w:val="center"/>
      </w:pPr>
      <w:r>
        <w:rPr>
          <w:rFonts w:ascii="Arial" w:cs="Arial" w:eastAsia="Arial" w:hAnsi="Arial"/>
          <w:color w:val="888888"/>
          <w:sz w:val="17"/>
          <w:szCs w:val="17"/>
        </w:rPr>
        <w:t xml:space="preserve">AUD-2026-001  |  Version 1.0  |  02 April 2026  |  INTERNAL</w:t>
      </w:r>
    </w:p>
    <w:p>
      <w:pPr>
        <w:spacing w:after="0" w:before="12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Audit Reference</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AUD-2026-001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Organisation</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Apex Managed Services Ltd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Standard</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bCs/>
                <w:color w:val="000000"/>
                <w:sz w:val="19"/>
                <w:szCs w:val="19"/>
              </w:rPr>
              <w:t xml:space="preserve">ISO/IEC 27001:2022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Scope</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Full ISMS — per ISMS-SCO-001. All Clauses 4–10. 93 Annex A controls (87 included, 6 excluded — A.7.1/2/3/4/6/12).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Planned Fieldwork</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27–28 July 2026 (two-day programme — see ISMS-IAP-001)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Auditor</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[Name] — ISO 27001:2022 Internal Auditor — see ISMS-TRN-REC Sheet 7 for independence declaration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Classification</w:t>
            </w:r>
          </w:p>
        </w:tc>
        <w:tc>
          <w:tcPr>
            <w:tcW w:type="dxa" w:w="7060"/>
            <w:gridSpan w:val="1"/>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vAlign w:val="center"/>
          </w:tcPr>
          <w:p>
            <w:pPr>
              <w:jc w:val="left"/>
            </w:pPr>
            <w:r>
              <w:rPr>
                <w:rFonts w:ascii="Arial" w:cs="Arial" w:eastAsia="Arial" w:hAnsi="Arial"/>
                <w:b/>
                <w:bCs/>
                <w:color w:val="000000"/>
                <w:sz w:val="19"/>
                <w:szCs w:val="19"/>
              </w:rPr>
              <w:t xml:space="preserve">INTERNAL</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How to Use This Guide</w:t>
      </w:r>
    </w:p>
    <w:p>
      <w:pPr>
        <w:spacing w:after="60" w:before="60"/>
        <w:jc w:val="left"/>
      </w:pPr>
      <w:r>
        <w:rPr>
          <w:rFonts w:ascii="Arial" w:cs="Arial" w:eastAsia="Arial" w:hAnsi="Arial"/>
          <w:b w:val="false"/>
          <w:bCs w:val="false"/>
          <w:color w:val="000000"/>
          <w:sz w:val="20"/>
          <w:szCs w:val="20"/>
        </w:rPr>
        <w:t xml:space="preserve">This guide is the primary reference document for ISMS internal audit AUD-2026-001 at Apex Managed Services Ltd. It is designed to be used by three groups of people:</w:t>
      </w:r>
    </w:p>
    <w:p>
      <w:pPr>
        <w:spacing w:after="40" w:before="40"/>
      </w:pPr>
    </w:p>
    <w:p>
      <w:pPr>
        <w:pStyle w:val="ListParagraph"/>
        <w:numPr>
          <w:ilvl w:val="0"/>
          <w:numId w:val="2"/>
        </w:numPr>
        <w:spacing w:after="40" w:before="40"/>
      </w:pPr>
      <w:r>
        <w:rPr>
          <w:rFonts w:ascii="Arial" w:cs="Arial" w:eastAsia="Arial" w:hAnsi="Arial"/>
          <w:sz w:val="19"/>
          <w:szCs w:val="19"/>
        </w:rPr>
        <w:t xml:space="preserve">The auditor — as a structured fieldwork guide. Each audit item explains what the requirement means, why it is tested, the specific questions to ask, and the evidence to request.</w:t>
      </w:r>
    </w:p>
    <w:p>
      <w:pPr>
        <w:pStyle w:val="ListParagraph"/>
        <w:numPr>
          <w:ilvl w:val="0"/>
          <w:numId w:val="2"/>
        </w:numPr>
        <w:spacing w:after="40" w:before="40"/>
      </w:pPr>
      <w:r>
        <w:rPr>
          <w:rFonts w:ascii="Arial" w:cs="Arial" w:eastAsia="Arial" w:hAnsi="Arial"/>
          <w:sz w:val="19"/>
          <w:szCs w:val="19"/>
        </w:rPr>
        <w:t xml:space="preserve">Auditees (ISM, HoT, MD) — to understand in advance what will be examined, what to prepare, and what constitutes a typical finding.</w:t>
      </w:r>
    </w:p>
    <w:p>
      <w:pPr>
        <w:pStyle w:val="ListParagraph"/>
        <w:numPr>
          <w:ilvl w:val="0"/>
          <w:numId w:val="2"/>
        </w:numPr>
        <w:spacing w:after="40" w:before="40"/>
      </w:pPr>
      <w:r>
        <w:rPr>
          <w:rFonts w:ascii="Arial" w:cs="Arial" w:eastAsia="Arial" w:hAnsi="Arial"/>
          <w:sz w:val="19"/>
          <w:szCs w:val="19"/>
        </w:rPr>
        <w:t xml:space="preserve">The ISM — as an audit preparation checklist. Review each item before fieldwork to confirm evidence is available and accessible.</w:t>
      </w:r>
    </w:p>
    <w:p>
      <w:pPr>
        <w:spacing w:after="60" w:before="60"/>
      </w:pPr>
    </w:p>
    <w:p>
      <w:pPr>
        <w:spacing w:after="60" w:before="60"/>
        <w:jc w:val="left"/>
      </w:pPr>
      <w:r>
        <w:rPr>
          <w:rFonts w:ascii="Arial" w:cs="Arial" w:eastAsia="Arial" w:hAnsi="Arial"/>
          <w:b w:val="false"/>
          <w:bCs w:val="false"/>
          <w:color w:val="000000"/>
          <w:sz w:val="20"/>
          <w:szCs w:val="20"/>
        </w:rPr>
        <w:t xml:space="preserve">Each audit item is presented as a structured card with the following fields:</w:t>
      </w:r>
    </w:p>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Card Field</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What It Contains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What this requirement means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A plain-language explanation of what the ISO 27001:2022 clause or Annex A control actually requires — without standard jargon.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Why the auditor tests it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audit rationale: what failure mode this test is designed to detect, and what it means for the ISMS if it is absent or inadequate.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Audit questions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specific questions the auditor will ask. Auditees can prepare for these questions in advance. Answers should be supported by documented evidence.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Evidence to request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specific documents, records, reports, or system outputs the auditor will ask to see. Prepare these before fieldwork.</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Guidance for auditees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Practical advice on how to present evidence effectively and what the auditor is looking for.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8"/>
                <w:szCs w:val="18"/>
              </w:rPr>
              <w:t xml:space="preserve">Common findings</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most frequent nonconformities and observations seen in practice for this requirement. Use these as a pre-audit gap check.</w:t>
            </w:r>
          </w:p>
        </w:tc>
      </w:tr>
    </w:tbl>
    <w:p>
      <w:pPr>
        <w:spacing w:after="60" w:before="60"/>
      </w:pPr>
    </w:p>
    <w:p>
      <w:pPr>
        <w:spacing w:after="60" w:before="60"/>
        <w:jc w:val="left"/>
      </w:pPr>
      <w:r>
        <w:rPr>
          <w:rFonts w:ascii="Arial" w:cs="Arial" w:eastAsia="Arial" w:hAnsi="Arial"/>
          <w:b/>
          <w:bCs/>
          <w:color w:val="000000"/>
          <w:sz w:val="20"/>
          <w:szCs w:val="20"/>
        </w:rPr>
        <w:t xml:space="preserve">Finding grades used in this audit:</w:t>
      </w:r>
    </w:p>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860"/>
      </w:tblGrid>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Code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Grade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7"/>
                <w:szCs w:val="17"/>
              </w:rPr>
              <w:t xml:space="preserve">Definition</w:t>
            </w:r>
          </w:p>
        </w:tc>
      </w:tr>
      <w:tr>
        <w:tc>
          <w:tcPr>
            <w:tcW w:type="dxa" w:w="12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Conformity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Requirement is met. Evidence reviewed and found satisfactory. No action required.</w:t>
            </w:r>
          </w:p>
        </w:tc>
      </w:tr>
      <w:tr>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MNC</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Minor NC</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A single lapse or isolated failure. Does not immediately compromise the ISMS. Corrective action required within an agreed timescale.</w:t>
            </w:r>
          </w:p>
        </w:tc>
      </w:tr>
      <w:tr>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MaNC</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Major NC</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A systematic failure or complete absence of a required element. Directly threatens ISMS effectiveness or conformity with the standard. Must be resolved before certification or surveillance can proceed.</w:t>
            </w:r>
          </w:p>
        </w:tc>
      </w:tr>
      <w:tr>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OFI</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Opportunity for Improvement</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Not a nonconformity. An area where the ISMS could be enhanced beyond minimum requirements. Non-mandatory but recommended.</w:t>
            </w:r>
          </w:p>
        </w:tc>
      </w:tr>
      <w:tr>
        <w:tc>
          <w:tcPr>
            <w:tcW w:type="dxa" w:w="12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bCs/>
                <w:color w:val="000000"/>
                <w:sz w:val="17"/>
                <w:szCs w:val="17"/>
              </w:rPr>
              <w:t xml:space="preserve">Not Applicable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Control is excluded from scope with documented justification in ISMS-SoA-001, or the clause does not apply to this organisation's context.</w:t>
            </w:r>
          </w:p>
        </w:tc>
      </w:tr>
    </w:tbl>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F3864" w:val="clear"/>
            <w:tcMar>
              <w:top w:type="dxa" w:w="160"/>
              <w:left w:type="dxa" w:w="320"/>
              <w:bottom w:type="dxa" w:w="160"/>
              <w:right w:type="dxa" w:w="320"/>
            </w:tcMar>
          </w:tcPr>
          <w:p>
            <w:pPr>
              <w:spacing w:after="40" w:before="0"/>
              <w:jc w:val="center"/>
            </w:pPr>
            <w:r>
              <w:rPr>
                <w:rFonts w:ascii="Arial" w:cs="Arial" w:eastAsia="Arial" w:hAnsi="Arial"/>
                <w:b/>
                <w:bCs/>
                <w:color w:val="FFFFFF"/>
                <w:sz w:val="26"/>
                <w:szCs w:val="26"/>
              </w:rPr>
              <w:t xml:space="preserve">PART A — MANDATORY CLAUSE AUDIT</w:t>
            </w:r>
          </w:p>
          <w:p>
            <w:pPr>
              <w:spacing w:after="0" w:before="0"/>
              <w:jc w:val="center"/>
            </w:pPr>
            <w:r>
              <w:rPr>
                <w:rFonts w:ascii="Arial" w:cs="Arial" w:eastAsia="Arial" w:hAnsi="Arial"/>
                <w:color w:val="D6E4F0"/>
                <w:sz w:val="16"/>
                <w:szCs w:val="16"/>
              </w:rPr>
              <w:t xml:space="preserve">ISO/IEC 27001:2022 Clauses 4–10  |  All mandatory requirements</w:t>
            </w:r>
          </w:p>
        </w:tc>
      </w:tr>
    </w:tbl>
    <w:p>
      <w:pPr>
        <w:spacing w:after="80" w:before="80"/>
      </w:pPr>
    </w:p>
    <w:p>
      <w:pPr>
        <w:pStyle w:val="Heading1"/>
        <w:pBdr>
          <w:bottom w:val="single" w:color="2E75B6" w:sz="8" w:space="4"/>
        </w:pBdr>
        <w:spacing w:after="80" w:before="280"/>
      </w:pPr>
      <w:r>
        <w:rPr>
          <w:rFonts w:ascii="Arial" w:cs="Arial" w:eastAsia="Arial" w:hAnsi="Arial"/>
          <w:b/>
          <w:bCs/>
          <w:color w:val="1F3864"/>
          <w:sz w:val="30"/>
          <w:szCs w:val="30"/>
        </w:rPr>
        <w:t xml:space="preserve">Clause 4 — Context of the Organisation</w:t>
      </w:r>
    </w:p>
    <w:p>
      <w:pPr>
        <w:spacing w:after="60" w:before="60"/>
        <w:jc w:val="left"/>
      </w:pPr>
      <w:r>
        <w:rPr>
          <w:rFonts w:ascii="Arial" w:cs="Arial" w:eastAsia="Arial" w:hAnsi="Arial"/>
          <w:b w:val="false"/>
          <w:bCs w:val="false"/>
          <w:color w:val="595959"/>
          <w:sz w:val="19"/>
          <w:szCs w:val="19"/>
        </w:rPr>
        <w:t xml:space="preserve">Clause 4 establishes the foundation of the entire ISMS. Before any controls, risk assessments, or policies can be meaningful, the organisation must understand the environment in which it operates. An ISMS built without a clear understanding of context is built on sand — controls may not address the actual threats, and the scope may not cover the right assets.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4.1  |  </w:t>
            </w:r>
            <w:r>
              <w:rPr>
                <w:rFonts w:ascii="Arial" w:cs="Arial" w:eastAsia="Arial" w:hAnsi="Arial"/>
                <w:b/>
                <w:bCs/>
                <w:color w:val="FFFFFF"/>
                <w:sz w:val="20"/>
                <w:szCs w:val="20"/>
              </w:rPr>
              <w:t xml:space="preserve">Understanding the organisation and its context</w:t>
            </w:r>
          </w:p>
          <w:p>
            <w:pPr>
              <w:spacing w:after="0" w:before="0"/>
            </w:pPr>
            <w:r>
              <w:rPr>
                <w:rFonts w:ascii="Arial" w:cs="Arial" w:eastAsia="Arial" w:hAnsi="Arial"/>
                <w:color w:val="BBCCDD"/>
                <w:sz w:val="15"/>
                <w:szCs w:val="15"/>
              </w:rPr>
              <w:t xml:space="preserve">ISMS Documents: ISMS-CTX-001, ISMS-PLN-001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identify all external and internal factors that are relevant to its purpose and that could affect the ISMS's ability to achieve its intended outcomes. External factors include the legal and regulatory environment, the threat landscape, client and market expectations, and geopolitical context. Internal factors include organisational structure, culture, staff capability, technology choices, and financial resources.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Auditors test this because an ISMS that does not reflect the real operating environment will have gaps. If the organisation has not identified that it operates in the UK cyber security advisory sector, it may not have considered NIS Regulations obligations or the NCSC guidance relevant to it. This is also the feed for risk assessment — unidentified context means unidentified risk.</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Has the organisation formally documented both external and internal issues relevant to its purpose and the ISMS?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Can the ISM walk the auditor through the context document and explain how it was derived?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 context reviewed at least annually, or when significant changes occur (new client type, regulatory change, personnel change)?</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Does the context feed directly into the risk assessment? Can you trace a context issue to a risk in ISMS-PLN-001?</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ISMS-CTX-001 — context and interested party document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most recent context review (date, who reviewed it, what changed)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ISMS-PLN-001 risk register — show how context factors informed risk identification</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Prepare by reviewing ISMS-CTX-001 before fieldwork. Be ready to explain: what the key external threats are, what internal limitations exist, and how these fed into the risk register. The auditor will look for a traceable link between context items and risk register entries.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Most common finding: context document exists but has not been reviewed or updated since initial creation. Second most common: context is generic and not specific to the organisation's actual operating environment — a copy-paste exercise rather than a genuine analysis.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4.2  |  </w:t>
            </w:r>
            <w:r>
              <w:rPr>
                <w:rFonts w:ascii="Arial" w:cs="Arial" w:eastAsia="Arial" w:hAnsi="Arial"/>
                <w:b/>
                <w:bCs/>
                <w:color w:val="FFFFFF"/>
                <w:sz w:val="20"/>
                <w:szCs w:val="20"/>
              </w:rPr>
              <w:t xml:space="preserve">Understanding needs and expectations of interested parties</w:t>
            </w:r>
          </w:p>
          <w:p>
            <w:pPr>
              <w:spacing w:after="0" w:before="0"/>
            </w:pPr>
            <w:r>
              <w:rPr>
                <w:rFonts w:ascii="Arial" w:cs="Arial" w:eastAsia="Arial" w:hAnsi="Arial"/>
                <w:color w:val="BBCCDD"/>
                <w:sz w:val="15"/>
                <w:szCs w:val="15"/>
              </w:rPr>
              <w:t xml:space="preserve">ISMS Documents: ISMS-CTX-001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identify all parties who have a relevant interest in the ISMS — clients, regulators (ICO, NCSC), the certification body, staff, suppliers, and others — and document what security requirements each interested party places on the organisation. These requirements become inputs to the ISMS design.</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Client contractual security requirements often drive ISMS scope and control selection more directly than generic risk assessment. If the organisation has not identified that a client requires ISO 27001 certification, or that the ICO expects a GDPR-compliant data processing operation, those requirements cannot be systematically met. The auditor is testing whether real requirements are captured and acted on.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Has the organisation identified all relevant interested parties?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For each interested party: has it documented what that party requires of the ISMS?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client contractual security requirements reflected in the ISMS scope, risk register, and SoA?</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interested party requirements reviewed for change — for example when client contracts are renewed?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Interested party register within ISMS-CTX-001</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client contracts — confirm security requirements are captured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how client security requirements influenced the ISMS (e.g. ISO 27001 certification listed as a client requirement driving OBJ-001)</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ISM should be able to name each interested party and state their primary security requirements without referring to documents. Key parties: clients (contractual), ICO (UK GDPR), NCSC (national cyber guidance), certification body (ISO 27001 conformity), staff (employment law obligations), Microsoft (supplier relationship).</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interested parties identified but their specific requirements are not documented — 'Client requires confidentiality' is not sufficient; the requirement should reference specific clauses in the client agreement.</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4.3  |  </w:t>
            </w:r>
            <w:r>
              <w:rPr>
                <w:rFonts w:ascii="Arial" w:cs="Arial" w:eastAsia="Arial" w:hAnsi="Arial"/>
                <w:b/>
                <w:bCs/>
                <w:color w:val="FFFFFF"/>
                <w:sz w:val="20"/>
                <w:szCs w:val="20"/>
              </w:rPr>
              <w:t xml:space="preserve">Determining the scope of the ISMS</w:t>
            </w:r>
          </w:p>
          <w:p>
            <w:pPr>
              <w:spacing w:after="0" w:before="0"/>
            </w:pPr>
            <w:r>
              <w:rPr>
                <w:rFonts w:ascii="Arial" w:cs="Arial" w:eastAsia="Arial" w:hAnsi="Arial"/>
                <w:color w:val="BBCCDD"/>
                <w:sz w:val="15"/>
                <w:szCs w:val="15"/>
              </w:rPr>
              <w:t xml:space="preserve">ISMS Documents: ISMS-SCO-001, ISMS-SoA-001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scope defines the boundaries of what the ISMS covers — which services, people, systems, locations, and activities are included. The scope must be documented and must make sense given the context and interested party requirements. Exclusions from scope must be justified. The scope must be communicated to the certification body.</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scope determines what the certification covers and what controls are required. An overly narrow scope may exclude critical assets from protection. An overly broad scope that the organisation cannot realistically implement or evidence will lead to major nonconformities. The auditor checks that the scope is honest, complete, and consistently applied throughout the ISMS.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 scope statement documented and formally approved?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Does the scope clearly define what is included — services, systems, people, locations?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any exclusions from scope documented with justification?</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 scope consistent with what the organisation actually does — does it include all services being delivered to clients?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Have any changes to the scope been notified to the CB?</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ISMS-SCO-001 — scope statement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ISMS-SoA-001 — check scope reference in the SoA header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CB certification scope statement — confirm it matches ISMS-SCO-001</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scope statement should be one or two clear paragraphs that a person unfamiliar with the organisation could read and understand. Rehearse explaining what is in scope and why. If pressed on the 6 excluded physical controls (A.7.1/2/3/4/6/12), the explanation is straightforward: the organisation is remote-first with no controlled premises.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scope is vague ('IT systems and services') without specifying which services, which people, or which technology. Major NC risk: a service that is clearly being delivered to clients is outside the stated scope with no justification.</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4.4  |  </w:t>
            </w:r>
            <w:r>
              <w:rPr>
                <w:rFonts w:ascii="Arial" w:cs="Arial" w:eastAsia="Arial" w:hAnsi="Arial"/>
                <w:b/>
                <w:bCs/>
                <w:color w:val="FFFFFF"/>
                <w:sz w:val="20"/>
                <w:szCs w:val="20"/>
              </w:rPr>
              <w:t xml:space="preserve">ISMS and its processes</w:t>
            </w:r>
          </w:p>
          <w:p>
            <w:pPr>
              <w:spacing w:after="0" w:before="0"/>
            </w:pPr>
            <w:r>
              <w:rPr>
                <w:rFonts w:ascii="Arial" w:cs="Arial" w:eastAsia="Arial" w:hAnsi="Arial"/>
                <w:color w:val="BBCCDD"/>
                <w:sz w:val="15"/>
                <w:szCs w:val="15"/>
              </w:rPr>
              <w:t xml:space="preserve">ISMS Documents: ISMS-OPS-001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establish, implement, maintain, and continually improve the ISMS, including the processes needed and their interactions. This is not just about having documents — it requires evidence that the ISMS operates as a system of interacting processes rather than a collection of individual policies.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This clause is the auditor's signal to look for the ISMS as a functioning system rather than a documentation exercise. Evidence of process interaction — risk feeding objectives feeding controls feeding monitoring feeding management review — demonstrates a genuine ISMS. Absence of this linkage is a conformity concern.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Can the ISM describe the key ISMS processes and how they interact?</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a process map or equivalent showing how risk assessment, control implementation, monitoring, and management review form a cycle?</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there evidence that ISMS processes are actually operating — not just documented?</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outsourced processes (supplier management) identified and controlled?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ISMS-OPS-001 — operational process document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process outputs: risk register, KPI reports, management review minutes, corrective action records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Demonstration that processes feed each other: context → risk → SoA → KPIs → MR → CARs → CI</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best way to demonstrate Clause 4.4 conformity is to walk the auditor through the ISMS cycle: 'The risk register identified ISK-001 as High. That drove OBJ-002 (MFA enforcement). KPI-001 and KPI-002 measure progress. These feed ISMS-MR-002. The management review (ISMS-MR-001) reviewed the KPI trend and confirmed the objective is on track.' That chain of evidence demonstrates a functioning system.</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well-documented processes that are not demonstrably operating. Symptom: KPI columns in ISMS-MR-002 are empty, or management review minutes do not reference KPI results. These suggest the process exists on paper but not in practice.</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5 — Leadership</w:t>
      </w:r>
    </w:p>
    <w:p>
      <w:pPr>
        <w:spacing w:after="60" w:before="60"/>
        <w:jc w:val="left"/>
      </w:pPr>
      <w:r>
        <w:rPr>
          <w:rFonts w:ascii="Arial" w:cs="Arial" w:eastAsia="Arial" w:hAnsi="Arial"/>
          <w:b w:val="false"/>
          <w:bCs w:val="false"/>
          <w:color w:val="595959"/>
          <w:sz w:val="19"/>
          <w:szCs w:val="19"/>
        </w:rPr>
        <w:t xml:space="preserve">Clause 5 requirements cannot be delegated to the ISM. They are requirements on top management — specifically the Managing Director. An ISO 27001 certification is a statement that top management takes information security seriously enough to embed it in the organisation's governance. Without genuine MD involvement, the ISMS is an ISM-only exercise that will not survive scrutiny.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5.1  |  </w:t>
            </w:r>
            <w:r>
              <w:rPr>
                <w:rFonts w:ascii="Arial" w:cs="Arial" w:eastAsia="Arial" w:hAnsi="Arial"/>
                <w:b/>
                <w:bCs/>
                <w:color w:val="FFFFFF"/>
                <w:sz w:val="20"/>
                <w:szCs w:val="20"/>
              </w:rPr>
              <w:t xml:space="preserve">Leadership and commitment</w:t>
            </w:r>
          </w:p>
          <w:p>
            <w:pPr>
              <w:spacing w:after="0" w:before="0"/>
            </w:pPr>
            <w:r>
              <w:rPr>
                <w:rFonts w:ascii="Arial" w:cs="Arial" w:eastAsia="Arial" w:hAnsi="Arial"/>
                <w:color w:val="BBCCDD"/>
                <w:sz w:val="15"/>
                <w:szCs w:val="15"/>
              </w:rPr>
              <w:t xml:space="preserve">ISMS Documents: ISMS-LDR-001, ISMS-POL-001, ISMS-MR-001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Top management — the MD — must demonstrate active leadership and commitment to the ISMS. This is not satisfied by signing a policy once. It requires: integrating ISMS requirements into business processes, ensuring resources are provided, communicating the importance of IS, and directing and supporting people to contribute to ISMS effectiveness. The MD must also ensure the ISMS achieves its intended outcomes.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An ISMS led only by the ISM will collapse when the ISM leaves. Leadership commitment is the structural guarantee that information security is an organisational priority rather than a compliance exercise. The auditor tests this by looking for evidence of MD involvement that goes beyond signatures — participation in management review, resource allocation decisions, communication to staff.</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Has the MD signed the current IS policy?</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Has the MD participated in and signed off the management review? (Not just received the minutes — actively participated?)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Can the MD articulate the organisation's key information security risks and objectives without prompting?</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Has the MD allocated adequate resources to the ISMS — staff time, budget, tooling?</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Has the MD communicated the importance of information security to staff?</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Signed ISMS-POL-001 (MD signature block — current version)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ISMS-MR-001-2026 — management review minutes signed by MD, showing active MD participation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MD communication to staff (e.g. MD endorsement email at training launch — ISMS-HR-002 §3 Step 3)</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Budget records showing ISMS resource allocation</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MD should expect to be asked directly: 'What are your three highest information security risks?' and 'What resources have you allocated to the ISMS this year?' These are not trick questions — they test genuine engagement. Prepare by reviewing ISMS-PLN-001 (top risks) and ISMS-OBJ-001 (objectives) before fieldwork.</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Most common finding: management review minutes exist but show no MD input — the ISM presents, the MD signs. A genuinely engaged MD challenges KPI results, makes decisions on resources, and asks follow-up questions. Second most common: IS policy signed by MD at initial certification then never updated or re-signed.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5.2  |  </w:t>
            </w:r>
            <w:r>
              <w:rPr>
                <w:rFonts w:ascii="Arial" w:cs="Arial" w:eastAsia="Arial" w:hAnsi="Arial"/>
                <w:b/>
                <w:bCs/>
                <w:color w:val="FFFFFF"/>
                <w:sz w:val="20"/>
                <w:szCs w:val="20"/>
              </w:rPr>
              <w:t xml:space="preserve">Information security policy</w:t>
            </w:r>
          </w:p>
          <w:p>
            <w:pPr>
              <w:spacing w:after="0" w:before="0"/>
            </w:pPr>
            <w:r>
              <w:rPr>
                <w:rFonts w:ascii="Arial" w:cs="Arial" w:eastAsia="Arial" w:hAnsi="Arial"/>
                <w:color w:val="BBCCDD"/>
                <w:sz w:val="15"/>
                <w:szCs w:val="15"/>
              </w:rPr>
              <w:t xml:space="preserve">ISMS Documents: ISMS-POL-001, ISMS-POL-001-SUM, ISMS-TRN-REC</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IS policy must: be appropriate to the organisation's purpose; include a commitment to satisfy applicable IS requirements; include a commitment to continual improvement; be documented; be communicated internally; and be available to interested parties. The policy is the top-level statement of the organisation's information security intent.</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policy is what the auditor uses to assess whether the ISMS is coherent. A policy that commits to protecting client data must be backed by controls that protect client data. A policy that commits to compliance must be backed by legal and regulatory obligation management. The auditor looks for alignment between the policy commitments and the ISMS's actual operations.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Does the policy include all required elements: purpose, commitments to requirements and CI, approval?</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 policy version-controlled and dated?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there evidence it has been communicated to all personnel — policy acknowledgements in ISMS-TRN-REC?</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 one-page summary (ISMS-POL-001-SUM) available for interested parties (clients)?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 policy reviewed when significant changes occur?</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ISMS-POL-001 — full policy (current version, MD signed)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ISMS-POL-001-SUM — public summary</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5 — policy acknowledgement records (KPI-025: 100%)</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KPI-025 value for current month</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Every current employee and contractor must have a signed policy acknowledgement on file in ISMS-TRN-REC Sheet 5. If the policy has been revised since someone last signed it, they must re-sign. Prepare this register before fieldwork — an incomplete register is a direct MNC against KPI-025.</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policy acknowledgements incomplete (contractor signed up but acknowledgement not in register). Major NC risk: the policy has not been communicated — no acknowledgement records at all, and staff cannot describe the policy's key commitments when asked.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5.3  |  </w:t>
            </w:r>
            <w:r>
              <w:rPr>
                <w:rFonts w:ascii="Arial" w:cs="Arial" w:eastAsia="Arial" w:hAnsi="Arial"/>
                <w:b/>
                <w:bCs/>
                <w:color w:val="FFFFFF"/>
                <w:sz w:val="20"/>
                <w:szCs w:val="20"/>
              </w:rPr>
              <w:t xml:space="preserve">Roles, responsibilities and authorities</w:t>
            </w:r>
          </w:p>
          <w:p>
            <w:pPr>
              <w:spacing w:after="0" w:before="0"/>
            </w:pPr>
            <w:r>
              <w:rPr>
                <w:rFonts w:ascii="Arial" w:cs="Arial" w:eastAsia="Arial" w:hAnsi="Arial"/>
                <w:color w:val="BBCCDD"/>
                <w:sz w:val="15"/>
                <w:szCs w:val="15"/>
              </w:rPr>
              <w:t xml:space="preserve">ISMS Documents: ISMS-LDR-001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assign and communicate responsibilities and authorities for IS roles. As a minimum: a named individual (ISM) must be responsible for reporting ISMS performance to top management, and roles must be assigned to ensure the ISMS conforms to ISO 27001:2022 requirements.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Without clear role assignment, accountability evaporates. When an incident occurs, nobody knows who is responsible. When a control is not implemented, nobody is accountable. The auditor tests whether the assignment of roles is real — do the people assigned to roles know what they are responsible for?</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named ISM with documented responsibilities?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Are IS responsibilities documented in the RACI matrix?</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Does the ISM have sufficient authority to report ISMS performance to the MD?</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Do all personnel understand their IS responsibilities?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roles reviewed when personnel change?</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ISMS-LDR-001 §5 Role Assignment Register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ISMS-LDR-001 RACI matrix</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Job descriptions or engagement letters referencing IS responsibilities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Each named role-holder should be able to state their primary IS responsibilities in one or two sentences without reading from a document. The ISM should be able to describe what they report to the MD and when. The HoT should be able to describe their technical control responsibilities.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roles documented in ISMS-LDR-001 but role-holders have not been briefed on what they are responsible for. MNC risk: no named ISM — responsibility sits informally with the MD with no formal assignment.</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6 — Planning</w:t>
      </w:r>
    </w:p>
    <w:p>
      <w:pPr>
        <w:spacing w:after="60" w:before="60"/>
        <w:jc w:val="left"/>
      </w:pPr>
      <w:r>
        <w:rPr>
          <w:rFonts w:ascii="Arial" w:cs="Arial" w:eastAsia="Arial" w:hAnsi="Arial"/>
          <w:b w:val="false"/>
          <w:bCs w:val="false"/>
          <w:color w:val="595959"/>
          <w:sz w:val="19"/>
          <w:szCs w:val="19"/>
        </w:rPr>
        <w:t xml:space="preserve">Clause 6 is where the ISMS becomes specific. Context and leadership commitments are translated into a concrete risk picture, a treatment plan, measurable objectives, and a change management approach. The risk register and SoA are the two most-examined documents in any ISO 27001 audit. They must be technically credible, evidence-based, and internally consistent.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6.1.1 / 6.1.2  |  </w:t>
            </w:r>
            <w:r>
              <w:rPr>
                <w:rFonts w:ascii="Arial" w:cs="Arial" w:eastAsia="Arial" w:hAnsi="Arial"/>
                <w:b/>
                <w:bCs/>
                <w:color w:val="FFFFFF"/>
                <w:sz w:val="20"/>
                <w:szCs w:val="20"/>
              </w:rPr>
              <w:t xml:space="preserve">Information security risk assessment</w:t>
            </w:r>
          </w:p>
          <w:p>
            <w:pPr>
              <w:spacing w:after="0" w:before="0"/>
            </w:pPr>
            <w:r>
              <w:rPr>
                <w:rFonts w:ascii="Arial" w:cs="Arial" w:eastAsia="Arial" w:hAnsi="Arial"/>
                <w:color w:val="BBCCDD"/>
                <w:sz w:val="15"/>
                <w:szCs w:val="15"/>
              </w:rPr>
              <w:t xml:space="preserve">ISMS Documents: ISMS-PLN-001, ISMS-SoA-001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define and apply a repeatable risk assessment process that: identifies risks associated with the loss of CIA; assigns risk owners; analyses risks against defined criteria; and evaluates risks to produce a prioritised risk register. The process must produce consistent, valid, and comparable results when performed by different people.</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risk register is the auditor's primary diagnostic tool for the ISMS. It should explain why every significant control exists. An auditor who reads the risk register and then reviews the SoA should be able to understand why each control was selected. If the risk register does not explain the control selection, the ISMS lacks a coherent rationale.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 risk assessment methodology documented with defined criteria for likelihood and impact?</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a current risk register with all risks formally assessed?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Does each risk have a named owner?</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a date on the risk assessment — has it been performed within the last 12 months?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Does the risk register reflect the actual operating context — are the threats realistic and specific?</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Can you trace risks from the context document (Clause 4.1) through to treatment in the SoA?</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ISMS-PLN-001 §2 — risk methodology and criteria</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ISMS-PLN-001 risk register — all 15 risks (ISK-001 to ISK-015) with likelihood, impact, scores, and owners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most recent risk assessment date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ISMS-SoA-001 — confirm control selection links to risk treatment decisions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ISM should be able to walk the auditor through the top 5 risks from memory — what they are, why they are rated as they are, and what treatment is in place. The risk register should feel like it describes real threats to this specific organisation, not generic threats copied from a template. Be ready to explain the scoring decisions for the highest-rated risks.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findings: risk register scores inconsistent with methodology (a risk scored as High but the likelihood × impact calculation doesn't produce that score). Risks that are generic and non-specific to the organisation. Risk register dated more than 12 months ago. No named risk owner (ownership attributed to 'the organisation').</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6.1.3  |  </w:t>
            </w:r>
            <w:r>
              <w:rPr>
                <w:rFonts w:ascii="Arial" w:cs="Arial" w:eastAsia="Arial" w:hAnsi="Arial"/>
                <w:b/>
                <w:bCs/>
                <w:color w:val="FFFFFF"/>
                <w:sz w:val="20"/>
                <w:szCs w:val="20"/>
              </w:rPr>
              <w:t xml:space="preserve">Information security risk treatment</w:t>
            </w:r>
          </w:p>
          <w:p>
            <w:pPr>
              <w:spacing w:after="0" w:before="0"/>
            </w:pPr>
            <w:r>
              <w:rPr>
                <w:rFonts w:ascii="Arial" w:cs="Arial" w:eastAsia="Arial" w:hAnsi="Arial"/>
                <w:color w:val="BBCCDD"/>
                <w:sz w:val="15"/>
                <w:szCs w:val="15"/>
              </w:rPr>
              <w:t xml:space="preserve">ISMS Documents: ISMS-SoA-001, ISMS-PLN-001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Having assessed risks, the organisation must select appropriate treatment options, produce a risk treatment plan, and produce a Statement of Applicability (SoA). The SoA must list all Annex A controls, indicate whether each is included or excluded, provide justification for inclusions and detailed justification for exclusions, and indicate implementation status.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SoA is the definitive audit document for Annex A. It must be complete — all 93 controls assessed. Exclusions must be genuinely justified, not just marked 'not applicable' without explanation. Implementation status must be honest — marking a control as 'Implemented' when no evidence of implementation exists is a major nonconformity.</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Does the SoA cover all 93 ISO 27001:2022 Annex A controls?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a documented justification for each inclusion and a detailed narrative justification for each exclusion?</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 the 6 excluded controls (A.7.1/2/3/4/6/12) have adequate justifications linked to the remote-first operating model?</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 implementation status column honest — do 'Implemented' controls have evidence?</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Has the MD formally accepted residual risks that remain High (ISK-001)?</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Is there a risk treatment plan showing how treatment controls address each risk?</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ISMS-SoA-001 — full SoA with all 93 controls, inclusion reasons, implementation status, exclusion justification sheet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ISMS-PLN-001 §4 — risk treatment plan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MD risk acceptance record for ISK-001 (High residual risk)</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'Implemented' control evidence (e.g. MFA enforcement → Conditional Access config → KPI-001 = 100%)</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SoA must be internally consistent with everything else in the ISMS. If the SoA says A.8.8 (vulnerability management) is 'Implemented', the auditor will look for Defender VM findings data, KPI-005/006/007 values in ISMS-MR-002, and ISMS-VUL-001. If those do not exist or show gaps, the status is inaccurate. Review all 'Implemented' claims against available evidence before fieldwork.</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SoA exists but implementation status is uniformly 'Implemented' across all controls with no supporting evidence — this suggests the SoA is a documentation artefact rather than a genuine assessment. Also: exclusion justifications that say only 'N/A' without explanation.</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6.2  |  </w:t>
            </w:r>
            <w:r>
              <w:rPr>
                <w:rFonts w:ascii="Arial" w:cs="Arial" w:eastAsia="Arial" w:hAnsi="Arial"/>
                <w:b/>
                <w:bCs/>
                <w:color w:val="FFFFFF"/>
                <w:sz w:val="20"/>
                <w:szCs w:val="20"/>
              </w:rPr>
              <w:t xml:space="preserve">Information security objectives</w:t>
            </w:r>
          </w:p>
          <w:p>
            <w:pPr>
              <w:spacing w:after="0" w:before="0"/>
            </w:pPr>
            <w:r>
              <w:rPr>
                <w:rFonts w:ascii="Arial" w:cs="Arial" w:eastAsia="Arial" w:hAnsi="Arial"/>
                <w:color w:val="BBCCDD"/>
                <w:sz w:val="15"/>
                <w:szCs w:val="15"/>
              </w:rPr>
              <w:t xml:space="preserve">ISMS Documents: ISMS-OBJ-001, ISMS-PLN-001,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establish IS objectives at relevant functions and levels. Objectives must be: consistent with the IS policy; measurable; monitored; communicated; updated as appropriate; and planned in detail (what, resources, who, when, how evaluated — Clause 6.2(a)–(g)). Objectives must be documented.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Objectives are how the ISMS demonstrates it is achieving improvement rather than just maintaining a status quo. An ISMS with no measurable objectives is an ISMS that cannot demonstrate it is getting better. The auditor tests whether objectives are genuinely measurable, actively monitored, and linked to the organisation's real priorities.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objectives formally documented with all required Clause 6.2 planning fields?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Are all 6 objectives linked to KPIs in ISMS-MR-002?</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there monthly KPI data in ISMS-MR-002 demonstrating objectives are being monitored?</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Have objectives been communicated to all personnel?</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there evidence of management decisions about objectives at the management review?</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ISMS-OBJ-001 — all 6 objectives with Clause 6.2(a)–(g) fields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 data entry sheet (monthly data for KPIs linked to each objective)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communication (e.g. ISMS-OBJ-001 distributed to all staff)</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ISMS-MR-001-2026 — management review minutes section on objectives (MRI-005)</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Be ready to state the current status of each objective from memory. For each: what is the target, what is the current KPI value, and is it on track? The auditor will ask this of the ISM without reference to documents. Prepare by reviewing the most recent ISMS-MR-002 data before fieldwork.</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objectives exist but KPI data in ISMS-MR-002 is empty — objectives are set but not monitored. MNC risk: objectives do not meet the Clause 6.2 planning requirements — missing 'who is responsible', 'what resources are needed', or 'how results will be evaluated'.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6.3  |  </w:t>
            </w:r>
            <w:r>
              <w:rPr>
                <w:rFonts w:ascii="Arial" w:cs="Arial" w:eastAsia="Arial" w:hAnsi="Arial"/>
                <w:b/>
                <w:bCs/>
                <w:color w:val="FFFFFF"/>
                <w:sz w:val="20"/>
                <w:szCs w:val="20"/>
              </w:rPr>
              <w:t xml:space="preserve">Planning of changes</w:t>
            </w:r>
          </w:p>
          <w:p>
            <w:pPr>
              <w:spacing w:after="0" w:before="0"/>
            </w:pPr>
            <w:r>
              <w:rPr>
                <w:rFonts w:ascii="Arial" w:cs="Arial" w:eastAsia="Arial" w:hAnsi="Arial"/>
                <w:color w:val="BBCCDD"/>
                <w:sz w:val="15"/>
                <w:szCs w:val="15"/>
              </w:rPr>
              <w:t xml:space="preserve">ISMS Documents: ISMS-CHG-001, ISMS-OPS-001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When the organisation determines a need for changes to the ISMS, the changes must be carried out in a planned manner. This applies to changes to documented information, processes, controls, and scope. Changes should consider: the purpose of the change, the integrity of the ISMS, resource availability, and responsibilities.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Uncontrolled change is a common root cause of security incidents. A new cloud configuration deployed without a security review, or a policy updated without communication to staff, introduces risk. The auditor tests whether the change management process is real — not just documented but actually used.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change management procedure?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a change log with entries for recent significant changes?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 change log entries include risk assessment and approval per the authority matrix?</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Can the auditor sample 2–3 recent changes and verify they were managed per the procedure?</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emergency changes recorded and retrospectively approved?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ISMS-CHG-001 — change management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Change log (ISMS-OPS-001 / SharePoint) — sample 3 recent entries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approval per the authority matrix (email or signature)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post-implementation review for High-risk changes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change log is a live operational record. If it is empty or has only a handful of entries across several months of operation, the auditor will question whether changes are actually being managed or whether the procedure is theoretical. Keep the change log current — even routine monthly patch deployments (Standard changes) should be noted.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change procedure documented but change log is empty or sparse. OFI: change management applied to ISMS documents but not consistently to technical changes in Azure/Intune. MNC risk: significant changes (new client onboarding, CA policy change) not in the change log at all.</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7 — Support</w:t>
      </w:r>
    </w:p>
    <w:p>
      <w:pPr>
        <w:spacing w:after="60" w:before="60"/>
        <w:jc w:val="left"/>
      </w:pPr>
      <w:r>
        <w:rPr>
          <w:rFonts w:ascii="Arial" w:cs="Arial" w:eastAsia="Arial" w:hAnsi="Arial"/>
          <w:b w:val="false"/>
          <w:bCs w:val="false"/>
          <w:color w:val="595959"/>
          <w:sz w:val="19"/>
          <w:szCs w:val="19"/>
        </w:rPr>
        <w:t xml:space="preserve">Clause 7 covers the infrastructure of the ISMS — the people, skills, tools, communication, and documentation controls that make all other ISMS activities possible. Auditors often find that organisations have good policies and procedures but inadequate support structures to operate them. Clause 7 findings are frequently the most actionable because they are concrete and fixable.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7.2  |  </w:t>
            </w:r>
            <w:r>
              <w:rPr>
                <w:rFonts w:ascii="Arial" w:cs="Arial" w:eastAsia="Arial" w:hAnsi="Arial"/>
                <w:b/>
                <w:bCs/>
                <w:color w:val="FFFFFF"/>
                <w:sz w:val="20"/>
                <w:szCs w:val="20"/>
              </w:rPr>
              <w:t xml:space="preserve">Competence</w:t>
            </w:r>
          </w:p>
          <w:p>
            <w:pPr>
              <w:spacing w:after="0" w:before="0"/>
            </w:pPr>
            <w:r>
              <w:rPr>
                <w:rFonts w:ascii="Arial" w:cs="Arial" w:eastAsia="Arial" w:hAnsi="Arial"/>
                <w:color w:val="BBCCDD"/>
                <w:sz w:val="15"/>
                <w:szCs w:val="15"/>
              </w:rPr>
              <w:t xml:space="preserve">ISMS Documents: ISMS-TRN-REC</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determine the competence required for personnel performing IS work, ensure those personnel are competent (through training, experience, or qualification), take action to acquire needed competence where gaps exist, and retain documented evidence of competence. The effectiveness of competence-building actions must be evaluated.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An organisation that cannot demonstrate its ISM is competent to run an ISMS, or that its HoT is competent to manage Azure/Sentinel, has a structural credibility problem. Competence is not just a training completion tick — it means the right person with the right skills is in the right role. Evidence must show not just that training occurred, but that it was effective.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competence requirements defined for each IS role?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documented evidence of competence for each role-holder (qualifications, certifications, experience)?</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competence gaps recorded and actioned? (ISMS-TRN-REC Sheet 6 — GAP-001 to GAP-003)</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effectiveness of training evaluated — not just completion, but impact?</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 ISM's ISO 27001 Internal Auditor qualification on file? (Required for AUD-2026-001)</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3 — professional qualifications register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6 — competence gap actions (closure dates and effectiveness evaluations)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GAP-001: ISM ISO 27001 IA qualification — confirm obtained and certificate filed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GAP-002: HoT Sentinel training — confirm completed</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auditor will ask to see the qualification certificates for the ISM and HoT. These should be filed in ISMS-TRN-REC Sheet 3 with certificate number, awarding body, and expiry date. Effectiveness evaluation means: after completing a training course, did the competence gap close? Evidence: GAP-001 shows ISM completed ISO 27001 IA training — is the audit being conducted to a higher standard as a result?</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training completion recorded but no effectiveness evaluation. MNC risk: ISM conducting the internal audit without a documented ISO 27001 Internal Auditor qualification — this undermines the audit's independence and competence requirements simultaneously.</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7.3  |  </w:t>
            </w:r>
            <w:r>
              <w:rPr>
                <w:rFonts w:ascii="Arial" w:cs="Arial" w:eastAsia="Arial" w:hAnsi="Arial"/>
                <w:b/>
                <w:bCs/>
                <w:color w:val="FFFFFF"/>
                <w:sz w:val="20"/>
                <w:szCs w:val="20"/>
              </w:rPr>
              <w:t xml:space="preserve">Awareness</w:t>
            </w:r>
          </w:p>
          <w:p>
            <w:pPr>
              <w:spacing w:after="0" w:before="0"/>
            </w:pPr>
            <w:r>
              <w:rPr>
                <w:rFonts w:ascii="Arial" w:cs="Arial" w:eastAsia="Arial" w:hAnsi="Arial"/>
                <w:color w:val="BBCCDD"/>
                <w:sz w:val="15"/>
                <w:szCs w:val="15"/>
              </w:rPr>
              <w:t xml:space="preserve">ISMS Documents: ISMS-TRN-REC, ISMS-HR-002,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All personnel must be aware of: the IS policy and its relevance to their work; their contribution to ISMS effectiveness, including the benefits of improved IS performance; and the implications of not conforming to ISMS requirements. Awareness is not the same as training — it is an ongoing state of understanding.</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 staff member who has completed the annual security awareness module but cannot describe the IS policy's core commitments, or who does not know how to report a phishing email, has completed training but not achieved awareness. The auditor may test awareness by asking staff members direct questions — not to catch them out, but to assess whether the training programme has had real impact.</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Can the auditor speak to 1–2 staff members and confirm they are aware of the IS policy?</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Do all staff know how to report a security incident?</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there evidence of annual awareness training completion? (KPI-013 ≥95%)</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phishing simulation data showing awareness levels? (KPI-014/015)</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new joiners made aware of IS requirements at onboarding?</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2 — TRN-001 annual training completions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4 — phishing simulation results (SIM-001 onwards)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KPI-013, KPI-014, KPI-015 values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ISMS-HR-001 Joiner Checklist — IS briefing at Day 1</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All personnel should expect to be asked directly: 'Where do you report a suspected security incident?', 'What classification does an email containing client data carry?', and 'What does the IS policy commit the organisation to?' Prepare by reviewing ISMS-POL-001-SUM and ISMS-IRP-001 §5.1 (reporting channel) before fieldwork.</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training completion at 95%+ but phishing click rate still high (&gt;20%) — the training is being completed but not retained or applied. OFI: security briefings to staff are purely compliance-driven rather than threat-relevant and engaging. The best awareness programmes connect security to real incidents the organisation or industry has experienced.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7.5  |  </w:t>
            </w:r>
            <w:r>
              <w:rPr>
                <w:rFonts w:ascii="Arial" w:cs="Arial" w:eastAsia="Arial" w:hAnsi="Arial"/>
                <w:b/>
                <w:bCs/>
                <w:color w:val="FFFFFF"/>
                <w:sz w:val="20"/>
                <w:szCs w:val="20"/>
              </w:rPr>
              <w:t xml:space="preserve">Documented information</w:t>
            </w:r>
          </w:p>
          <w:p>
            <w:pPr>
              <w:spacing w:after="0" w:before="0"/>
            </w:pPr>
            <w:r>
              <w:rPr>
                <w:rFonts w:ascii="Arial" w:cs="Arial" w:eastAsia="Arial" w:hAnsi="Arial"/>
                <w:color w:val="BBCCDD"/>
                <w:sz w:val="15"/>
                <w:szCs w:val="15"/>
              </w:rPr>
              <w:t xml:space="preserve">ISMS Documents: ISMS-DIC-001, ISMS-REG-001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control its ISMS documented information to ensure it is available when needed, in a suitable format and on suitable media, and adequately protected. Controls must address distribution, access, retrieval, use, storage, retention, and disposition. This applies to both internal documents and documents of external origin required by the ISMS.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Document control is often seen as administrative overhead, but it is the mechanism that ensures the ISMS people are reading is the current approved version. An organisation acting on an outdated procedure, or one where critical documents are only on the ISM's laptop, has a control failure. The auditor checks that the document management system is fit for purpose and actually used.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information control procedure?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Are documents version-controlled with approval dates and owner roles?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documents stored in a controlled system (SharePoint) with appropriate access controls by classification?</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retention periods defined and applied?</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 document register (ISMS-REG-001) current — does it list all documents with current version numbers?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ISMS-DIC-001 — document control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ISMS-REG-001 — document register (current version)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SharePoint site structure — show Published, Draft, CONFIDENTIAL folders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3 documents — check version, date, approval signature/block, classification marking are all present</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Every ISMS document presented to the auditor should carry: document reference (ISMS-XXX-NNN format), version (N.N), date (DD Month YYYY), document owner (role), classification, and an approval block. If any of these are missing, flag it before fieldwork. The auditor will note missing metadata as an OFI at minimum, and a MNC if documents are undated or unsigned.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documents exist but are not in a controlled system — stored in personal OneDrive folders with inconsistent naming. OFI: version history not maintained — previous versions overwritten. MNC risk: no document register — the organisation cannot demonstrate what its current approved ISMS documentation set is.</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8 — Operation</w:t>
      </w:r>
    </w:p>
    <w:p>
      <w:pPr>
        <w:spacing w:after="60" w:before="60"/>
        <w:jc w:val="left"/>
      </w:pPr>
      <w:r>
        <w:rPr>
          <w:rFonts w:ascii="Arial" w:cs="Arial" w:eastAsia="Arial" w:hAnsi="Arial"/>
          <w:b w:val="false"/>
          <w:bCs w:val="false"/>
          <w:color w:val="595959"/>
          <w:sz w:val="19"/>
          <w:szCs w:val="19"/>
        </w:rPr>
        <w:t xml:space="preserve">Clause 8 is where planning meets practice. The risk treatment plan from Clause 6 must be implemented and operating. The auditor will look for evidence — not assertions — that controls are working. The three most common Clause 8 findings are: risk assessments that are out of date; a SoA with 'Implemented' status but no evidence of implementation; and outsourced processes (suppliers) without adequate security controls.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8.1  |  </w:t>
            </w:r>
            <w:r>
              <w:rPr>
                <w:rFonts w:ascii="Arial" w:cs="Arial" w:eastAsia="Arial" w:hAnsi="Arial"/>
                <w:b/>
                <w:bCs/>
                <w:color w:val="FFFFFF"/>
                <w:sz w:val="20"/>
                <w:szCs w:val="20"/>
              </w:rPr>
              <w:t xml:space="preserve">Operational planning and control</w:t>
            </w:r>
          </w:p>
          <w:p>
            <w:pPr>
              <w:spacing w:after="0" w:before="0"/>
            </w:pPr>
            <w:r>
              <w:rPr>
                <w:rFonts w:ascii="Arial" w:cs="Arial" w:eastAsia="Arial" w:hAnsi="Arial"/>
                <w:color w:val="BBCCDD"/>
                <w:sz w:val="15"/>
                <w:szCs w:val="15"/>
              </w:rPr>
              <w:t xml:space="preserve">ISMS Documents: ISMS-OPS-001, ISMS-SUP-001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plan, implement, control, monitor, and review the processes needed to meet IS requirements, including implementing risk treatment actions. This means the documented processes in ISMS-OPS-001 must be actively operating, producing evidence outputs, and being followed consistently.</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ISMS-OPS-001 is the operational backbone of the ISMS. The auditor will sample specific operational processes and ask for the evidence outputs. If OPS-003 (vulnerability management) should produce weekly scan results and a monthly SLA compliance report, those reports should exist. If they do not, the process is documented but not operating.</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ISMS-OPS-001 current and reflect actual operating practice?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Can the auditor sample 3–4 operational processes and find evidence they are running?</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supplier processes controlled? Is ISMS-SUP-001 operational?</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evidence of operational changes being managed via ISMS-CHG-001?</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ISMS-OPS-001 — operational process document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Process output samples: Defender VM scan reports (OPS-003), access review records (OPS-001), backup success logs (OPS-006), Sentinel alert closure records (OPS-004)</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ISMS-SUP-001 supplier risk register with assessment dates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Prepare by collecting evidence outputs for each active operational process before fieldwork. The auditor will ask to see the outputs, not the procedure. For example: 'Show me the most recent weekly vulnerability scan review record from Defender VM.' If that record does not exist, the process is not operating as documented.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ISMS-OPS-001 lists 20+ processes but evidence outputs exist for only a handful — the rest are described but not executed. Prioritise collecting evidence for the highest-risk processes: access management, vulnerability management, SIEM monitoring, and backup verification.</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9 — Performance Evaluation</w:t>
      </w:r>
    </w:p>
    <w:p>
      <w:pPr>
        <w:spacing w:after="60" w:before="60"/>
        <w:jc w:val="left"/>
      </w:pPr>
      <w:r>
        <w:rPr>
          <w:rFonts w:ascii="Arial" w:cs="Arial" w:eastAsia="Arial" w:hAnsi="Arial"/>
          <w:b w:val="false"/>
          <w:bCs w:val="false"/>
          <w:color w:val="595959"/>
          <w:sz w:val="19"/>
          <w:szCs w:val="19"/>
        </w:rPr>
        <w:t xml:space="preserve">Clause 9 requires the organisation to know how well the ISMS is working. This means measurement (KPIs), internal audit, and management review — three independent mechanisms for assessing performance. All three must be operational, not just documented. The auditor will look for a continuous cycle: KPIs feed the management review, the management review identifies improvement needs, improvement actions feed back into the ISMS.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9.1  |  </w:t>
            </w:r>
            <w:r>
              <w:rPr>
                <w:rFonts w:ascii="Arial" w:cs="Arial" w:eastAsia="Arial" w:hAnsi="Arial"/>
                <w:b/>
                <w:bCs/>
                <w:color w:val="FFFFFF"/>
                <w:sz w:val="20"/>
                <w:szCs w:val="20"/>
              </w:rPr>
              <w:t xml:space="preserve">Monitoring, measurement, analysis and evaluation</w:t>
            </w:r>
          </w:p>
          <w:p>
            <w:pPr>
              <w:spacing w:after="0" w:before="0"/>
            </w:pPr>
            <w:r>
              <w:rPr>
                <w:rFonts w:ascii="Arial" w:cs="Arial" w:eastAsia="Arial" w:hAnsi="Arial"/>
                <w:color w:val="BBCCDD"/>
                <w:sz w:val="15"/>
                <w:szCs w:val="15"/>
              </w:rPr>
              <w:t xml:space="preserve">ISMS Documents: ISMS-MR-002, ISMS-PEV-001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determine what needs to be monitored and measured, the methods for measurement, when it will be performed, who will perform it, and when results will be analysed and evaluated. Results must be documented as evidence of performance. This is the systematic measurement programme — not ad hoc checking.</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Without measurement, the organisation cannot know if the ISMS is improving, static, or deteriorating. KPIs must be specific, measurable, and actually measured. An ISMS with 25 KPIs defined but no data is worse than one with 5 KPIs and 12 months of data — it signals a gap between intent and execution.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KPIs formally defined with targets and measurement methods?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monthly KPI data in ISMS-MR-002 — at least 3 months ideally?</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KPI results being analysed — not just recorded?</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evidence of action being taken when KPIs miss targets?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measurement results feeding the management review? (MRI-004 in ISMS-MR-001)</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ISMS-MR-002 — KPI Data Entry sheet (monthly values for KPI-001 to KPI-025)</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ISMS-PEV-001 — performance evaluation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ISMS-MR-001-2026 — management review minutes section on KPI performance (MRI-004)</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action on missed KPIs (e.g. CAR raised in ISMS-CAR-001 for KPI-013 breach — CAR-005)</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most important thing to have ready for this section is completed KPI data in ISMS-MR-002. Even if only 2–3 months of data exist, that is better than none. Be ready to explain which KPIs are on target, which are below target, and what action is being taken for each below-target KPI. The auditor will look for CAR-005 (training completion breach) as evidence that missed KPIs trigger corrective action.</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ISMS-MR-002 is an empty template — no data has been entered. This means the organisation has not conducted any IS performance measurement, which directly contradicts Clause 9.1 and undermines Clause 9.3 management review (which requires KPI data as input MRI-004).</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9.2  |  </w:t>
            </w:r>
            <w:r>
              <w:rPr>
                <w:rFonts w:ascii="Arial" w:cs="Arial" w:eastAsia="Arial" w:hAnsi="Arial"/>
                <w:b/>
                <w:bCs/>
                <w:color w:val="FFFFFF"/>
                <w:sz w:val="20"/>
                <w:szCs w:val="20"/>
              </w:rPr>
              <w:t xml:space="preserve">Internal audit</w:t>
            </w:r>
          </w:p>
          <w:p>
            <w:pPr>
              <w:spacing w:after="0" w:before="0"/>
            </w:pPr>
            <w:r>
              <w:rPr>
                <w:rFonts w:ascii="Arial" w:cs="Arial" w:eastAsia="Arial" w:hAnsi="Arial"/>
                <w:color w:val="BBCCDD"/>
                <w:sz w:val="15"/>
                <w:szCs w:val="15"/>
              </w:rPr>
              <w:t xml:space="preserve">ISMS Documents: ISMS-IAP-001, ISMS-TRN-REC, ISMS-CAR-001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conduct internal audits at planned intervals to determine whether the ISMS conforms to its own requirements and to ISO 27001:2022. An audit programme must be established. Auditors must be objective and impartial — they cannot audit their own work. Audit results must be reported to management and documented.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internal audit is the organisation's self-assessment mechanism — the systematic evidence-gathering process that confirms the ISMS is operating as designed. For initial certification, the Stage 1 and Stage 2 CB audits will look for evidence that an internal audit cycle has been established and is operating. AUD-2026-001 is that evidence.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internal audit programme (ISMS-IAP-001)?</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AUD-2026-001 planned and resourced?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 auditor independent — not auditing their own work?</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a signed independence declaration on file before fieldwork?</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audit findings reported to management and tracked to closure?</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ISMS-IAP-001 — audit programme with AUD-2026-001 plan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7 — signed auditor independence declaration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3 — auditor qualification certificate (QUA-006)</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Previous audit reports and finding status (if any prior audits)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auditor's independence declaration must be signed before fieldwork begins — this is a pre-condition of the audit, not a formality. The declaration is in ISMS-TRN-REC Sheet 7. The ISM should confirm the declaration is signed and filed before the opening meeting.</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no internal audit has been conducted before Stage 2 CB audit. Without evidence of a completed internal audit cycle, the CB cannot issue certification — Clause 9.2 requires it. MNC risk: auditor lacks a documented ISO 27001 Internal Auditor qualification.</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9.3  |  </w:t>
            </w:r>
            <w:r>
              <w:rPr>
                <w:rFonts w:ascii="Arial" w:cs="Arial" w:eastAsia="Arial" w:hAnsi="Arial"/>
                <w:b/>
                <w:bCs/>
                <w:color w:val="FFFFFF"/>
                <w:sz w:val="20"/>
                <w:szCs w:val="20"/>
              </w:rPr>
              <w:t xml:space="preserve">Management review</w:t>
            </w:r>
          </w:p>
          <w:p>
            <w:pPr>
              <w:spacing w:after="0" w:before="0"/>
            </w:pPr>
            <w:r>
              <w:rPr>
                <w:rFonts w:ascii="Arial" w:cs="Arial" w:eastAsia="Arial" w:hAnsi="Arial"/>
                <w:color w:val="BBCCDD"/>
                <w:sz w:val="15"/>
                <w:szCs w:val="15"/>
              </w:rPr>
              <w:t xml:space="preserve">ISMS Documents: ISMS-MR-001,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Top management must review the ISMS at planned intervals. The review must cover 15 mandatory inputs (MRI-001 to MRI-015) including: status of previous actions; changes in context and interested parties; ISMS performance; objectives; nonconformities and CARs; monitoring results; audit results; risk assessment; and improvement opportunities. Outputs must include decisions on improvement, ISMS changes, and resources. Minutes must be retained as documented information.</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management review is the highest-level governance control in the ISMS. It ensures top management remains engaged with ISMS performance and takes ownership of decisions. An ISM who has decided everything without MD involvement is not running a compliant ISMS — they are running a security department. The review must be genuinely participatory, not a sign-off exercise.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Has at least one management review been conducted?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Did it cover all 15 mandatory inputs?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signed minutes retained?</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Did the MD actively participate — not just sign the minutes?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all outputs (decisions, resource allocations, action items) documented and being actioned?</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Are actions from prior reviews tracked and closed?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ISMS-MR-001-2026 — signed management review minutes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all 15 inputs were addressed (sections B.3 to B.8 of completed minutes)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Action tracker in minutes B.9 — are actions being closed?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confirm KPI data was available as MRI-004 input</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management review minutes are the single most important document for Stage 1 and Stage 2 CB audit. If ISMS-MR-001-2026 is complete, signed, and covers all 15 inputs with documented MD decisions, this clause will be straightforward. If no review has occurred, it is a direct Major NC. Schedule the first management review (MR-2026-Q2) before fieldwork for AUD-2026-001.</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no management review has occurred before Stage 2 CB audit. MNC risk: management review minutes exist but 'MD participation' consists only of signature — no evidence of MD input, questions, or decisions in the minutes. The best management review minutes read like a genuine business meeting, not a compliance checklist.</w:t>
            </w:r>
          </w:p>
        </w:tc>
      </w:tr>
    </w:tbl>
    <w:p>
      <w:r>
        <w:br w:type="page"/>
      </w:r>
    </w:p>
    <w:p>
      <w:pPr>
        <w:pStyle w:val="Heading1"/>
        <w:pBdr>
          <w:bottom w:val="single" w:color="2E75B6" w:sz="8" w:space="4"/>
        </w:pBdr>
        <w:spacing w:after="80" w:before="280"/>
      </w:pPr>
      <w:r>
        <w:rPr>
          <w:rFonts w:ascii="Arial" w:cs="Arial" w:eastAsia="Arial" w:hAnsi="Arial"/>
          <w:b/>
          <w:bCs/>
          <w:color w:val="1F3864"/>
          <w:sz w:val="30"/>
          <w:szCs w:val="30"/>
        </w:rPr>
        <w:t xml:space="preserve">Clause 10 — Improvement</w:t>
      </w:r>
    </w:p>
    <w:p>
      <w:pPr>
        <w:spacing w:after="60" w:before="60"/>
        <w:jc w:val="left"/>
      </w:pPr>
      <w:r>
        <w:rPr>
          <w:rFonts w:ascii="Arial" w:cs="Arial" w:eastAsia="Arial" w:hAnsi="Arial"/>
          <w:b w:val="false"/>
          <w:bCs w:val="false"/>
          <w:color w:val="595959"/>
          <w:sz w:val="19"/>
          <w:szCs w:val="19"/>
        </w:rPr>
        <w:t xml:space="preserve">Clause 10 completes the PDCA cycle. The organisation must improve the ISMS continually — not just maintain it. When nonconformities occur, corrective actions must address the root cause, not just the symptom. When improvement opportunities are identified (from PIRs, KPI trends, management review, or audit), they must be tracked and acted 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10.2  |  </w:t>
            </w:r>
            <w:r>
              <w:rPr>
                <w:rFonts w:ascii="Arial" w:cs="Arial" w:eastAsia="Arial" w:hAnsi="Arial"/>
                <w:b/>
                <w:bCs/>
                <w:color w:val="FFFFFF"/>
                <w:sz w:val="20"/>
                <w:szCs w:val="20"/>
              </w:rPr>
              <w:t xml:space="preserve">Nonconformity and corrective action</w:t>
            </w:r>
          </w:p>
          <w:p>
            <w:pPr>
              <w:spacing w:after="0" w:before="0"/>
            </w:pPr>
            <w:r>
              <w:rPr>
                <w:rFonts w:ascii="Arial" w:cs="Arial" w:eastAsia="Arial" w:hAnsi="Arial"/>
                <w:color w:val="BBCCDD"/>
                <w:sz w:val="15"/>
                <w:szCs w:val="15"/>
              </w:rPr>
              <w:t xml:space="preserve">ISMS Documents: ISMS-CAR-001,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requirement means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When a nonconformity occurs — whether from an internal audit, an incident, a failed KPI, or any other source — the organisation must: react and control/correct it; evaluate the need to take action to eliminate the root cause; determine if similar nonconformities could exist elsewhere; implement corrective action; review effectiveness; and update ISMS documented information if needed. All actions must be documented.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 corrective action register (ISMS-CAR-001) is the organisation's learning system. A mature ISMS has a healthy number of CARs — it means problems are being identified and addressed. An ISMS with zero CARs after 12 months of operation is suspicious — it suggests problems are not being identified, not that none exist.</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corrective action process?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ISMS-CAR-001 being maintained with all identified nonconformities?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Does each CAR have a root cause analysis (not just a symptom fix)?</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CARs tracked to closure with effectiveness evaluations?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there any overdue or repeat nonconformities?</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What is the current CA closure rate? (KPI-017 target ≥90%)</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ISMS-CAR-001 — all CARs (CAR-001 to CAR-005 seeded; any additional since)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Root cause analysis evidence for each CAR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Effectiveness evaluation records for any closed CARs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KPI-017 (CA closure rate)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Management review minutes — MRI-006 (CAR status as management review input)</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five seeded CARs (CAR-001 to CAR-005) should each have a status update. CAR-004 (IRP absent) was closed by producing ISMS-IRP-001 — update that in ISMS-CAR-001. CAR-005 (training completion KPI breach) should reflect the current status of the awareness platform deployment. Be ready to walk the auditor through the root cause analysis for each open CAR.</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CARs raised but root cause analysis is superficial — 'fix: deploy the missing document' rather than 'root cause: absence of programme management discipline to ensure all required documents are produced before ISMS activation'. Repeat nonconformities (same issue appearing as a new CAR) indicate root cause has not been genuinely addressed.</w:t>
            </w:r>
          </w:p>
        </w:tc>
      </w:tr>
    </w:tbl>
    <w:p>
      <w:pPr>
        <w:spacing w:after="60" w:before="160"/>
      </w:pPr>
    </w:p>
    <w:p>
      <w:pPr>
        <w:spacing w:after="0" w:before="80"/>
        <w:jc w:val="center"/>
      </w:pPr>
      <w:r>
        <w:rPr>
          <w:rFonts w:ascii="Arial" w:cs="Arial" w:eastAsia="Arial" w:hAnsi="Arial"/>
          <w:color w:val="AAAAAA"/>
          <w:sz w:val="15"/>
          <w:szCs w:val="15"/>
        </w:rPr>
        <w:t xml:space="preserve">END OF PART A — CLAUSE AUDIT GUIDANCE  |  Part B (Annex A) follows</w:t>
      </w: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B4332" w:val="clear"/>
            <w:tcMar>
              <w:top w:type="dxa" w:w="140"/>
              <w:left w:type="dxa" w:w="300"/>
              <w:bottom w:type="dxa" w:w="140"/>
              <w:right w:type="dxa" w:w="300"/>
            </w:tcMar>
          </w:tcPr>
          <w:p>
            <w:pPr>
              <w:spacing w:after="30" w:before="0"/>
              <w:jc w:val="center"/>
            </w:pPr>
            <w:r>
              <w:rPr>
                <w:rFonts w:ascii="Arial" w:cs="Arial" w:eastAsia="Arial" w:hAnsi="Arial"/>
                <w:b/>
                <w:bCs/>
                <w:color w:val="FFFFFF"/>
                <w:sz w:val="22"/>
                <w:szCs w:val="22"/>
              </w:rPr>
              <w:t xml:space="preserve">PART B — ANNEX A AUDIT</w:t>
            </w:r>
          </w:p>
          <w:p>
            <w:pPr>
              <w:spacing w:after="0" w:before="0"/>
              <w:jc w:val="center"/>
            </w:pPr>
            <w:r>
              <w:rPr>
                <w:rFonts w:ascii="Arial" w:cs="Arial" w:eastAsia="Arial" w:hAnsi="Arial"/>
                <w:b/>
                <w:bCs/>
                <w:color w:val="FFFFFF"/>
                <w:sz w:val="20"/>
                <w:szCs w:val="20"/>
              </w:rPr>
              <w:t xml:space="preserve">THEME 5 — ORGANISATIONAL CONTROLS  |  A.5.1–A.5.37  |  37 controls  |  All Included</w:t>
            </w:r>
          </w:p>
        </w:tc>
      </w:tr>
    </w:tbl>
    <w:p>
      <w:pPr>
        <w:spacing w:after="60" w:before="60"/>
      </w:pPr>
    </w:p>
    <w:p>
      <w:pPr>
        <w:spacing w:after="60" w:before="60"/>
        <w:jc w:val="left"/>
      </w:pPr>
      <w:r>
        <w:rPr>
          <w:rFonts w:ascii="Arial" w:cs="Arial" w:eastAsia="Arial" w:hAnsi="Arial"/>
          <w:b w:val="false"/>
          <w:bCs w:val="false"/>
          <w:color w:val="595959"/>
          <w:sz w:val="19"/>
          <w:szCs w:val="19"/>
        </w:rPr>
        <w:t xml:space="preserve">Theme 5 contains the broadest and most policy-driven controls in the standard. They cover governance, identity management, supplier relationships, incident management, and data protection. These controls are largely implemented through documented policies and procedures — auditing them is primarily a documentation and evidence-of-operation exercise.</w:t>
      </w:r>
    </w:p>
    <w:p>
      <w:pPr>
        <w:spacing w:after="60" w:before="60"/>
      </w:pPr>
    </w:p>
    <w:p>
      <w:pPr>
        <w:pStyle w:val="Heading2"/>
        <w:spacing w:after="60" w:before="200"/>
      </w:pPr>
      <w:r>
        <w:rPr>
          <w:rFonts w:ascii="Arial" w:cs="Arial" w:eastAsia="Arial" w:hAnsi="Arial"/>
          <w:b/>
          <w:bCs/>
          <w:color w:val="2E75B6"/>
          <w:sz w:val="24"/>
          <w:szCs w:val="24"/>
        </w:rPr>
        <w:t xml:space="preserve">A.5.1–A.5.8 — Governance and Policy Controls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A.5.1  |  </w:t>
            </w:r>
            <w:r>
              <w:rPr>
                <w:rFonts w:ascii="Arial" w:cs="Arial" w:eastAsia="Arial" w:hAnsi="Arial"/>
                <w:b/>
                <w:bCs/>
                <w:color w:val="FFFFFF"/>
                <w:sz w:val="20"/>
                <w:szCs w:val="20"/>
              </w:rPr>
              <w:t xml:space="preserve">Policies for information security</w:t>
            </w:r>
          </w:p>
          <w:p>
            <w:pPr>
              <w:spacing w:after="0" w:before="0"/>
            </w:pPr>
            <w:r>
              <w:rPr>
                <w:rFonts w:ascii="Arial" w:cs="Arial" w:eastAsia="Arial" w:hAnsi="Arial"/>
                <w:color w:val="BBCCDD"/>
                <w:sz w:val="15"/>
                <w:szCs w:val="15"/>
              </w:rPr>
              <w:t xml:space="preserve">ISMS Documents: ISMS-POL-001, ISMS-POL-001-SUM, ISMS-TRN-REC</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IS policies must be defined, approved by management, communicated to relevant personnel, and available to relevant interested parties. Policies must be reviewed at planned intervals and when significant changes occur.</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Without a policy framework, there is no baseline against which to assess conformity. The policy is the reference document that every other control points back to.</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 IS policy documented, current, and approved by MD?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Has it been communicated to all personnel — acknowledged in ISMS-TRN-REC?</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Has it been reviewed in the last 12 months or following a significant change?</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 one-page summary (ISMS-POL-001-SUM) available to interested parties?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ISMS-POL-001 (signed, dated, current version)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5 — all acknowledgements current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ISMS-POL-001-SUM — confirm it is dated and matches POL-001 version</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IS policy is often the first document the CB auditor requests. It must be version-controlled, MD-signed, and its version must match what appears in the document register (ISMS-REG-001). Any mismatch in version numbers between the policy and the register is an immediate question.</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policy signed at initial certification and never reviewed. A policy that hasn't changed in 3 years in a dynamic threat environment suggests it is a compliance artefact rather than a living governance document.</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A.5.5 / A.5.6  |  </w:t>
            </w:r>
            <w:r>
              <w:rPr>
                <w:rFonts w:ascii="Arial" w:cs="Arial" w:eastAsia="Arial" w:hAnsi="Arial"/>
                <w:b/>
                <w:bCs/>
                <w:color w:val="FFFFFF"/>
                <w:sz w:val="20"/>
                <w:szCs w:val="20"/>
              </w:rPr>
              <w:t xml:space="preserve">Contacts with authorities and special interest groups</w:t>
            </w:r>
          </w:p>
          <w:p>
            <w:pPr>
              <w:spacing w:after="0" w:before="0"/>
            </w:pPr>
            <w:r>
              <w:rPr>
                <w:rFonts w:ascii="Arial" w:cs="Arial" w:eastAsia="Arial" w:hAnsi="Arial"/>
                <w:color w:val="BBCCDD"/>
                <w:sz w:val="15"/>
                <w:szCs w:val="15"/>
              </w:rPr>
              <w:t xml:space="preserve">ISMS Documents: ISMS-IRP-001, ISMS-PLN-001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maintain contacts with relevant authorities (ICO, NCSC, law enforcement) and relevant special interest groups (security communities, vendor security teams, threat intelligence feeds). These contacts ensure the organisation can respond quickly to incidents and stay current with the threat landscape.</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When a reportable breach occurs, the organisation has 72 hours to notify the ICO. If the ICO contact details are not known in advance, those 72 hours are wasted finding them. Similarly, NCSC alerts and CISA advisories provide early warning of active vulnerabilities — organisations that do not follow these feeds discover threats later.</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ICO contact details documented (ISMS-IRP-001 §15)?</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 organisation registered with the ICO?</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Does the HoT follow NCSC or CISA advisories or vendor security bulletins?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evidence of threat intelligence feeding risk assessment?</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ISMS-IRP-001 §15 — contact directory (ICO, NCSC, Action Fraud)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ICO registration number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NCSC/CISA alert subscription (email, portal access)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ISMS-PLN-001 risk register — threat descriptions informed by current intelligence</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ICO registration number should be on the ISMS-RoPA-001 Cover sheet. If it is not yet populated, that is an action item. Evidence of threat intelligence consumption can be as simple as showing the HoT's NCSC email subscription or demonstrating that the Defender Threat Intelligence feed is configured in Sentinel.</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OFI: contacts exist in the IRP but have not been tested — no confirmation that the ICO online reporting portal works with the organisation's credentials. Common finding: no formal threat intelligence programme — the HoT reads security news informally but this is not documented as a systematic activity.</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A.5.9–A.5.14  |  </w:t>
            </w:r>
            <w:r>
              <w:rPr>
                <w:rFonts w:ascii="Arial" w:cs="Arial" w:eastAsia="Arial" w:hAnsi="Arial"/>
                <w:b/>
                <w:bCs/>
                <w:color w:val="FFFFFF"/>
                <w:sz w:val="20"/>
                <w:szCs w:val="20"/>
              </w:rPr>
              <w:t xml:space="preserve">Asset management and information classification</w:t>
            </w:r>
          </w:p>
          <w:p>
            <w:pPr>
              <w:spacing w:after="0" w:before="0"/>
            </w:pPr>
            <w:r>
              <w:rPr>
                <w:rFonts w:ascii="Arial" w:cs="Arial" w:eastAsia="Arial" w:hAnsi="Arial"/>
                <w:color w:val="BBCCDD"/>
                <w:sz w:val="15"/>
                <w:szCs w:val="15"/>
              </w:rPr>
              <w:t xml:space="preserve">ISMS Documents: ISMS-AST-001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maintain an inventory of information and associated assets, apply an information classification scheme, and protect assets according to their classification. Assets must have owners. Transfer of information between parties must be protected.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You cannot protect what you don't know you have. The asset register is the foundation of risk assessment, vulnerability management, and access control. If the register is incomplete, there will be unprotected assets and unmanaged vulnerabilities.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ISMS-AST-001 complete — information assets, technology assets, software assets?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Does each asset have a named owner?</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 technology asset register consistent with the Intune enrolment list?</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documents marked with their classification — CONFIDENTIAL/INTERNAL/PUBLIC?</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there a secure transfer mechanism for CONFIDENTIAL information?</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ISMS-AST-001 — all three registers (IA, TA, SA) with owners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Intune device report — reconcile against TA register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ISMS documents — check classification markings present in header/footer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CONFIDENTIAL information is encrypted in transit (TLS, encrypted email)</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Prepare by exporting the Intune enrolled device list before fieldwork and reconciling it against TA-001 to TA-010. Any enrolled device not in the asset register is an unmanaged asset. Similarly, any device in the register not enrolled in Intune is an uncontrolled endpoint. Both findings should be corrected before fieldwork if possible.</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software asset register (SA) missing PAM platform, awareness platform, or backup platform because they have not yet been selected. These should be listed as 'TBC — procurement in progress' rather than absent. Major NC risk: IT assets being used in service delivery that do not appear anywhere in the ISMS asset register.</w:t>
            </w:r>
          </w:p>
        </w:tc>
      </w:tr>
    </w:tbl>
    <w:p>
      <w:pPr>
        <w:spacing w:after="80" w:before="80"/>
      </w:pPr>
    </w:p>
    <w:p>
      <w:pPr>
        <w:pStyle w:val="Heading2"/>
        <w:spacing w:after="60" w:before="200"/>
      </w:pPr>
      <w:r>
        <w:rPr>
          <w:rFonts w:ascii="Arial" w:cs="Arial" w:eastAsia="Arial" w:hAnsi="Arial"/>
          <w:b/>
          <w:bCs/>
          <w:color w:val="2E75B6"/>
          <w:sz w:val="24"/>
          <w:szCs w:val="24"/>
        </w:rPr>
        <w:t xml:space="preserve">A.5.15–A.5.18 — Identity, Access and Authentication Controls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A.5.15–A.5.18  |  </w:t>
            </w:r>
            <w:r>
              <w:rPr>
                <w:rFonts w:ascii="Arial" w:cs="Arial" w:eastAsia="Arial" w:hAnsi="Arial"/>
                <w:b/>
                <w:bCs/>
                <w:color w:val="FFFFFF"/>
                <w:sz w:val="20"/>
                <w:szCs w:val="20"/>
              </w:rPr>
              <w:t xml:space="preserve">Access control, identity management, authentication, and access rights</w:t>
            </w:r>
          </w:p>
          <w:p>
            <w:pPr>
              <w:spacing w:after="0" w:before="0"/>
            </w:pPr>
            <w:r>
              <w:rPr>
                <w:rFonts w:ascii="Arial" w:cs="Arial" w:eastAsia="Arial" w:hAnsi="Arial"/>
                <w:color w:val="BBCCDD"/>
                <w:sz w:val="15"/>
                <w:szCs w:val="15"/>
              </w:rPr>
              <w:t xml:space="preserve">ISMS Documents: ISMS-ACC-001,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Access to information and systems must be restricted to authorised individuals based on the access control policy. Each individual must have a unique identity. Authentication credentials must be managed securely. Access rights must be reviewed periodically and revoked promptly when no longer needed.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Compromised credentials and excessive access rights are the two most common attack vectors for managed service providers. The auditor will test whether the access control policy is implemented in practice — not just documented. MFA enforcement, JIT privileged access, PAM usage, and leaver deprovisioning SLAs are the primary evidence items.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MFA enforced for all accounts? (KPI-001 = 100%)</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phishing-resistant MFA enforced for all privileged accounts? (KPI-002 = 100%)</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privileged roles managed via PIM with JIT access — no standing admin rights?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leaver accounts disabled within 4 hours? (KPI-003)</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there evidence of quarterly privileged access reviews?</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Are PAM session recordings available for recent privileged sessions to client environments?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Conditional Access policy list (CA-001 to CA-008 — export from Entra ID portal)</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Entra ID PIM eligible/active role assignments — show no standing Global Admin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KPI-001, KPI-002, KPI-003 values in ISMS-MR-002</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Recent leaver event — show account disable timestamp vs. departure timestamp</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PAM platform — session recording evidence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Quarterly access review records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HoT should be prepared to demonstrate CA-001 to CA-008 live in the Entra ID Conditional Access portal — showing that each policy is enabled, its scope, conditions, and grant controls. This is more convincing than showing a document. Also prepare to show the PIM role assignments page — it should show eligible roles, not permanent active assignments, for all admin functions.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MFA not enforced — if CA-001 (require MFA all users) is in report-only mode or disabled, that is a critical control failure and a direct MNC. Common finding: privileged accounts with standing active Global Administrator assignments rather than PIM-eligible JIT access.</w:t>
            </w:r>
          </w:p>
        </w:tc>
      </w:tr>
    </w:tbl>
    <w:p>
      <w:pPr>
        <w:spacing w:after="80" w:before="80"/>
      </w:pPr>
    </w:p>
    <w:p>
      <w:pPr>
        <w:pStyle w:val="Heading2"/>
        <w:spacing w:after="60" w:before="200"/>
      </w:pPr>
      <w:r>
        <w:rPr>
          <w:rFonts w:ascii="Arial" w:cs="Arial" w:eastAsia="Arial" w:hAnsi="Arial"/>
          <w:b/>
          <w:bCs/>
          <w:color w:val="2E75B6"/>
          <w:sz w:val="24"/>
          <w:szCs w:val="24"/>
        </w:rPr>
        <w:t xml:space="preserve">A.5.19–A.5.23 — Supplier and Cloud Service Security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A.5.19–A.5.22  |  </w:t>
            </w:r>
            <w:r>
              <w:rPr>
                <w:rFonts w:ascii="Arial" w:cs="Arial" w:eastAsia="Arial" w:hAnsi="Arial"/>
                <w:b/>
                <w:bCs/>
                <w:color w:val="FFFFFF"/>
                <w:sz w:val="20"/>
                <w:szCs w:val="20"/>
              </w:rPr>
              <w:t xml:space="preserve">Supplier relationships — policy, agreements, supply chain, monitoring</w:t>
            </w:r>
          </w:p>
          <w:p>
            <w:pPr>
              <w:spacing w:after="0" w:before="0"/>
            </w:pPr>
            <w:r>
              <w:rPr>
                <w:rFonts w:ascii="Arial" w:cs="Arial" w:eastAsia="Arial" w:hAnsi="Arial"/>
                <w:color w:val="BBCCDD"/>
                <w:sz w:val="15"/>
                <w:szCs w:val="15"/>
              </w:rPr>
              <w:t xml:space="preserve">ISMS Documents: ISMS-SUP-001, ISMS-RoPA-001,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IS requirements must be established for suppliers that have access to the organisation's systems or data. Agreements must include IS requirements. The organisation must monitor and review supplier service delivery. Changes to supplier services must be managed.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For a managed security services provider, supplier risk is existential. If Microsoft's infrastructure fails, the organisation cannot deliver its services. If the IR retainer has inadequate IS controls, it represents a supply chain attack vector into client environments. The auditor checks that supplier risk is systematically managed, not assumed.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supplier security policy with a minimum security baseline?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a supplier risk register with tier ratings?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 critical suppliers (Microsoft, IR retainer) have executed agreements with IS clauses?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Has the annual supplier assessment been conducted? (KPI-021 = 100%)</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sub-processors documented with client consent obtained?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ISMS-SUP-001 — supplier security policy and risk register (SP-001 to SP-007)</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Microsoft DPA / Online Services Agreement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Sub-processor register (ISMS-RoPA-001 Sheet 4)</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KPI-021 in ISMS-MR-002 — supplier assessment coverage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annual assessment for each Critical/High supplier</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SP-002 to SP-005 (IR retainer, backup platform, RMM, awareness platform) are currently listed as 'TBC'. The auditor will note these gaps — they are not immediately a nonconformity if the process for managing suppliers is documented and will be applied when providers are confirmed. Ensure ISMS-SUP-001 makes clear that no supplier with access to client or personal data will be onboarded without completing the assessment process.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MNC risk: Microsoft Corporation is processing client personal data as a sub-processor but no written DPA or data processing agreement exists. The Microsoft Online Services DPA satisfies this — confirm it is referenced in ISMS-SUP-001 and ISMS-RoPA-001. Common finding: supplier risk register populated but no evidence of assessments being conducted or reviewed annually.</w:t>
            </w:r>
          </w:p>
        </w:tc>
      </w:tr>
    </w:tbl>
    <w:p>
      <w:pPr>
        <w:spacing w:after="80" w:before="80"/>
      </w:pPr>
    </w:p>
    <w:p>
      <w:pPr>
        <w:pStyle w:val="Heading2"/>
        <w:spacing w:after="60" w:before="200"/>
      </w:pPr>
      <w:r>
        <w:rPr>
          <w:rFonts w:ascii="Arial" w:cs="Arial" w:eastAsia="Arial" w:hAnsi="Arial"/>
          <w:b/>
          <w:bCs/>
          <w:color w:val="2E75B6"/>
          <w:sz w:val="24"/>
          <w:szCs w:val="24"/>
        </w:rPr>
        <w:t xml:space="preserve">A.5.24–A.5.30 — Incident Management and Business Continuity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A.5.24–A.5.28  |  </w:t>
            </w:r>
            <w:r>
              <w:rPr>
                <w:rFonts w:ascii="Arial" w:cs="Arial" w:eastAsia="Arial" w:hAnsi="Arial"/>
                <w:b/>
                <w:bCs/>
                <w:color w:val="FFFFFF"/>
                <w:sz w:val="20"/>
                <w:szCs w:val="20"/>
              </w:rPr>
              <w:t xml:space="preserve">Incident management — planning, assessment, response, learning, evidence</w:t>
            </w:r>
          </w:p>
          <w:p>
            <w:pPr>
              <w:spacing w:after="0" w:before="0"/>
            </w:pPr>
            <w:r>
              <w:rPr>
                <w:rFonts w:ascii="Arial" w:cs="Arial" w:eastAsia="Arial" w:hAnsi="Arial"/>
                <w:color w:val="BBCCDD"/>
                <w:sz w:val="15"/>
                <w:szCs w:val="15"/>
              </w:rPr>
              <w:t xml:space="preserve">ISMS Documents: ISMS-IRP-001, ISMS-MR-002, ISMS-CAR-001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plan and prepare for managing IS incidents. Events must be assessed and classified. Incidents must be responded to in a timely and structured way. Lessons must be learned from incidents. Evidence must be collected and preserved. These five controls together form the incident management lifecycle.</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An IR plan that has never been tested is an untested assumption. The auditor looks for evidence that the IR plan is operational — contact details are current, personnel know their roles, incidents have been logged, and at least one test or exercise has been conducted.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ISMS-IRP-001 current — is the contact directory populated with real contact details?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Do IR team members know their roles without referring to the document?</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 incident log being maintained? (ISMS-IRP-001 §14)</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Has a tabletop exercise been conducted or scheduled?</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Has any PIR been completed following an incident? (KPI-012)</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Is evidence handling guidance documented and understood by the Technical Lead?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ISMS-IRP-001 — full IR plan including §15 contact directory (populated, not placeholder)</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Incident log (ISMS-IRP-001 §14) — INC-001 and any subsequent entries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KPI-009, KPI-010, KPI-011, KPI-012 values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PIR records for any P1/P2 incidents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tabletop exercise or scheduled date</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most important pre-fieldwork action for this section: populate ISMS-IRP-001 §15 with real contact details. A contact directory with '[Mobile number]' placeholders is not operational. The auditor will note this as an MNC — a plan that cannot be executed in an emergency is not a plan. Also confirm the IR retainer details are documented, even if the retainer has not yet been formally engaged.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IR plan documented but IR team has not been briefed on it — the ISM knows the plan but the HoT and MD do not. MNC risk: contact directory is empty — in a P1 incident at 2am, nobody knows who to call. A tabletop exercise (TRN-008) is strongly recommended before Stage 2.</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A.5.29–A.5.30  |  </w:t>
            </w:r>
            <w:r>
              <w:rPr>
                <w:rFonts w:ascii="Arial" w:cs="Arial" w:eastAsia="Arial" w:hAnsi="Arial"/>
                <w:b/>
                <w:bCs/>
                <w:color w:val="FFFFFF"/>
                <w:sz w:val="20"/>
                <w:szCs w:val="20"/>
              </w:rPr>
              <w:t xml:space="preserve">Business continuity and ICT readiness</w:t>
            </w:r>
          </w:p>
          <w:p>
            <w:pPr>
              <w:spacing w:after="0" w:before="0"/>
            </w:pPr>
            <w:r>
              <w:rPr>
                <w:rFonts w:ascii="Arial" w:cs="Arial" w:eastAsia="Arial" w:hAnsi="Arial"/>
                <w:color w:val="BBCCDD"/>
                <w:sz w:val="15"/>
                <w:szCs w:val="15"/>
              </w:rPr>
              <w:t xml:space="preserve">ISMS Documents: ISMS-BCP-001,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IS must be maintained during disruption. ICT systems must be prepared to support business continuity objectives. Recovery objectives must be defined (RTO/RPO). Backup and restoration must be tested.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An MSP that cannot recover from a ransomware attack or cloud platform outage cannot deliver its core service. Business continuity for an MSP is not a theoretical concern — it is a core client commitment. The auditor checks that recovery objectives are realistic, backup systems are operational, and restoration has been tested.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ISMS-BCP-001 documented with RTO/RPO targets per service?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Has a backup restoration test been conducted? (KPI-023)</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backup success rates monitored? (KPI-022 ≥99.5%)</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client RTO/RPO requirements confirmed per each client DPA?</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key person continuity arrangements documented and tested?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ISMS-BCP-001 — BCP and DRP (RTO/RPO table, key person arrangements, restoration test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KPI-022 and KPI-023 values in ISMS-MR-002</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Most recent restoration test report (if conducted)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Azure Backup configuration screenshots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Client service schedules confirming RTO/RPO</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If a restoration test has not yet been conducted (this is the first audit cycle), the auditor will expect to see: the restoration test procedure documented in ISMS-BCP-001 §4.2, a scheduled date for the first test, and evidence that backup is configured and running (KPI-022 data). A future scheduled test with a documented procedure is acceptable for initial certification if no incidents have occurred.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backup configured but never tested — organisations discover at the point of recovery that backup data is corrupted, incomplete, or that the restore process takes 3× the expected RTO. OFI: BCP does not address the scenario where both ISM and HoT are simultaneously unavailable.</w:t>
            </w:r>
          </w:p>
        </w:tc>
      </w:tr>
    </w:tbl>
    <w:p>
      <w:pPr>
        <w:spacing w:after="80" w:before="80"/>
      </w:pPr>
    </w:p>
    <w:p>
      <w:pPr>
        <w:pStyle w:val="Heading2"/>
        <w:spacing w:after="60" w:before="200"/>
      </w:pPr>
      <w:r>
        <w:rPr>
          <w:rFonts w:ascii="Arial" w:cs="Arial" w:eastAsia="Arial" w:hAnsi="Arial"/>
          <w:b/>
          <w:bCs/>
          <w:color w:val="2E75B6"/>
          <w:sz w:val="24"/>
          <w:szCs w:val="24"/>
        </w:rPr>
        <w:t xml:space="preserve">A.5.31–A.5.37 — Compliance and Governance Controls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A.5.34  |  </w:t>
            </w:r>
            <w:r>
              <w:rPr>
                <w:rFonts w:ascii="Arial" w:cs="Arial" w:eastAsia="Arial" w:hAnsi="Arial"/>
                <w:b/>
                <w:bCs/>
                <w:color w:val="FFFFFF"/>
                <w:sz w:val="20"/>
                <w:szCs w:val="20"/>
              </w:rPr>
              <w:t xml:space="preserve">Privacy and protection of personally identifiable information</w:t>
            </w:r>
          </w:p>
          <w:p>
            <w:pPr>
              <w:spacing w:after="0" w:before="0"/>
            </w:pPr>
            <w:r>
              <w:rPr>
                <w:rFonts w:ascii="Arial" w:cs="Arial" w:eastAsia="Arial" w:hAnsi="Arial"/>
                <w:color w:val="BBCCDD"/>
                <w:sz w:val="15"/>
                <w:szCs w:val="15"/>
              </w:rPr>
              <w:t xml:space="preserve">ISMS Documents: ISMS-RoPA-001, ISMS-DPIA-001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The organisation must protect personal data and privacy in accordance with applicable legislation and regulations — specifically UK GDPR and the Data Protection Act 2018. This requires a RoPA (UK GDPR Art.30), DPIAs for high-risk processing (Art.35), and a breach notification capability (Art.33).</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GDPR compliance is assessed independently of ISO 27001 — the ICO does not care whether an organisation is certified. However, Annex A.5.34 requires the ISMS to incorporate personal data protection obligations. An organisation processing client personal data as a processor without a compliant RoPA or without DPAs in place is in a serious compliance position.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ISMS-RoPA-001 complete — all controller and processor processing activities documented?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Are DPAs in place with all critical suppliers processing personal data?</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client names populated in the processor records (PRC-001 to PRC-004)?</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a DPIA template and screening checklist?</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Has the organisation notified any personal data breaches to the ICO? (Breach log)</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ISMS-RoPA-001 — all 5 sheets (Cover with ICO reg number, Controller Records, Processor Records, Sub-Processor Register, Breach Log)</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ISMS-DPIA-001 — screening checklist and template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Microsoft DPA (sub-processor agreement for SP-001)</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ICO registration confirmation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Breach log — confirm no reportable breaches are outstanding</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most critical items to have ready: ICO registration number (on ISMS-RoPA-001 Cover), client names in processor records PRC-001 to PRC-004, and confirmation that the Microsoft DPA is in place. The auditor will also check that the 72-hour ICO notification process is understood by the DPL — ask to walk through what would happen if a personal data breach occurred.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MNC risk: acting as a data processor (processing client personal data in M365/Azure environments) without a written Data Processing Agreement with each client. This is a UK GDPR Art.28 requirement independent of ISO 27001. Common finding: RoPA populated with generic descriptions rather than specific processing activities — 'client data' is not sufficient; what data, which clients, for what purpose.</w:t>
            </w:r>
          </w:p>
        </w:tc>
      </w:tr>
    </w:tbl>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55174" w:val="clear"/>
            <w:tcMar>
              <w:top w:type="dxa" w:w="140"/>
              <w:left w:type="dxa" w:w="300"/>
              <w:bottom w:type="dxa" w:w="140"/>
              <w:right w:type="dxa" w:w="300"/>
            </w:tcMar>
          </w:tcPr>
          <w:p>
            <w:pPr>
              <w:spacing w:after="30" w:before="0"/>
              <w:jc w:val="center"/>
            </w:pPr>
            <w:r>
              <w:rPr>
                <w:rFonts w:ascii="Arial" w:cs="Arial" w:eastAsia="Arial" w:hAnsi="Arial"/>
                <w:b/>
                <w:bCs/>
                <w:color w:val="FFFFFF"/>
                <w:sz w:val="22"/>
                <w:szCs w:val="22"/>
              </w:rPr>
              <w:t xml:space="preserve">PART B — ANNEX A AUDIT</w:t>
            </w:r>
          </w:p>
          <w:p>
            <w:pPr>
              <w:spacing w:after="0" w:before="0"/>
              <w:jc w:val="center"/>
            </w:pPr>
            <w:r>
              <w:rPr>
                <w:rFonts w:ascii="Arial" w:cs="Arial" w:eastAsia="Arial" w:hAnsi="Arial"/>
                <w:b/>
                <w:bCs/>
                <w:color w:val="FFFFFF"/>
                <w:sz w:val="20"/>
                <w:szCs w:val="20"/>
              </w:rPr>
              <w:t xml:space="preserve">THEME 6 — PEOPLE CONTROLS  |  A.6.1–A.6.8  |  8 controls  |  All Included</w:t>
            </w:r>
          </w:p>
        </w:tc>
      </w:tr>
    </w:tbl>
    <w:p>
      <w:pPr>
        <w:spacing w:after="60" w:before="60"/>
      </w:pPr>
    </w:p>
    <w:p>
      <w:pPr>
        <w:spacing w:after="60" w:before="60"/>
        <w:jc w:val="left"/>
      </w:pPr>
      <w:r>
        <w:rPr>
          <w:rFonts w:ascii="Arial" w:cs="Arial" w:eastAsia="Arial" w:hAnsi="Arial"/>
          <w:b w:val="false"/>
          <w:bCs w:val="false"/>
          <w:color w:val="595959"/>
          <w:sz w:val="19"/>
          <w:szCs w:val="19"/>
        </w:rPr>
        <w:t xml:space="preserve">Theme 6 controls cover the human side of information security — from pre-employment screening through to post-departure obligations. For a small organisation like Apex Managed Services Ltd, these controls are often the most business-critical: a single malicious insider or a poorly offboarded employee with retained access is a catastrophic risk.</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A.6.1–A.6.2  |  </w:t>
            </w:r>
            <w:r>
              <w:rPr>
                <w:rFonts w:ascii="Arial" w:cs="Arial" w:eastAsia="Arial" w:hAnsi="Arial"/>
                <w:b/>
                <w:bCs/>
                <w:color w:val="FFFFFF"/>
                <w:sz w:val="20"/>
                <w:szCs w:val="20"/>
              </w:rPr>
              <w:t xml:space="preserve">Screening and terms of employment</w:t>
            </w:r>
          </w:p>
          <w:p>
            <w:pPr>
              <w:spacing w:after="0" w:before="0"/>
            </w:pPr>
            <w:r>
              <w:rPr>
                <w:rFonts w:ascii="Arial" w:cs="Arial" w:eastAsia="Arial" w:hAnsi="Arial"/>
                <w:color w:val="BBCCDD"/>
                <w:sz w:val="15"/>
                <w:szCs w:val="15"/>
              </w:rPr>
              <w:t xml:space="preserve">ISMS Documents: ISMS-HR-001, ISMS-TRN-REC</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Personnel must be screened before employment, with checks proportionate to the sensitivity of the role and the information they will handle. IS responsibilities must be included in employment contracts and contractor agreements.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Screening gaps are difficult to remedy after the fact. A contractor granted access to client environments without identity verification or reference checks represents an uncontrolled insider threat. The auditor checks that the screening process is systematic and documented, not ad hoc.</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 screening procedure documented (ISMS-HR-001 §2)?</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evidence of screening for current personnel (HR files)?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Do employment contracts include IS responsibility clauses?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Do contractor agreements include IS obligations and NDAs?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 Joiner Checklist completed and filed for all current personnel?</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ISMS-HR-001 §2 and §3.1 (screening and contractual requirements)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HR file evidence for each current employee/contractor (summary — not personal details)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Joiner Checklist completion records in ISMS-TRN-REC</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employment contract — IS obligations clause</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auditor will not request personal HR files in detail. They will ask: 'Has screening been conducted for all current personnel per the documented procedure?' and 'Where is that evidence held?' The ISM should be able to confirm screening is complete and evidence is in the HR file, without disclosing the contents. Evidence of the process matters more than the personnel data itself.</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screening procedure documented but no evidence it has been applied — no Joiner Checklist records, no confirmation screening was completed. MNC risk: contractor given access to client environments with no NDA or security briefing prior to access.</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A.6.3  |  </w:t>
            </w:r>
            <w:r>
              <w:rPr>
                <w:rFonts w:ascii="Arial" w:cs="Arial" w:eastAsia="Arial" w:hAnsi="Arial"/>
                <w:b/>
                <w:bCs/>
                <w:color w:val="FFFFFF"/>
                <w:sz w:val="20"/>
                <w:szCs w:val="20"/>
              </w:rPr>
              <w:t xml:space="preserve">IS awareness, education and training</w:t>
            </w:r>
          </w:p>
          <w:p>
            <w:pPr>
              <w:spacing w:after="0" w:before="0"/>
            </w:pPr>
            <w:r>
              <w:rPr>
                <w:rFonts w:ascii="Arial" w:cs="Arial" w:eastAsia="Arial" w:hAnsi="Arial"/>
                <w:color w:val="BBCCDD"/>
                <w:sz w:val="15"/>
                <w:szCs w:val="15"/>
              </w:rPr>
              <w:t xml:space="preserve">ISMS Documents: ISMS-HR-002, ISMS-TRN-REC,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All personnel must receive appropriate IS awareness and training, and regular updates, relevant to their role. Training must be evidenced and its effectiveness evaluated.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This control links directly to Clause 7.3 (awareness) and is the primary mechanism for human risk reduction. The auditor looks for a systematic programme — not just an annual checkbox exercise.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awareness training procedure?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monthly/quarterly KPI data for training completion, phishing click rate, and report rate?</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phishing simulations being conducted quarterly?</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training content relevant to current threats?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ISMS-HR-002 (awareness training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ISMS-TRN-REC Sheet 2 and Sheet 4 (completions and phishing results)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KPI-013/014/015</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training content covers current threats (BEC, phishing, credential theft)</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If the awareness platform has not yet been deployed, the auditor will look for: a documented plan (ISMS-OBJ-001 OBJ-004), a target date, and evidence the plan is being progressed. The absence of a platform at first audit is not automatically an MNC — but if OBJ-004 target date has passed and there is no platform, it becomes one.</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annual training completed but phishing simulation programme not yet operational — the training covers phishing in theory but employees have not been tested against simulated phishing. This is the most important compensating gap to close.</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A.6.5  |  </w:t>
            </w:r>
            <w:r>
              <w:rPr>
                <w:rFonts w:ascii="Arial" w:cs="Arial" w:eastAsia="Arial" w:hAnsi="Arial"/>
                <w:b/>
                <w:bCs/>
                <w:color w:val="FFFFFF"/>
                <w:sz w:val="20"/>
                <w:szCs w:val="20"/>
              </w:rPr>
              <w:t xml:space="preserve">Responsibilities after termination</w:t>
            </w:r>
          </w:p>
          <w:p>
            <w:pPr>
              <w:spacing w:after="0" w:before="0"/>
            </w:pPr>
            <w:r>
              <w:rPr>
                <w:rFonts w:ascii="Arial" w:cs="Arial" w:eastAsia="Arial" w:hAnsi="Arial"/>
                <w:color w:val="BBCCDD"/>
                <w:sz w:val="15"/>
                <w:szCs w:val="15"/>
              </w:rPr>
              <w:t xml:space="preserve">ISMS Documents: ISMS-HR-001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IS responsibilities and duties that remain valid after departure — particularly confidentiality obligations — must be communicated to departing personnel and enforced.</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Former employees retain institutional knowledge about client environments, internal systems, and colleague credentials. Ensuring they understand their continuing obligations and that access has been completely revoked is a fundamental control.</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leaver NDAs and confidentiality obligations communicated at departure?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there evidence in the leaver process that post-employment obligations are communicated?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there any recent leaver events where access revocation can be verified?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ISMS-HR-001 §4 and §5 (leaver procedure and post-employment obligations)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Leaver Checklist P3, item 1 — NDA communication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Any recent leaver event — account disable timestamp vs. departure timestamp (KPI-003)</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For a small organisation, a leaver event is a significant security moment. The auditor may ask about any departures in the last 12 months. Be prepared to demonstrate: the account was disabled within 4 hours (KPI-003 log), all sessions were revoked, client environment access was removed, and post-employment obligations were communicated in writing.</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OFI: no process for monitoring whether former employees are attempting to access systems post-departure — Entra ID sign-in logs can detect this. A disabled account that generates sign-in attempts is an indicator of credential sharing or attempted access.</w:t>
            </w:r>
          </w:p>
        </w:tc>
      </w:tr>
    </w:tbl>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5C3317" w:val="clear"/>
            <w:tcMar>
              <w:top w:type="dxa" w:w="140"/>
              <w:left w:type="dxa" w:w="300"/>
              <w:bottom w:type="dxa" w:w="140"/>
              <w:right w:type="dxa" w:w="300"/>
            </w:tcMar>
          </w:tcPr>
          <w:p>
            <w:pPr>
              <w:spacing w:after="30" w:before="0"/>
              <w:jc w:val="center"/>
            </w:pPr>
            <w:r>
              <w:rPr>
                <w:rFonts w:ascii="Arial" w:cs="Arial" w:eastAsia="Arial" w:hAnsi="Arial"/>
                <w:b/>
                <w:bCs/>
                <w:color w:val="FFFFFF"/>
                <w:sz w:val="22"/>
                <w:szCs w:val="22"/>
              </w:rPr>
              <w:t xml:space="preserve">PART B — ANNEX A AUDIT</w:t>
            </w:r>
          </w:p>
          <w:p>
            <w:pPr>
              <w:spacing w:after="0" w:before="0"/>
              <w:jc w:val="center"/>
            </w:pPr>
            <w:r>
              <w:rPr>
                <w:rFonts w:ascii="Arial" w:cs="Arial" w:eastAsia="Arial" w:hAnsi="Arial"/>
                <w:b/>
                <w:bCs/>
                <w:color w:val="FFFFFF"/>
                <w:sz w:val="20"/>
                <w:szCs w:val="20"/>
              </w:rPr>
              <w:t xml:space="preserve">THEME 7 — PHYSICAL CONTROLS  |  A.7.1–A.7.14  |  14 controls  |  6 Excluded (remote-first model)</w:t>
            </w:r>
          </w:p>
        </w:tc>
      </w:tr>
    </w:tbl>
    <w:p>
      <w:pPr>
        <w:spacing w:after="60" w:before="60"/>
      </w:pPr>
    </w:p>
    <w:p>
      <w:pPr>
        <w:spacing w:after="60" w:before="60"/>
        <w:jc w:val="left"/>
      </w:pPr>
      <w:r>
        <w:rPr>
          <w:rFonts w:ascii="Arial" w:cs="Arial" w:eastAsia="Arial" w:hAnsi="Arial"/>
          <w:b w:val="false"/>
          <w:bCs w:val="false"/>
          <w:color w:val="595959"/>
          <w:sz w:val="19"/>
          <w:szCs w:val="19"/>
        </w:rPr>
        <w:t xml:space="preserve">Theme 7 physical controls are the most organisation-specific theme in the standard. For Apex Managed Services Ltd, the remote-first operating model with no controlled premises means 6 of the 14 physical controls are excluded from scope. The remaining 8 apply — primarily to endpoint device protection, equipment disposal, and reliance on cloud infrastructure physical controls.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A.7.1 — EXCLUDED FROM SCOPE  |  </w:t>
            </w:r>
            <w:r>
              <w:rPr>
                <w:rFonts w:ascii="Arial" w:cs="Arial" w:eastAsia="Arial" w:hAnsi="Arial"/>
                <w:color w:val="CCCCCC"/>
                <w:sz w:val="18"/>
                <w:szCs w:val="18"/>
              </w:rPr>
              <w:t xml:space="preserve">Physical security perimeters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The organisation operates a remote-first model with no dedicated office, data centre, or controlled physical premises within the ISMS scope. There is no physical perimeter to define or secure. All personnel work remotely or from client sites; physical security at those locations is the responsibility of the building owner or client. If dedicated premises are acquired, this control will be included at the next SoA review.</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(A.7.1) | ISMS-SCO-001 (scope confirms remote-first)</w:t>
            </w:r>
          </w:p>
        </w:tc>
      </w:tr>
    </w:tbl>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A.7.2 — EXCLUDED FROM SCOPE  |  </w:t>
            </w:r>
            <w:r>
              <w:rPr>
                <w:rFonts w:ascii="Arial" w:cs="Arial" w:eastAsia="Arial" w:hAnsi="Arial"/>
                <w:color w:val="CCCCCC"/>
                <w:sz w:val="18"/>
                <w:szCs w:val="18"/>
              </w:rPr>
              <w:t xml:space="preserve">Physical entry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No organisation-controlled premises exist within scope. Physical entry controls at client sites are the client's responsibility. Remote home-working environments are governed by the Remote Working Policy (A.6.7) and endpoint security controls (A.8.1) rather than physical entry controls.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(A.7.2)</w:t>
            </w:r>
          </w:p>
        </w:tc>
      </w:tr>
    </w:tbl>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A.7.3 — EXCLUDED FROM SCOPE  |  </w:t>
            </w:r>
            <w:r>
              <w:rPr>
                <w:rFonts w:ascii="Arial" w:cs="Arial" w:eastAsia="Arial" w:hAnsi="Arial"/>
                <w:color w:val="CCCCCC"/>
                <w:sz w:val="18"/>
                <w:szCs w:val="18"/>
              </w:rPr>
              <w:t xml:space="preserve">Securing offices, rooms and facilities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No organisation-controlled offices, rooms, or facilities exist within scope. Justified on the same basis as A.7.1 and A.7.2. Inclusion trigger: acquisition of dedicated premises.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(A.7.3)</w:t>
            </w:r>
          </w:p>
        </w:tc>
      </w:tr>
    </w:tbl>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A.7.4 — EXCLUDED FROM SCOPE  |  </w:t>
            </w:r>
            <w:r>
              <w:rPr>
                <w:rFonts w:ascii="Arial" w:cs="Arial" w:eastAsia="Arial" w:hAnsi="Arial"/>
                <w:color w:val="CCCCCC"/>
                <w:sz w:val="18"/>
                <w:szCs w:val="18"/>
              </w:rPr>
              <w:t xml:space="preserve">Physical security monitoring</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No premises in scope to monitor. Logical monitoring (SIEM, endpoint telemetry, Entra ID sign-in logs) addresses the monitoring objective for the organisation's operating environment and is implemented under A.8.15 and A.8.16.</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(A.7.4)</w:t>
            </w:r>
          </w:p>
        </w:tc>
      </w:tr>
    </w:tbl>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A.7.6 — EXCLUDED FROM SCOPE  |  </w:t>
            </w:r>
            <w:r>
              <w:rPr>
                <w:rFonts w:ascii="Arial" w:cs="Arial" w:eastAsia="Arial" w:hAnsi="Arial"/>
                <w:color w:val="CCCCCC"/>
                <w:sz w:val="18"/>
                <w:szCs w:val="18"/>
              </w:rPr>
              <w:t xml:space="preserve">Working in secure areas</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No designated secure areas exist within organisation-controlled environments. Where personnel work at client sites with secure areas, the client's physical security policy governs those areas. Remote working guidelines (A.6.7) govern home working security.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(A.7.6)</w:t>
            </w:r>
          </w:p>
        </w:tc>
      </w:tr>
    </w:tbl>
    <w:p>
      <w:pPr>
        <w:spacing w:after="40" w:before="4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fill="404040" w:val="clear"/>
            <w:tcMar>
              <w:top w:type="dxa" w:w="80"/>
              <w:left w:type="dxa" w:w="160"/>
              <w:bottom w:type="dxa" w:w="80"/>
              <w:right w:type="dxa" w:w="160"/>
            </w:tcMar>
          </w:tcPr>
          <w:p>
            <w:r>
              <w:rPr>
                <w:rFonts w:ascii="Arial" w:cs="Arial" w:eastAsia="Arial" w:hAnsi="Arial"/>
                <w:b/>
                <w:bCs/>
                <w:color w:val="FFFFFF"/>
                <w:sz w:val="18"/>
                <w:szCs w:val="18"/>
              </w:rPr>
              <w:t xml:space="preserve">A.7.12 — EXCLUDED FROM SCOPE  |  </w:t>
            </w:r>
            <w:r>
              <w:rPr>
                <w:rFonts w:ascii="Arial" w:cs="Arial" w:eastAsia="Arial" w:hAnsi="Arial"/>
                <w:color w:val="CCCCCC"/>
                <w:sz w:val="18"/>
                <w:szCs w:val="18"/>
              </w:rPr>
              <w:t xml:space="preserve">Cabling security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Finding Grade</w:t>
            </w:r>
          </w:p>
        </w:tc>
        <w:tc>
          <w:tcPr>
            <w:tcW w:type="dxa" w:w="706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N/A</w:t>
            </w:r>
          </w:p>
        </w:tc>
      </w:tr>
      <w:tr>
        <w:tc>
          <w:tcPr>
            <w:tcW w:type="dxa" w:w="2200"/>
            <w:gridSpan w:val="1"/>
            <w:tcBorders>
              <w:top w:val="single" w:color="CCCCCC" w:sz="1"/>
              <w:left w:val="single" w:color="CCCCCC" w:sz="1"/>
              <w:bottom w:val="single" w:color="CCCCCC" w:sz="1"/>
              <w:right w:val="single" w:color="CCCCCC" w:sz="1"/>
            </w:tcBorders>
            <w:shd w:fill="33333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Exclusion Justification</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595959"/>
                <w:sz w:val="17"/>
                <w:szCs w:val="17"/>
              </w:rPr>
              <w:t xml:space="preserve">No organisation-controlled network cabling infrastructure exists within scope. All connectivity is over public internet using encrypted TLS/VPN channels. Remote working uses ISP-provided infrastructure outside the organisation's control. Cabling at client sites is the client's responsibility.</w:t>
            </w:r>
          </w:p>
        </w:tc>
      </w:tr>
      <w:tr>
        <w:tc>
          <w:tcPr>
            <w:tcW w:type="dxa" w:w="2200"/>
            <w:gridSpan w:val="1"/>
            <w:tcBorders>
              <w:top w:val="single" w:color="CCCCCC" w:sz="1"/>
              <w:left w:val="single" w:color="CCCCCC" w:sz="1"/>
              <w:bottom w:val="single" w:color="CCCCCC" w:sz="1"/>
              <w:right w:val="single" w:color="CCCCCC" w:sz="1"/>
            </w:tcBorders>
            <w:shd w:fill="404040"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SoA Reference</w:t>
            </w:r>
          </w:p>
        </w:tc>
        <w:tc>
          <w:tcPr>
            <w:tcW w:type="dxa" w:w="7060"/>
            <w:gridSpan w:val="1"/>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vAlign w:val="top"/>
          </w:tcPr>
          <w:p>
            <w:pPr>
              <w:jc w:val="left"/>
            </w:pPr>
            <w:r>
              <w:rPr>
                <w:rFonts w:ascii="Arial" w:cs="Arial" w:eastAsia="Arial" w:hAnsi="Arial"/>
                <w:b w:val="false"/>
                <w:bCs w:val="false"/>
                <w:color w:val="000000"/>
                <w:sz w:val="17"/>
                <w:szCs w:val="17"/>
              </w:rPr>
              <w:t xml:space="preserve">ISMS-SoA-001 Exclusion Justifications sheet (A.7.12)</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A.7.7 / A.7.8 / A.7.9  |  </w:t>
            </w:r>
            <w:r>
              <w:rPr>
                <w:rFonts w:ascii="Arial" w:cs="Arial" w:eastAsia="Arial" w:hAnsi="Arial"/>
                <w:b/>
                <w:bCs/>
                <w:color w:val="FFFFFF"/>
                <w:sz w:val="20"/>
                <w:szCs w:val="20"/>
              </w:rPr>
              <w:t xml:space="preserve">Clear desk, equipment protection, and off-premises security</w:t>
            </w:r>
          </w:p>
          <w:p>
            <w:pPr>
              <w:spacing w:after="0" w:before="0"/>
            </w:pPr>
            <w:r>
              <w:rPr>
                <w:rFonts w:ascii="Arial" w:cs="Arial" w:eastAsia="Arial" w:hAnsi="Arial"/>
                <w:color w:val="BBCCDD"/>
                <w:sz w:val="15"/>
                <w:szCs w:val="15"/>
              </w:rPr>
              <w:t xml:space="preserve">ISMS Documents: ISMS-AST-001, ISMS-OPS-001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Personnel must apply clear desk and clear screen practices. Organisational equipment must be protected against physical damage, theft, and environmental threats. Equipment used off-premises (remote working, travel) must be protected with the same care as on-premises equipment.</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Remote working means all equipment is permanently 'off-premises'. The primary controls are device encryption (BitLocker), screen lock policies, and remote wipe capability — the technical equivalents of physical access controls.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all managed laptops BitLocker encrypted? (TA-001 to TA-003)</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an automatic screen lock policy enforced via Intune?</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remote wipe capability enabled for all managed devices?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there guidance for remote workers on physical equipment protection?</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Intune device compliance report — BitLocker encryption status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Intune device configuration profile — screen lock timeout policy</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Intune — confirm Remote Wipe/Retire actions are available per device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remote working security guidance to staff</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HoT should be able to demonstrate BitLocker encryption status for all managed devices live from the Intune portal during fieldwork. This is more convincing than a document. Also confirm the screen auto-lock is set to 15 minutes maximum — this is the NCSC recommended value for remote working environments.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BitLocker enabled on all devices but the recovery key is stored only on the individual's device (not in Azure AD / Intune). If the device is lost and encrypted, recovery becomes impossible. Keys should be escrowed in Entra ID.</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A.7.13 / A.7.14  |  </w:t>
            </w:r>
            <w:r>
              <w:rPr>
                <w:rFonts w:ascii="Arial" w:cs="Arial" w:eastAsia="Arial" w:hAnsi="Arial"/>
                <w:b/>
                <w:bCs/>
                <w:color w:val="FFFFFF"/>
                <w:sz w:val="20"/>
                <w:szCs w:val="20"/>
              </w:rPr>
              <w:t xml:space="preserve">Equipment maintenance and secure disposal</w:t>
            </w:r>
          </w:p>
          <w:p>
            <w:pPr>
              <w:spacing w:after="0" w:before="0"/>
            </w:pPr>
            <w:r>
              <w:rPr>
                <w:rFonts w:ascii="Arial" w:cs="Arial" w:eastAsia="Arial" w:hAnsi="Arial"/>
                <w:color w:val="BBCCDD"/>
                <w:sz w:val="15"/>
                <w:szCs w:val="15"/>
              </w:rPr>
              <w:t xml:space="preserve">ISMS Documents: ISMS-HR-001, ISMS-AST-001, ISMS-VUL-001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Equipment must be maintained to ensure its continued availability and integrity. When equipment reaches end of life or is reassigned, data must be securely erased before disposal or re-use.</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An improperly wiped device represents a significant data exposure risk. A device sold or disposed of without certified data destruction could expose client configurations, PAM credentials, or personal data. The auditor checks that the disposal process is documented and evidenced.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there a documented secure disposal procedure?</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Intune remote wipe used for devices that cannot be physically retrieved?</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there evidence of data wiping to NCSC standards for any decommissioned devices?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firmware kept current on managed devices?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ISMS-HR-001 Leaver Checklist P2 (device retrieval and remote wipe)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ISMS-AST-001 — any disposed assets with disposal method and date recorded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Intune — device retire/wipe action history</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ISMS-VUL-001 §5 — firmware update cadence</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Any device disposed of should have a disposal record in ISMS-AST-001 with: disposal date, disposal method (NCSC-standard wipe, factory reset, certified destruction), and confirmation by HoT. If no devices have been disposed of since ISMS establishment, note this as 'no disposal events in this period' — that is a valid finding.</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OFI: no formal schedule for firmware/BIOS updates beyond vulnerability-triggered patching. A quarterly firmware review (as documented in ISMS-VUL-001 §5) is good practice regardless of whether specific CVEs are outstanding.</w:t>
            </w:r>
          </w:p>
        </w:tc>
      </w:tr>
    </w:tbl>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2D2D72" w:val="clear"/>
            <w:tcMar>
              <w:top w:type="dxa" w:w="140"/>
              <w:left w:type="dxa" w:w="300"/>
              <w:bottom w:type="dxa" w:w="140"/>
              <w:right w:type="dxa" w:w="300"/>
            </w:tcMar>
          </w:tcPr>
          <w:p>
            <w:pPr>
              <w:spacing w:after="30" w:before="0"/>
              <w:jc w:val="center"/>
            </w:pPr>
            <w:r>
              <w:rPr>
                <w:rFonts w:ascii="Arial" w:cs="Arial" w:eastAsia="Arial" w:hAnsi="Arial"/>
                <w:b/>
                <w:bCs/>
                <w:color w:val="FFFFFF"/>
                <w:sz w:val="22"/>
                <w:szCs w:val="22"/>
              </w:rPr>
              <w:t xml:space="preserve">PART B — ANNEX A AUDIT</w:t>
            </w:r>
          </w:p>
          <w:p>
            <w:pPr>
              <w:spacing w:after="0" w:before="0"/>
              <w:jc w:val="center"/>
            </w:pPr>
            <w:r>
              <w:rPr>
                <w:rFonts w:ascii="Arial" w:cs="Arial" w:eastAsia="Arial" w:hAnsi="Arial"/>
                <w:b/>
                <w:bCs/>
                <w:color w:val="FFFFFF"/>
                <w:sz w:val="20"/>
                <w:szCs w:val="20"/>
              </w:rPr>
              <w:t xml:space="preserve">THEME 8 — TECHNOLOGICAL CONTROLS  |  A.8.1–A.8.34  |  34 controls  |  All Included</w:t>
            </w:r>
          </w:p>
        </w:tc>
      </w:tr>
    </w:tbl>
    <w:p>
      <w:pPr>
        <w:spacing w:after="60" w:before="60"/>
      </w:pPr>
    </w:p>
    <w:p>
      <w:pPr>
        <w:spacing w:after="60" w:before="60"/>
        <w:jc w:val="left"/>
      </w:pPr>
      <w:r>
        <w:rPr>
          <w:rFonts w:ascii="Arial" w:cs="Arial" w:eastAsia="Arial" w:hAnsi="Arial"/>
          <w:b w:val="false"/>
          <w:bCs w:val="false"/>
          <w:color w:val="595959"/>
          <w:sz w:val="19"/>
          <w:szCs w:val="19"/>
        </w:rPr>
        <w:t xml:space="preserve">Theme 8 is the most technically demanding theme — 34 controls covering endpoint security, access control, cryptography, vulnerability management, logging, cloud security, change management, and software development. For Apex Managed Services Ltd, the primary evidence platform is Microsoft (Intune, Defender, Sentinel, Entra ID, Azure). Most controls can be demonstrated live from the Microsoft security portals.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A.8.1–A.8.5  |  </w:t>
            </w:r>
            <w:r>
              <w:rPr>
                <w:rFonts w:ascii="Arial" w:cs="Arial" w:eastAsia="Arial" w:hAnsi="Arial"/>
                <w:b/>
                <w:bCs/>
                <w:color w:val="FFFFFF"/>
                <w:sz w:val="20"/>
                <w:szCs w:val="20"/>
              </w:rPr>
              <w:t xml:space="preserve">Endpoint security, access, and authentication</w:t>
            </w:r>
          </w:p>
          <w:p>
            <w:pPr>
              <w:spacing w:after="0" w:before="0"/>
            </w:pPr>
            <w:r>
              <w:rPr>
                <w:rFonts w:ascii="Arial" w:cs="Arial" w:eastAsia="Arial" w:hAnsi="Arial"/>
                <w:color w:val="BBCCDD"/>
                <w:sz w:val="15"/>
                <w:szCs w:val="15"/>
              </w:rPr>
              <w:t xml:space="preserve">ISMS Documents: ISMS-ACC-001,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Endpoint devices must be managed and secured. Privileged access rights must be controlled with JIT access and session recording. Access to information must be restricted per access control policy. Authentication must be strong — MFA enforced, credentials managed securely.</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These are the controls that most directly address the highest-rated risks in ISMS-PLN-001 (ISK-001 ransomware via privileged credentials, ISK-002 phishing). The auditor will test whether the controls documented in ISMS-ACC-001 are actually configured in Entra ID and Intune.</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Are all managed devices enrolled in Intune with compliance policy enforced?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CA-004 (require compliant device) blocking non-enrolled devices?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privileged roles PIM-eligible, not permanently active?</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MFA 100% for all users and phishing-resistant for all privileged accounts?</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credentials stored in the PAM vault — not in email, scripts, or plaintext files?</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Intune device compliance report — all managed devices showing Compliant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Entra ID Conditional Access — CA-001 and CA-004 enabled and in enforce mode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Entra ID PIM — role assignments page (eligible vs. active)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PAM platform — credential vault entries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KPI-001 and KPI-002 in ISMS-MR-002</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Prepare to demonstrate live in the portals: Intune compliance dashboard (all compliant), Conditional Access policy list (all enabled, none in report-only mode for critical policies), PIM role assignments (no standing Global Admin), and the PAM credential vault. Live demonstration is the most compelling evidence for technical controls.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CA-001 (require MFA all users) in report-only mode — this means MFA is being reported but not enforced. Any CA policy in report-only mode is not a control — it is a monitoring mechanism. Common finding: 'shadow IT' — cloud services used by personnel that are not in the software asset register and not governed by Conditional Access.</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A.8.7–A.8.9  |  </w:t>
            </w:r>
            <w:r>
              <w:rPr>
                <w:rFonts w:ascii="Arial" w:cs="Arial" w:eastAsia="Arial" w:hAnsi="Arial"/>
                <w:b/>
                <w:bCs/>
                <w:color w:val="FFFFFF"/>
                <w:sz w:val="20"/>
                <w:szCs w:val="20"/>
              </w:rPr>
              <w:t xml:space="preserve">Malware protection, vulnerability management, and configuration management</w:t>
            </w:r>
          </w:p>
          <w:p>
            <w:pPr>
              <w:spacing w:after="0" w:before="0"/>
            </w:pPr>
            <w:r>
              <w:rPr>
                <w:rFonts w:ascii="Arial" w:cs="Arial" w:eastAsia="Arial" w:hAnsi="Arial"/>
                <w:color w:val="BBCCDD"/>
                <w:sz w:val="15"/>
                <w:szCs w:val="15"/>
              </w:rPr>
              <w:t xml:space="preserve">ISMS Documents: ISMS-VUL-001, ISMS-CHG-001,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Anti-malware controls must be deployed and monitored. Technical vulnerabilities must be identified and remediated within defined SLAs. System configurations must be managed against approved baselines and controlled via change management.</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These three controls work together: Defender for Endpoint detects malware; Defender VM identifies unpatched vulnerabilities; Defender for Cloud assesses configuration drift. The auditor looks for evidence that all three are operational and producing outputs that the organisation is acting on.</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Defender for Endpoint deployed across all managed devices?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KPI-007 (scan coverage ≥99%) met?</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Critical vulnerability SLAs being met? (KPI-005 ≥98%)</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configuration baselines enforced via Intune and Azure Policy?</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there evidence of configuration change management (ISMS-CHG-001)?</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Defender for Endpoint — devices onboarded count vs. Intune enrolled count</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Defender VM — open findings report (Critical and High severity)</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ISMS-MR-002 — KPI-005, KPI-006, KPI-007, KPI-008 data</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Intune configuration profiles — security baseline applied?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Azure Policy compliance dashboard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Sample change log entries for recent configuration changes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If no KPI data exists in ISMS-MR-002 for KPI-005/006/007/008, this is a significant gap — it means vulnerability management is documented but not measured. Prepare the first month of KPI data before fieldwork, even if it is a baseline snapshot rather than trend data.</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Defender VM configured but data not being exported or tracked in ISMS-MR-002 — the tool is running but the measurement programme is not. OFI: Microsoft Secure Score (KPI-008) is below target (75) with known recommendations that have not been addressed — the auditor will ask why specific recommendations are outstanding.</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A.8.13–A.8.16  |  </w:t>
            </w:r>
            <w:r>
              <w:rPr>
                <w:rFonts w:ascii="Arial" w:cs="Arial" w:eastAsia="Arial" w:hAnsi="Arial"/>
                <w:b/>
                <w:bCs/>
                <w:color w:val="FFFFFF"/>
                <w:sz w:val="20"/>
                <w:szCs w:val="20"/>
              </w:rPr>
              <w:t xml:space="preserve">Backup, redundancy, logging, and monitoring</w:t>
            </w:r>
          </w:p>
          <w:p>
            <w:pPr>
              <w:spacing w:after="0" w:before="0"/>
            </w:pPr>
            <w:r>
              <w:rPr>
                <w:rFonts w:ascii="Arial" w:cs="Arial" w:eastAsia="Arial" w:hAnsi="Arial"/>
                <w:color w:val="BBCCDD"/>
                <w:sz w:val="15"/>
                <w:szCs w:val="15"/>
              </w:rPr>
              <w:t xml:space="preserve">ISMS Documents: ISMS-BCP-001, ISMS-OPS-001, ISMS-MR-002</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Information backup must be maintained and tested. Critical processing facilities must be redundant. Security-relevant events must be logged with appropriate retention. Systems must be actively monitored for IS events and anomalies.</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For a cloud-native MSP, logging and monitoring are the primary detective controls. Sentinel is the SIEM backbone — it must be configured to ingest logs from all relevant sources, retain them for the minimum period, and be actively monitored. Backups that are not tested are assumptions, not controls.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Azure Backup / M365 backup configured and monitored? (KPI-022)</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Has at least one restoration test been conducted or scheduled? (KPI-023)</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Is Sentinel ingesting logs from: Entra ID, Defender for Endpoint, Defender for Cloud, Azure Activity Logs?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log retention set to ≥90 days in Sentinel?</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Is someone actively reviewing Sentinel alerts — not just configuring it?</w:t>
            </w:r>
          </w:p>
          <w:p>
            <w:pPr>
              <w:spacing w:after="30" w:before="30"/>
            </w:pPr>
            <w:r>
              <w:rPr>
                <w:rFonts w:ascii="Arial" w:cs="Arial" w:eastAsia="Arial" w:hAnsi="Arial"/>
                <w:b/>
                <w:bCs/>
                <w:color w:val="1F3864"/>
                <w:sz w:val="18"/>
                <w:szCs w:val="18"/>
              </w:rPr>
              <w:t xml:space="preserve">6.  </w:t>
            </w:r>
            <w:r>
              <w:rPr>
                <w:rFonts w:ascii="Arial" w:cs="Arial" w:eastAsia="Arial" w:hAnsi="Arial"/>
                <w:sz w:val="18"/>
                <w:szCs w:val="18"/>
              </w:rPr>
              <w:t xml:space="preserve">What is the current MTTD and MTTR? (KPI-009, KPI-010)</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Azure Backup / M365 backup dashboard — success rate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Restoration test report (if conducted) — or scheduled date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Sentinel workspace — data connectors list (showing sources ingesting)</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Sentinel log retention setting (Data Retention in workspace settings)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Sentinel incident queue — evidence of active alert review and closure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KPI-009/010/022/023 in ISMS-MR-002</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HoT should be prepared to navigate the Sentinel workspace live: showing the data connectors panel (all required sources green), the analytics rules list (detection rules active), and the incident queue (recent incidents reviewed and closed or escalated). An empty incident queue in a monitored environment is suspicious — it may indicate monitoring is not active, or that alerts are being dismissed rather than investigated.</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Major NC risk: Sentinel is licensed and installed but no data connectors are configured — it is collecting no data. This means all of A.8.15 and A.8.16 are unimplemented. Common finding: Entra ID sign-in logs ingested but no detection rules configured for known attack patterns (impossible travel, MFA fatigue, anomalous sign-in volume).</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A.8.24–A.8.27  |  </w:t>
            </w:r>
            <w:r>
              <w:rPr>
                <w:rFonts w:ascii="Arial" w:cs="Arial" w:eastAsia="Arial" w:hAnsi="Arial"/>
                <w:b/>
                <w:bCs/>
                <w:color w:val="FFFFFF"/>
                <w:sz w:val="20"/>
                <w:szCs w:val="20"/>
              </w:rPr>
              <w:t xml:space="preserve">Cryptography, secure architecture, and secure design</w:t>
            </w:r>
          </w:p>
          <w:p>
            <w:pPr>
              <w:spacing w:after="0" w:before="0"/>
            </w:pPr>
            <w:r>
              <w:rPr>
                <w:rFonts w:ascii="Arial" w:cs="Arial" w:eastAsia="Arial" w:hAnsi="Arial"/>
                <w:color w:val="BBCCDD"/>
                <w:sz w:val="15"/>
                <w:szCs w:val="15"/>
              </w:rPr>
              <w:t xml:space="preserve">ISMS Documents: ISMS-OPS-001, ISMS-ACC-001, ISMS-CHG-001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Cryptographic controls must be used to protect information. Secure system architecture and engineering principles must be applied. Information systems must be designed and built securely from the ground up.</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For a cloud-native organisation, cryptography is largely implemented by Microsoft's platform. The auditor checks that the organisation has not disabled or weakened those protections, and that secure-by-design principles are applied to new systems and changes.</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BitLocker enabled on all managed endpoints?</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Is TLS 1.2 or higher enforced for all communications?</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encryption keys managed via Azure Key Vault or equivalent?</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Is a zero-trust architecture approach applied (Conditional Access, least privilege, MFA everywhere)?</w:t>
            </w:r>
          </w:p>
          <w:p>
            <w:pPr>
              <w:spacing w:after="30" w:before="30"/>
            </w:pPr>
            <w:r>
              <w:rPr>
                <w:rFonts w:ascii="Arial" w:cs="Arial" w:eastAsia="Arial" w:hAnsi="Arial"/>
                <w:b/>
                <w:bCs/>
                <w:color w:val="1F3864"/>
                <w:sz w:val="18"/>
                <w:szCs w:val="18"/>
              </w:rPr>
              <w:t xml:space="preserve">5.  </w:t>
            </w:r>
            <w:r>
              <w:rPr>
                <w:rFonts w:ascii="Arial" w:cs="Arial" w:eastAsia="Arial" w:hAnsi="Arial"/>
                <w:sz w:val="18"/>
                <w:szCs w:val="18"/>
              </w:rPr>
              <w:t xml:space="preserve">Are new systems and changes assessed for security requirements before deployment?</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BitLocker encryption status in Intune (all devices)</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Azure Key Vault configuration (client credentials stored?)</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TLS enforcement evidence (Azure App Service TLS minimum version setting)</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Conditional Access policies as zero-trust architecture evidence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ISMS-CHG-001 — IS risk assessment in change requests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Conditional Access policy set (CA-001 to CA-008) is the primary evidence of zero-trust architecture. Showing that access is never implicit — always requiring verified identity, compliant device, and appropriate MFA — demonstrates secure-by-design thinking. Be prepared to explain the security rationale for each CA policy.</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Common finding: TLS 1.0 or 1.1 still enabled in Azure services alongside TLS 1.2 — legacy protocol support left as default rather than explicitly disabled. OFI: no Azure Key Vault — client credentials stored in PAM vault (good) but no formal cryptographic key management policy.</w:t>
            </w:r>
          </w:p>
        </w:tc>
      </w:tr>
    </w:tbl>
    <w:p>
      <w:pPr>
        <w:spacing w:after="8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c>
          <w:tcPr>
            <w:gridSpan w:val="2"/>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pPr>
              <w:spacing w:after="30" w:before="0"/>
            </w:pPr>
            <w:r>
              <w:rPr>
                <w:rFonts w:ascii="Arial" w:cs="Arial" w:eastAsia="Arial" w:hAnsi="Arial"/>
                <w:b/>
                <w:bCs/>
                <w:color w:val="FFFFFF"/>
                <w:sz w:val="20"/>
                <w:szCs w:val="20"/>
              </w:rPr>
              <w:t xml:space="preserve">A.8.32  |  </w:t>
            </w:r>
            <w:r>
              <w:rPr>
                <w:rFonts w:ascii="Arial" w:cs="Arial" w:eastAsia="Arial" w:hAnsi="Arial"/>
                <w:b/>
                <w:bCs/>
                <w:color w:val="FFFFFF"/>
                <w:sz w:val="20"/>
                <w:szCs w:val="20"/>
              </w:rPr>
              <w:t xml:space="preserve">Change management</w:t>
            </w:r>
          </w:p>
          <w:p>
            <w:pPr>
              <w:spacing w:after="0" w:before="0"/>
            </w:pPr>
            <w:r>
              <w:rPr>
                <w:rFonts w:ascii="Arial" w:cs="Arial" w:eastAsia="Arial" w:hAnsi="Arial"/>
                <w:color w:val="BBCCDD"/>
                <w:sz w:val="15"/>
                <w:szCs w:val="15"/>
              </w:rPr>
              <w:t xml:space="preserve">ISMS Documents: ISMS-CHG-001</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What this control requires</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pPr>
              <w:jc w:val="left"/>
            </w:pPr>
            <w:r>
              <w:rPr>
                <w:rFonts w:ascii="Arial" w:cs="Arial" w:eastAsia="Arial" w:hAnsi="Arial"/>
                <w:b w:val="false"/>
                <w:bCs w:val="false"/>
                <w:color w:val="000000"/>
                <w:sz w:val="18"/>
                <w:szCs w:val="18"/>
              </w:rPr>
              <w:t xml:space="preserve">Changes to information processing facilities and systems must be controlled. This includes: planning changes, assessing impact, implementing with rollback capability, and reviewing effectiveness. Emergency changes must still be documented, even if retrospectively.</w:t>
            </w:r>
          </w:p>
        </w:tc>
      </w:tr>
      <w:tr>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30"/>
              <w:bottom w:type="dxa" w:w="80"/>
              <w:right w:type="dxa" w:w="130"/>
            </w:tcMar>
            <w:vAlign w:val="center"/>
          </w:tcPr>
          <w:p>
            <w:pPr>
              <w:jc w:val="left"/>
            </w:pPr>
            <w:r>
              <w:rPr>
                <w:rFonts w:ascii="Arial" w:cs="Arial" w:eastAsia="Arial" w:hAnsi="Arial"/>
                <w:b/>
                <w:bCs/>
                <w:color w:val="FFFFFF"/>
                <w:sz w:val="16"/>
                <w:szCs w:val="16"/>
              </w:rPr>
              <w:t xml:space="preserve">Why the auditor tests it</w:t>
            </w:r>
          </w:p>
        </w:tc>
        <w:tc>
          <w:tcPr>
            <w:tcW w:type="dxa" w:w="7060"/>
            <w:gridSpan w:val="1"/>
            <w:tcBorders>
              <w:top w:val="single" w:color="CCCCCC" w:sz="1"/>
              <w:left w:val="single" w:color="CCCCCC" w:sz="1"/>
              <w:bottom w:val="single" w:color="CCCCCC" w:sz="1"/>
              <w:right w:val="single" w:color="CCCCCC" w:sz="1"/>
            </w:tcBorders>
            <w:tcMar>
              <w:top w:type="dxa" w:w="80"/>
              <w:left w:type="dxa" w:w="130"/>
              <w:bottom w:type="dxa" w:w="80"/>
              <w:right w:type="dxa" w:w="130"/>
            </w:tcMar>
            <w:vAlign w:val="top"/>
          </w:tcPr>
          <w:p>
            <w:pPr>
              <w:jc w:val="left"/>
            </w:pPr>
            <w:r>
              <w:rPr>
                <w:rFonts w:ascii="Arial" w:cs="Arial" w:eastAsia="Arial" w:hAnsi="Arial"/>
                <w:b w:val="false"/>
                <w:bCs w:val="false"/>
                <w:color w:val="595959"/>
                <w:sz w:val="18"/>
                <w:szCs w:val="18"/>
              </w:rPr>
              <w:t xml:space="preserve">This control overlaps with Clause 6.3 (planning of changes) but focuses specifically on the operational change management process — the mechanics of how changes to systems are executed. The auditor checks that the documented procedure (ISMS-CHG-001) is actually being used.</w:t>
            </w:r>
          </w:p>
        </w:tc>
      </w:tr>
      <w:t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Audit questions</w:t>
            </w:r>
          </w:p>
        </w:tc>
        <w:tc>
          <w:tcPr>
            <w:tcW w:type="dxa" w:w="7060"/>
            <w:tcBorders>
              <w:top w:val="single" w:color="CCCCCC" w:sz="1"/>
              <w:left w:val="single" w:color="CCCCCC" w:sz="1"/>
              <w:bottom w:val="single" w:color="CCCCCC" w:sz="1"/>
              <w:right w:val="single" w:color="CCCCCC" w:sz="1"/>
            </w:tcBorders>
            <w:shd w:fill="F2F2F2" w:val="clear"/>
            <w:tcMar>
              <w:top w:type="dxa" w:w="100"/>
              <w:left w:type="dxa" w:w="130"/>
              <w:bottom w:type="dxa" w:w="100"/>
              <w:right w:type="dxa" w:w="130"/>
            </w:tcMar>
          </w:tcPr>
          <w:p>
            <w:pPr>
              <w:spacing w:after="30" w:before="0"/>
            </w:pPr>
            <w:r>
              <w:rPr>
                <w:rFonts w:ascii="Arial" w:cs="Arial" w:eastAsia="Arial" w:hAnsi="Arial"/>
                <w:b/>
                <w:bCs/>
                <w:color w:val="1F3864"/>
                <w:sz w:val="18"/>
                <w:szCs w:val="18"/>
              </w:rPr>
              <w:t xml:space="preserve">1.  </w:t>
            </w:r>
            <w:r>
              <w:rPr>
                <w:rFonts w:ascii="Arial" w:cs="Arial" w:eastAsia="Arial" w:hAnsi="Arial"/>
                <w:sz w:val="18"/>
                <w:szCs w:val="18"/>
              </w:rPr>
              <w:t xml:space="preserve">Is ISMS-CHG-001 being used for real changes — is the change log populated?</w:t>
            </w:r>
          </w:p>
          <w:p>
            <w:pPr>
              <w:spacing w:after="30" w:before="30"/>
            </w:pPr>
            <w:r>
              <w:rPr>
                <w:rFonts w:ascii="Arial" w:cs="Arial" w:eastAsia="Arial" w:hAnsi="Arial"/>
                <w:b/>
                <w:bCs/>
                <w:color w:val="1F3864"/>
                <w:sz w:val="18"/>
                <w:szCs w:val="18"/>
              </w:rPr>
              <w:t xml:space="preserve">2.  </w:t>
            </w:r>
            <w:r>
              <w:rPr>
                <w:rFonts w:ascii="Arial" w:cs="Arial" w:eastAsia="Arial" w:hAnsi="Arial"/>
                <w:sz w:val="18"/>
                <w:szCs w:val="18"/>
              </w:rPr>
              <w:t xml:space="preserve">Do change records include: risk assessment, approval, rollback plan, and post-implementation review?</w:t>
            </w:r>
          </w:p>
          <w:p>
            <w:pPr>
              <w:spacing w:after="30" w:before="30"/>
            </w:pPr>
            <w:r>
              <w:rPr>
                <w:rFonts w:ascii="Arial" w:cs="Arial" w:eastAsia="Arial" w:hAnsi="Arial"/>
                <w:b/>
                <w:bCs/>
                <w:color w:val="1F3864"/>
                <w:sz w:val="18"/>
                <w:szCs w:val="18"/>
              </w:rPr>
              <w:t xml:space="preserve">3.  </w:t>
            </w:r>
            <w:r>
              <w:rPr>
                <w:rFonts w:ascii="Arial" w:cs="Arial" w:eastAsia="Arial" w:hAnsi="Arial"/>
                <w:sz w:val="18"/>
                <w:szCs w:val="18"/>
              </w:rPr>
              <w:t xml:space="preserve">Are emergency changes documented (even retrospectively within 24 hours)?</w:t>
            </w:r>
          </w:p>
          <w:p>
            <w:pPr>
              <w:spacing w:after="30" w:before="30"/>
            </w:pPr>
            <w:r>
              <w:rPr>
                <w:rFonts w:ascii="Arial" w:cs="Arial" w:eastAsia="Arial" w:hAnsi="Arial"/>
                <w:b/>
                <w:bCs/>
                <w:color w:val="1F3864"/>
                <w:sz w:val="18"/>
                <w:szCs w:val="18"/>
              </w:rPr>
              <w:t xml:space="preserve">4.  </w:t>
            </w:r>
            <w:r>
              <w:rPr>
                <w:rFonts w:ascii="Arial" w:cs="Arial" w:eastAsia="Arial" w:hAnsi="Arial"/>
                <w:sz w:val="18"/>
                <w:szCs w:val="18"/>
              </w:rPr>
              <w:t xml:space="preserve">Are client environment changes made with client consent recorded?</w:t>
            </w:r>
          </w:p>
        </w:tc>
      </w:tr>
      <w:tr>
        <w:tc>
          <w:tcPr>
            <w:tcW w:type="dxa" w:w="2200"/>
            <w:gridSpan w:val="1"/>
            <w:tcBorders>
              <w:top w:val="single" w:color="CCCCCC" w:sz="1"/>
              <w:left w:val="single" w:color="CCCCCC" w:sz="1"/>
              <w:bottom w:val="single" w:color="CCCCCC" w:sz="1"/>
              <w:right w:val="single" w:color="CCCCCC" w:sz="1"/>
            </w:tcBorders>
            <w:shd w:fill="C55A11"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Evidence to request</w:t>
            </w:r>
          </w:p>
        </w:tc>
        <w:tc>
          <w:tcPr>
            <w:tcW w:type="dxa" w:w="7060"/>
            <w:tcBorders>
              <w:top w:val="single" w:color="CCCCCC" w:sz="1"/>
              <w:left w:val="single" w:color="CCCCCC" w:sz="1"/>
              <w:bottom w:val="single" w:color="CCCCCC" w:sz="1"/>
              <w:right w:val="single" w:color="CCCCCC" w:sz="1"/>
            </w:tcBorders>
            <w:tcMar>
              <w:top w:type="dxa" w:w="100"/>
              <w:left w:type="dxa" w:w="130"/>
              <w:bottom w:type="dxa" w:w="100"/>
              <w:right w:type="dxa" w:w="130"/>
            </w:tcMar>
          </w:tcPr>
          <w:p>
            <w:pPr>
              <w:spacing w:after="25" w:before="0"/>
            </w:pPr>
            <w:r>
              <w:rPr>
                <w:rFonts w:ascii="Arial" w:cs="Arial" w:eastAsia="Arial" w:hAnsi="Arial"/>
                <w:b/>
                <w:bCs/>
                <w:color w:val="ED7D31"/>
                <w:sz w:val="18"/>
                <w:szCs w:val="18"/>
              </w:rPr>
              <w:t xml:space="preserve">•  </w:t>
            </w:r>
            <w:r>
              <w:rPr>
                <w:rFonts w:ascii="Arial" w:cs="Arial" w:eastAsia="Arial" w:hAnsi="Arial"/>
                <w:sz w:val="18"/>
                <w:szCs w:val="18"/>
              </w:rPr>
              <w:t xml:space="preserve">ISMS-CHG-001 — change management procedure</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Change log — sample 3–5 recent entries across different change types (Standard, Normal, Emergency)</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emergency change retrospective documentation</w:t>
            </w:r>
          </w:p>
          <w:p>
            <w:pPr>
              <w:spacing w:after="25" w:before="25"/>
            </w:pPr>
            <w:r>
              <w:rPr>
                <w:rFonts w:ascii="Arial" w:cs="Arial" w:eastAsia="Arial" w:hAnsi="Arial"/>
                <w:b/>
                <w:bCs/>
                <w:color w:val="ED7D31"/>
                <w:sz w:val="18"/>
                <w:szCs w:val="18"/>
              </w:rPr>
              <w:t xml:space="preserve">•  </w:t>
            </w:r>
            <w:r>
              <w:rPr>
                <w:rFonts w:ascii="Arial" w:cs="Arial" w:eastAsia="Arial" w:hAnsi="Arial"/>
                <w:sz w:val="18"/>
                <w:szCs w:val="18"/>
              </w:rPr>
              <w:t xml:space="preserve">Evidence of client consent for client environment changes</w:t>
            </w:r>
          </w:p>
        </w:tc>
      </w:tr>
      <w:tr>
        <w:tc>
          <w:tcPr>
            <w:tcW w:type="dxa" w:w="2200"/>
            <w:gridSpan w:val="1"/>
            <w:tcBorders>
              <w:top w:val="single" w:color="CCCCCC" w:sz="1"/>
              <w:left w:val="single" w:color="CCCCCC" w:sz="1"/>
              <w:bottom w:val="single" w:color="CCCCCC" w:sz="1"/>
              <w:right w:val="single" w:color="CCCCCC" w:sz="1"/>
            </w:tcBorders>
            <w:shd w:fill="375623"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Guidance for auditees</w:t>
            </w:r>
          </w:p>
        </w:tc>
        <w:tc>
          <w:tcPr>
            <w:tcW w:type="dxa" w:w="7060"/>
            <w:gridSpan w:val="1"/>
            <w:tcBorders>
              <w:top w:val="single" w:color="CCCCCC" w:sz="1"/>
              <w:left w:val="single" w:color="CCCCCC" w:sz="1"/>
              <w:bottom w:val="single" w:color="CCCCCC" w:sz="1"/>
              <w:right w:val="single" w:color="CCCCCC" w:sz="1"/>
            </w:tcBorders>
            <w:shd w:fill="F0F7EE" w:val="clear"/>
            <w:tcMar>
              <w:top w:type="dxa" w:w="80"/>
              <w:left w:type="dxa" w:w="130"/>
              <w:bottom w:type="dxa" w:w="80"/>
              <w:right w:type="dxa" w:w="130"/>
            </w:tcMar>
            <w:vAlign w:val="top"/>
          </w:tcPr>
          <w:p>
            <w:pPr>
              <w:jc w:val="left"/>
            </w:pPr>
            <w:r>
              <w:rPr>
                <w:rFonts w:ascii="Arial" w:cs="Arial" w:eastAsia="Arial" w:hAnsi="Arial"/>
                <w:b w:val="false"/>
                <w:bCs w:val="false"/>
                <w:color w:val="1A3A1A"/>
                <w:sz w:val="17"/>
                <w:szCs w:val="17"/>
              </w:rPr>
              <w:t xml:space="preserve">The change log is the primary evidence for this control. Every significant change to the Microsoft environment — new Conditional Access policy, new Sentinel analytic rule, Intune configuration profile change — should appear as a Normal or Standard change. If the log is sparse, consider whether there have genuinely been very few changes, or whether changes are being made outside the process.</w:t>
            </w:r>
          </w:p>
        </w:tc>
      </w:tr>
      <w:tr>
        <w:tc>
          <w:tcPr>
            <w:tcW w:type="dxa" w:w="2200"/>
            <w:gridSpan w:val="1"/>
            <w:tcBorders>
              <w:top w:val="single" w:color="CCCCCC" w:sz="1"/>
              <w:left w:val="single" w:color="CCCCCC" w:sz="1"/>
              <w:bottom w:val="single" w:color="CCCCCC" w:sz="1"/>
              <w:right w:val="single" w:color="CCCCCC" w:sz="1"/>
            </w:tcBorders>
            <w:shd w:fill="C00000" w:val="clear"/>
            <w:tcMar>
              <w:top w:type="dxa" w:w="80"/>
              <w:left w:type="dxa" w:w="130"/>
              <w:bottom w:type="dxa" w:w="80"/>
              <w:right w:type="dxa" w:w="130"/>
            </w:tcMar>
            <w:vAlign w:val="top"/>
          </w:tcPr>
          <w:p>
            <w:pPr>
              <w:jc w:val="left"/>
            </w:pPr>
            <w:r>
              <w:rPr>
                <w:rFonts w:ascii="Arial" w:cs="Arial" w:eastAsia="Arial" w:hAnsi="Arial"/>
                <w:b/>
                <w:bCs/>
                <w:color w:val="FFFFFF"/>
                <w:sz w:val="16"/>
                <w:szCs w:val="16"/>
              </w:rPr>
              <w:t xml:space="preserve">Common findings</w:t>
            </w:r>
          </w:p>
        </w:tc>
        <w:tc>
          <w:tcPr>
            <w:tcW w:type="dxa" w:w="7060"/>
            <w:gridSpan w:val="1"/>
            <w:tcBorders>
              <w:top w:val="single" w:color="CCCCCC" w:sz="1"/>
              <w:left w:val="single" w:color="CCCCCC" w:sz="1"/>
              <w:bottom w:val="single" w:color="CCCCCC" w:sz="1"/>
              <w:right w:val="single" w:color="CCCCCC" w:sz="1"/>
            </w:tcBorders>
            <w:shd w:fill="FFF5F5" w:val="clear"/>
            <w:tcMar>
              <w:top w:type="dxa" w:w="80"/>
              <w:left w:type="dxa" w:w="130"/>
              <w:bottom w:type="dxa" w:w="80"/>
              <w:right w:type="dxa" w:w="130"/>
            </w:tcMar>
            <w:vAlign w:val="top"/>
          </w:tcPr>
          <w:p>
            <w:pPr>
              <w:jc w:val="left"/>
            </w:pPr>
            <w:r>
              <w:rPr>
                <w:rFonts w:ascii="Arial" w:cs="Arial" w:eastAsia="Arial" w:hAnsi="Arial"/>
                <w:b w:val="false"/>
                <w:bCs w:val="false"/>
                <w:color w:val="C00000"/>
                <w:sz w:val="17"/>
                <w:szCs w:val="17"/>
              </w:rPr>
              <w:t xml:space="preserve">OFI: Standard change pre-approval list not yet formalised — the procedure exists but the list of pre-approved standard changes (routine patching, standard provisioning) has not been documented in writing. This would reduce friction for routine operations while maintaining control for non-standard changes.</w:t>
            </w:r>
          </w:p>
        </w:tc>
      </w:tr>
    </w:tbl>
    <w:p>
      <w:pPr>
        <w:spacing w:after="60" w:before="160"/>
      </w:pPr>
    </w:p>
    <w:p>
      <w:pPr>
        <w:spacing w:after="20" w:before="80"/>
        <w:jc w:val="center"/>
      </w:pPr>
      <w:r>
        <w:rPr>
          <w:rFonts w:ascii="Arial" w:cs="Arial" w:eastAsia="Arial" w:hAnsi="Arial"/>
          <w:b/>
          <w:bCs/>
          <w:color w:val="1F3864"/>
          <w:sz w:val="18"/>
          <w:szCs w:val="18"/>
        </w:rPr>
        <w:t xml:space="preserve">END OF ISMS INTERNAL AUDIT GUIDE — AUD-2026-001</w:t>
      </w:r>
    </w:p>
    <w:p>
      <w:pPr>
        <w:spacing w:after="0" w:before="0"/>
        <w:jc w:val="center"/>
      </w:pPr>
      <w:r>
        <w:rPr>
          <w:rFonts w:ascii="Arial" w:cs="Arial" w:eastAsia="Arial" w:hAnsi="Arial"/>
          <w:color w:val="AAAAAA"/>
          <w:sz w:val="15"/>
          <w:szCs w:val="15"/>
        </w:rPr>
        <w:t xml:space="preserve">Part A: Clauses 4–10  |  Part B: Annex A Themes 5–8  |  INTERNAL  |  02 April 2026</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ISMS Internal Audit Guide</w:t>
    </w:r>
    <w:r>
      <w:rPr>
        <w:rFonts w:ascii="Arial" w:cs="Arial" w:eastAsia="Arial" w:hAnsi="Arial"/>
        <w:color w:val="888888"/>
        <w:sz w:val="15"/>
        <w:szCs w:val="15"/>
      </w:rPr>
      <w:t xml:space="preserve">	AUD-2026-001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4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2026-04-03T12:06:11.831Z</dcterms:created>
  <dcterms:modified xsi:type="dcterms:W3CDTF">2026-04-03T12:06:11.832Z</dcterms:modified>
</cp:coreProperties>
</file>

<file path=docProps/custom.xml><?xml version="1.0" encoding="utf-8"?>
<Properties xmlns="http://schemas.openxmlformats.org/officeDocument/2006/custom-properties" xmlns:vt="http://schemas.openxmlformats.org/officeDocument/2006/docPropsVTypes"/>
</file>