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pBdr>
          <w:bottom w:val="single" w:color="2E75B6" w:sz="18" w:space="4"/>
        </w:pBdr>
        <w:spacing w:after="200" w:before="0"/>
        <w:jc w:val="center"/>
      </w:pPr>
      <w:r>
        <w:rPr>
          <w:rFonts w:ascii="Arial" w:cs="Arial" w:eastAsia="Arial" w:hAnsi="Arial"/>
          <w:b/>
          <w:bCs/>
          <w:color w:val="1F3864"/>
          <w:sz w:val="44"/>
          <w:szCs w:val="44"/>
        </w:rPr>
        <w:t xml:space="preserve">APEX CERTIFICATION SERVICES LTD</w:t>
      </w:r>
    </w:p>
    <w:p>
      <w:pPr>
        <w:spacing w:after="100" w:before="200"/>
        <w:jc w:val="center"/>
      </w:pPr>
      <w:r>
        <w:rPr>
          <w:rFonts w:ascii="Arial" w:cs="Arial" w:eastAsia="Arial" w:hAnsi="Arial"/>
          <w:color w:val="404040"/>
          <w:sz w:val="26"/>
          <w:szCs w:val="26"/>
        </w:rPr>
        <w:t xml:space="preserve">ISO/IEC 27001:2022 Certification Audit</w:t>
      </w:r>
    </w:p>
    <w:p>
      <w:pPr>
        <w:spacing w:after="60" w:before="0"/>
        <w:jc w:val="center"/>
      </w:pPr>
      <w:r>
        <w:rPr>
          <w:rFonts w:ascii="Arial" w:cs="Arial" w:eastAsia="Arial" w:hAnsi="Arial"/>
          <w:b/>
          <w:bCs/>
          <w:color w:val="2E75B6"/>
          <w:sz w:val="40"/>
          <w:szCs w:val="40"/>
        </w:rPr>
        <w:t xml:space="preserve">Stage 1 Audit Report</w:t>
      </w:r>
    </w:p>
    <w:p>
      <w:pPr>
        <w:spacing w:after="300" w:before="0"/>
        <w:jc w:val="center"/>
      </w:pPr>
      <w:r>
        <w:rPr>
          <w:rFonts w:ascii="Arial" w:cs="Arial" w:eastAsia="Arial" w:hAnsi="Arial"/>
          <w:color w:val="404040"/>
          <w:sz w:val="24"/>
          <w:szCs w:val="24"/>
        </w:rPr>
        <w:t xml:space="preserve">Document Review and Readiness Assessment</w:t>
      </w:r>
    </w:p>
    <w:p>
      <w:pPr>
        <w:spacing w:after="300" w:before="0"/>
        <w:jc w:val="center"/>
      </w:pPr>
      <w:r>
        <w:rPr>
          <w:rFonts w:ascii="Arial" w:cs="Arial" w:eastAsia="Arial" w:hAnsi="Arial"/>
          <w:b/>
          <w:bCs/>
          <w:color w:val="404040"/>
          <w:sz w:val="22"/>
          <w:szCs w:val="22"/>
        </w:rPr>
        <w:t xml:space="preserve">Audit Report — CB-2026-AMS-S1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Organisation</w:t>
            </w:r>
          </w:p>
        </w:tc>
        <w:tc>
          <w:tcPr>
            <w:tcW w:type="dxa" w:w="6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Apex Managed Services Ltd</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Certification Body</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Apex Certification Services Ltd</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Standard</w:t>
            </w:r>
          </w:p>
        </w:tc>
        <w:tc>
          <w:tcPr>
            <w:tcW w:type="dxa" w:w="6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bCs/>
                <w:color w:val="000000"/>
                <w:sz w:val="19"/>
                <w:szCs w:val="19"/>
              </w:rPr>
              <w:t xml:space="preserve">ISO/IEC 27001:2022</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Audit Date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14 June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Lead Auditor</w:t>
            </w:r>
          </w:p>
        </w:tc>
        <w:tc>
          <w:tcPr>
            <w:tcW w:type="dxa" w:w="6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Sarah Chen — ISO 27001:2022 Lead Auditor (IRCA Certified, Reg. A1234567)</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Scope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Provision of IT managed services, cyber security advisory, and infrastructure support; delivered by all personnel operating from remote UK-based environments; utilising Microsoft Azure, M365, Defender, Sentinel, and Entra ID. Full scope per ISMS-SCO-001.</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Report Classification</w:t>
            </w:r>
          </w:p>
        </w:tc>
        <w:tc>
          <w:tcPr>
            <w:tcW w:type="dxa" w:w="6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CONFIDENTIAL — Restricted to Apex Managed Services Ltd management and certification body</w:t>
            </w:r>
          </w:p>
        </w:tc>
      </w:tr>
    </w:tbl>
    <w:p>
      <w:r>
        <w:br w:type="page"/>
      </w:r>
    </w:p>
    <w:p>
      <w:pPr>
        <w:pStyle w:val="Heading1"/>
        <w:pBdr>
          <w:bottom w:val="single" w:color="2E75B6" w:sz="8" w:space="4"/>
        </w:pBdr>
        <w:spacing w:after="100" w:before="300"/>
      </w:pPr>
      <w:r>
        <w:rPr>
          <w:rFonts w:ascii="Arial" w:cs="Arial" w:eastAsia="Arial" w:hAnsi="Arial"/>
          <w:b/>
          <w:bCs/>
          <w:color w:val="1F3864"/>
          <w:sz w:val="30"/>
          <w:szCs w:val="30"/>
        </w:rPr>
        <w:t xml:space="preserve">1.  Executive Summary</w:t>
      </w:r>
    </w:p>
    <w:p>
      <w:pPr>
        <w:spacing w:after="70" w:before="70"/>
        <w:jc w:val="left"/>
      </w:pPr>
      <w:r>
        <w:rPr>
          <w:rFonts w:ascii="Arial" w:cs="Arial" w:eastAsia="Arial" w:hAnsi="Arial"/>
          <w:b w:val="false"/>
          <w:bCs w:val="false"/>
          <w:color w:val="000000"/>
          <w:sz w:val="20"/>
          <w:szCs w:val="20"/>
        </w:rPr>
        <w:t xml:space="preserve">This report presents the findings of the Stage 1 (document review) audit of the Information Security Management System (ISMS) of Apex Managed Services Ltd, conducted on 14 June 2026 by Apex Certification Services Ltd. The audit was conducted by Sarah Chen against the requirements of ISO/IEC 27001:2022.</w:t>
      </w:r>
    </w:p>
    <w:p>
      <w:pPr>
        <w:spacing w:after="60" w:before="60"/>
      </w:pPr>
    </w:p>
    <w:p>
      <w:pPr>
        <w:spacing w:after="70" w:before="70"/>
        <w:jc w:val="left"/>
      </w:pPr>
      <w:r>
        <w:rPr>
          <w:rFonts w:ascii="Arial" w:cs="Arial" w:eastAsia="Arial" w:hAnsi="Arial"/>
          <w:b w:val="false"/>
          <w:bCs w:val="false"/>
          <w:color w:val="000000"/>
          <w:sz w:val="20"/>
          <w:szCs w:val="20"/>
        </w:rPr>
        <w:t xml:space="preserve">The purpose of the Stage 1 audit is to review the organisation's documented ISMS to determine whether it is sufficiently developed to proceed to Stage 2 fieldwork assessment. The Stage 1 audit is a desk-based review: it does not test operational effectiveness, only the completeness and coherence of the documented ISMS.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8"/>
              <w:left w:val="single" w:color="2E75B6" w:sz="8"/>
              <w:bottom w:val="single" w:color="2E75B6" w:sz="8"/>
              <w:right w:val="single" w:color="2E75B6" w:sz="8"/>
            </w:tcBorders>
            <w:shd w:fill="70AD47" w:val="clear"/>
            <w:tcMar>
              <w:top w:type="dxa" w:w="140"/>
              <w:left w:type="dxa" w:w="240"/>
              <w:bottom w:type="dxa" w:w="140"/>
              <w:right w:type="dxa" w:w="240"/>
            </w:tcMar>
          </w:tcPr>
          <w:p>
            <w:pPr>
              <w:spacing w:after="60" w:before="0"/>
              <w:jc w:val="center"/>
            </w:pPr>
            <w:r>
              <w:rPr>
                <w:rFonts w:ascii="Arial" w:cs="Arial" w:eastAsia="Arial" w:hAnsi="Arial"/>
                <w:b/>
                <w:bCs/>
                <w:color w:val="FFFFFF"/>
                <w:sz w:val="22"/>
                <w:szCs w:val="22"/>
              </w:rPr>
              <w:t xml:space="preserve">OVERALL STAGE 1 CONCLUSION</w:t>
            </w:r>
          </w:p>
          <w:p>
            <w:pPr>
              <w:spacing w:after="0" w:before="0"/>
              <w:jc w:val="center"/>
            </w:pPr>
            <w:r>
              <w:rPr>
                <w:rFonts w:ascii="Arial" w:cs="Arial" w:eastAsia="Arial" w:hAnsi="Arial"/>
                <w:b/>
                <w:bCs/>
                <w:color w:val="FFFFFF"/>
                <w:sz w:val="18"/>
                <w:szCs w:val="18"/>
              </w:rPr>
              <w:t xml:space="preserve">PROCEED TO STAGE 2 — with three items requiring resolution before fieldwork</w:t>
            </w:r>
          </w:p>
        </w:tc>
      </w:tr>
    </w:tbl>
    <w:p>
      <w:pPr>
        <w:spacing w:after="60" w:before="60"/>
      </w:pPr>
    </w:p>
    <w:p>
      <w:pPr>
        <w:spacing w:after="70" w:before="70"/>
        <w:jc w:val="left"/>
      </w:pPr>
      <w:r>
        <w:rPr>
          <w:rFonts w:ascii="Arial" w:cs="Arial" w:eastAsia="Arial" w:hAnsi="Arial"/>
          <w:b w:val="false"/>
          <w:bCs w:val="false"/>
          <w:color w:val="000000"/>
          <w:sz w:val="20"/>
          <w:szCs w:val="20"/>
        </w:rPr>
        <w:t xml:space="preserve">The ISMS documentation set for Apex Managed Services Ltd is comprehensive, well-structured, and demonstrates a serious and coherent approach to information security management. The 29-document ISMS pack (ISMS-REG-001 v6.0) covers all mandatory ISO 27001:2022 requirements. The Statement of Applicability (ISMS-SoA-001) addresses all 93 Annex A controls, with 87 included and 6 appropriately excluded on the basis of the organisation's remote-first operating model.</w:t>
      </w:r>
    </w:p>
    <w:p>
      <w:pPr>
        <w:spacing w:after="60" w:before="60"/>
      </w:pPr>
    </w:p>
    <w:p>
      <w:pPr>
        <w:spacing w:after="70" w:before="70"/>
        <w:jc w:val="left"/>
      </w:pPr>
      <w:r>
        <w:rPr>
          <w:rFonts w:ascii="Arial" w:cs="Arial" w:eastAsia="Arial" w:hAnsi="Arial"/>
          <w:b w:val="false"/>
          <w:bCs w:val="false"/>
          <w:color w:val="000000"/>
          <w:sz w:val="20"/>
          <w:szCs w:val="20"/>
        </w:rPr>
        <w:t xml:space="preserve">The Stage 1 review identified three Clarification Points (CPs) that must be resolved before Stage 2 fieldwork can proceed, two Observations (OBS) that will be followed up at Stage 2, and four Opportunities for Improvement (OFIs) that are not mandatory but are recommended. There are no Stage 1 Major Nonconformities that would prevent progression to Stage 2.</w:t>
      </w:r>
    </w:p>
    <w:p>
      <w:pPr>
        <w:spacing w:after="80" w:before="80"/>
      </w:pPr>
    </w:p>
    <w:p>
      <w:pPr>
        <w:pStyle w:val="Heading1"/>
        <w:pBdr>
          <w:bottom w:val="single" w:color="2E75B6" w:sz="8" w:space="4"/>
        </w:pBdr>
        <w:spacing w:after="100" w:before="300"/>
      </w:pPr>
      <w:r>
        <w:rPr>
          <w:rFonts w:ascii="Arial" w:cs="Arial" w:eastAsia="Arial" w:hAnsi="Arial"/>
          <w:b/>
          <w:bCs/>
          <w:color w:val="1F3864"/>
          <w:sz w:val="30"/>
          <w:szCs w:val="30"/>
        </w:rPr>
        <w:t xml:space="preserve">2.  Scope Review</w:t>
      </w:r>
    </w:p>
    <w:p>
      <w:pPr>
        <w:spacing w:after="70" w:before="70"/>
        <w:jc w:val="left"/>
      </w:pPr>
      <w:r>
        <w:rPr>
          <w:rFonts w:ascii="Arial" w:cs="Arial" w:eastAsia="Arial" w:hAnsi="Arial"/>
          <w:b w:val="false"/>
          <w:bCs w:val="false"/>
          <w:color w:val="000000"/>
          <w:sz w:val="20"/>
          <w:szCs w:val="20"/>
        </w:rPr>
        <w:t xml:space="preserve">The ISMS scope is documented in ISMS-SCO-001 v1.0 (02 April 2026). The scope statement is clear, specific, and appropriate to the organisation's operating context. It covers:</w:t>
      </w:r>
    </w:p>
    <w:p>
      <w:pPr>
        <w:spacing w:after="40" w:before="40"/>
      </w:pPr>
    </w:p>
    <w:p>
      <w:pPr>
        <w:pStyle w:val="ListParagraph"/>
        <w:numPr>
          <w:ilvl w:val="0"/>
          <w:numId w:val="2"/>
        </w:numPr>
        <w:spacing w:after="40" w:before="40"/>
      </w:pPr>
      <w:r>
        <w:rPr>
          <w:rFonts w:ascii="Arial" w:cs="Arial" w:eastAsia="Arial" w:hAnsi="Arial"/>
          <w:sz w:val="19"/>
          <w:szCs w:val="19"/>
        </w:rPr>
        <w:t xml:space="preserve">Service delivery: IT managed services, cyber security advisory, and infrastructure support to UK and EU clients.</w:t>
      </w:r>
    </w:p>
    <w:p>
      <w:pPr>
        <w:pStyle w:val="ListParagraph"/>
        <w:numPr>
          <w:ilvl w:val="0"/>
          <w:numId w:val="2"/>
        </w:numPr>
        <w:spacing w:after="40" w:before="40"/>
      </w:pPr>
      <w:r>
        <w:rPr>
          <w:rFonts w:ascii="Arial" w:cs="Arial" w:eastAsia="Arial" w:hAnsi="Arial"/>
          <w:sz w:val="19"/>
          <w:szCs w:val="19"/>
        </w:rPr>
        <w:t xml:space="preserve">Personnel: all employees and contractors operating from remote UK-based environments and client sites.</w:t>
      </w:r>
    </w:p>
    <w:p>
      <w:pPr>
        <w:pStyle w:val="ListParagraph"/>
        <w:numPr>
          <w:ilvl w:val="0"/>
          <w:numId w:val="2"/>
        </w:numPr>
        <w:spacing w:after="40" w:before="40"/>
      </w:pPr>
      <w:r>
        <w:rPr>
          <w:rFonts w:ascii="Arial" w:cs="Arial" w:eastAsia="Arial" w:hAnsi="Arial"/>
          <w:sz w:val="19"/>
          <w:szCs w:val="19"/>
        </w:rPr>
        <w:t xml:space="preserve">Technology: Microsoft Azure, Microsoft 365, Defender for Endpoint, Defender for Cloud, Microsoft Sentinel, and Microsoft Entra ID.</w:t>
      </w:r>
    </w:p>
    <w:p>
      <w:pPr>
        <w:spacing w:after="60" w:before="60"/>
      </w:pPr>
    </w:p>
    <w:p>
      <w:pPr>
        <w:spacing w:after="70" w:before="70"/>
        <w:jc w:val="left"/>
      </w:pPr>
      <w:r>
        <w:rPr>
          <w:rFonts w:ascii="Arial" w:cs="Arial" w:eastAsia="Arial" w:hAnsi="Arial"/>
          <w:b w:val="false"/>
          <w:bCs w:val="false"/>
          <w:color w:val="000000"/>
          <w:sz w:val="20"/>
          <w:szCs w:val="20"/>
        </w:rPr>
        <w:t xml:space="preserve">The scope explicitly excludes: client-owned systems not subject to a formal managed service agreement; physical premises and perimeter security (justified by remote-first operating model); and personal devices not enrolled under the organisation's MDM policy. These exclusions are reasonable and consistently referenced throughout the SoA.</w:t>
      </w:r>
    </w:p>
    <w:p>
      <w:pPr>
        <w:spacing w:after="60" w:before="60"/>
      </w:pPr>
    </w:p>
    <w:p>
      <w:pPr>
        <w:spacing w:after="70" w:before="70"/>
        <w:jc w:val="left"/>
      </w:pPr>
      <w:r>
        <w:rPr>
          <w:rFonts w:ascii="Arial" w:cs="Arial" w:eastAsia="Arial" w:hAnsi="Arial"/>
          <w:b w:val="false"/>
          <w:bCs w:val="false"/>
          <w:color w:val="70AD47"/>
          <w:sz w:val="18"/>
          <w:szCs w:val="18"/>
        </w:rPr>
        <w:t xml:space="preserve">The six physical controls excluded from the SoA (A.7.1, A.7.2, A.7.3, A.7.4, A.7.6, A.7.12) are adequately justified by the remote-first operating model. The exclusion justifications are detailed, include a re-inclusion trigger (if the organisation acquires dedicated premises), and are documented in a dedicated Exclusion Justifications sheet in ISMS-SoA-001. The remaining 8 Theme 7 controls are correctly retained in scope.</w:t>
      </w:r>
    </w:p>
    <w:p>
      <w:pPr>
        <w:spacing w:after="80" w:before="80"/>
      </w:pPr>
    </w:p>
    <w:p>
      <w:pPr>
        <w:pStyle w:val="Heading1"/>
        <w:pBdr>
          <w:bottom w:val="single" w:color="2E75B6" w:sz="8" w:space="4"/>
        </w:pBdr>
        <w:spacing w:after="100" w:before="300"/>
      </w:pPr>
      <w:r>
        <w:rPr>
          <w:rFonts w:ascii="Arial" w:cs="Arial" w:eastAsia="Arial" w:hAnsi="Arial"/>
          <w:b/>
          <w:bCs/>
          <w:color w:val="1F3864"/>
          <w:sz w:val="30"/>
          <w:szCs w:val="30"/>
        </w:rPr>
        <w:t xml:space="preserve">3.  Document Review Findings</w:t>
      </w:r>
    </w:p>
    <w:p>
      <w:pPr>
        <w:spacing w:after="70" w:before="70"/>
        <w:jc w:val="left"/>
      </w:pPr>
      <w:r>
        <w:rPr>
          <w:rFonts w:ascii="Arial" w:cs="Arial" w:eastAsia="Arial" w:hAnsi="Arial"/>
          <w:b w:val="false"/>
          <w:bCs w:val="false"/>
          <w:color w:val="000000"/>
          <w:sz w:val="20"/>
          <w:szCs w:val="20"/>
        </w:rPr>
        <w:t xml:space="preserve">The following table summarises the assessment of each mandatory and key supporting ISMS document reviewed during the Stage 1 audit.</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60"/>
        <w:gridCol w:w="120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Document</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ISO 27001:2022 Clause</w:t>
            </w:r>
          </w:p>
        </w:tc>
        <w:tc>
          <w:tcPr>
            <w:tcW w:type="dxa" w:w="466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Auditor Assessment</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Status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ISMS-SCO-001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4.3</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Scope statement is well-defined with explicit inclusions, exclusions, and rationale. Consistent with context document. CB certification scope statement is included. Re-assessment triggers documented.</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ISMS-CTX-001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4.1, 4.2</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Context covers external issues (regulatory, threat landscape, market), internal issues (capability, technology, people), and an interested party register. Context feeds the risk register. Reviewed annually per document control.</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ISMS-LDR-001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5.1, 5.2, 5.3</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Leadership commitment register, RACI matrix, and role assignment register are documented. IS policy is present and MD-signed. MD approval block present on document. NOTE: MD signature block is blank — placeholder names throughout. This is the most significant documentation gap (CP-001).</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CP-001</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ISMS-POL-001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5.2</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IS policy v1.0 contains all required elements: purpose, commitments to requirements and CI, MD approval block. Six policy commitments clearly stated. Policy review process documented. ISMS-POL-001-SUM (public summary) exists as a separate document. MD approval block on both documents is unpopulated — requires real signature before Stage 2.</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CP-001</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ISMS-PLN-001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6.1, 6.2, 6.3</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Risk assessment methodology is well-documented with a 3×3 likelihood/impact matrix and defined risk acceptance criteria. Risk register contains 15 risks (ISK-001 to ISK-015) with owners, scores, and treatment links. ISK-001 (ransomware via privileged credentials) is correctly identified as the highest-rated risk (residual score 10, High). Treatment plan maps controls to risks. SoA framework is coherent. 6 objectives are defined with Clause 6.2(a)–(g) planning fields. Change management procedure is documented. CONFIDENTIAL classification appropriate.</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ISMS-SoA-001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6.1.3</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All 93 Annex A controls assessed. 87 included, 6 excluded. Inclusion reasons provided for all included controls. Detailed narrative exclusion justifications provided for all 6 excluded controls. Implementation status column present: 27 Implemented, 54 Partially Implemented, 6 Planned (A.5.22, A.5.27, A.5.28, A.5.29, A.5.30, A.5.35), 6 N/A. The volume of 'Partially Implemented' controls (54/87 = 62%) is noted — this is appropriate for an initial certification but will be scrutinised at Stage 2. MD risk acceptance signature block for High residual risks is unpopulated (CP-001).</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CP-001, OBS-001</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ISMS-SPT-001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7.1–7.5</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Support document covers resources, competence, awareness, communication, and documented information. Resource register and competence requirements are defined. Awareness programme framework is present. Document management platform (SharePoint) is referenced throughout. Satisfactory for Stage 1.</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ISMS-OPS-001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8.1–8.3</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Operational processes document (OPS-001 to OPS-020+) provides a comprehensive framework. Processes are mapped to ISMS clauses and Annex A controls. The document is well-structured and appropriately detailed for initial certification. Operational evidence of these processes running will be the primary Stage 2 focus.</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ISMS-PEV-001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9.1, 9.2, 9.3</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Performance evaluation document defines 25 KPIs with targets, measurement methods, and owners. Measurement framework is well-designed. Internal audit programme (Clause 9.2) and management review procedure (Clause 9.3) are both separately documented. Satisfactory.</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ISMS-CAR-001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10.2</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Corrective action procedure is documented with 7-step process, root cause analysis methodology, and response timelines. Five CARs seeded (CAR-001 to CAR-005). CAR-004 (ISMS-IRP-001 absent) is closed by the production of ISMS-IRP-001. CAR-005 (training completion KPI breach) references the security awareness platform not yet deployed. CI register (ISMS-CI-001) is also included. Satisfactory.</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ISMS-IAP-001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9.2</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Audit programme is well-documented. AUD-2026-001 is scheduled for 27–28 July 2026 (fieldwork). Auditor competence requirements specified. Independence requirements are stringent (12-month restriction on auditing own work). Audit checklist covers all clauses and Annex A themes. Stage 2 will require evidence that AUD-2026-001 has been executed before or concurrent with CB Stage 2 fieldwork (CP-002).</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CP-002</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ISMS-MR-001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9.3</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Management review procedure is comprehensive, covering all 15 mandatory inputs (MRI-001 to MRI-015) and 6 required outputs (MRO-001 to MRO-006). Review schedule shows MR-2026-Q2 (Full Annual) planned for Apr–May 2026. The minutes template (Part B) is complete. MR-2026-Q2 must be completed and minutes signed before Stage 2 (CP-003). No completed management review minutes exist at Stage 1.</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CP-003</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ISMS-MR-002</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9.1</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KPI metrics report is a well-designed 5-sheet Excel workbook with 25 KPIs, automated RAG, and management summary. Critical gap: zero KPI data has been entered — all monthly columns are blank. No performance measurement data exists at Stage 1. This will be a key Stage 2 focus area (OBS-002).</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OBS-002</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ISMS-IRP-001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A.5.24–A.5.28</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IR plan is comprehensive: 5 playbooks (Ransomware, BEC, Data Breach, Account Takeover, Cloud Misconfiguration), P1–P5 classification, SLA table, PIR template, evidence handling rules. Contact directory (§15) contains placeholder text throughout — [Name], [Mobile number], [ISM personal mobile]. This renders the plan non-operational. Must be populated before Stage 2.</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OFI-001</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ISMS-ACC-001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A.5.15–A.5.18, A.8.2–A.8.5</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Access control policy is detailed and appropriate. 8 Conditional Access policies (CA-001 to CA-008) are documented with scope, conditions, and grant controls. PAM/PIM framework described. Quarterly access review schedule defined. KPI-002 (phishing-resistant MFA) target is 100%. Evidence of implementation will be required at Stage 2.</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ISMS-HR-001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A.6.1–A.6.5</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JML procedure contains actionable checklists (Joiner 14 items, Mover 7 items, Leaver P1/P2/P3). Pre-employment screening requirements are proportionate. 4-hour leaver deprovisioning SLA (KPI-003) is clearly defined. Disciplinary framework references three severity levels. Satisfactory.</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ISMS-VUL-001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A.8.8, A.8.19</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Vulnerability management procedure is technically credible. SLAs (Critical ≤24h, High ≤7d) with KEV escalation rule are well-defined. 8-step workflow, Intune patching cadence, exception management process, and monthly KPI reporting are all documented. Satisfactory.</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ISMS-BCP-001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A.5.29, A.5.30</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BCP/DRP covers 7 critical services with RTO/RPO targets. Key person continuity arrangements documented. 7-step restoration test procedure defined. BCP testing schedule specified. OBJ-006 target date is Q4 2026 — restoration test and tabletop exercise not yet conducted. Will be followed up at Stage 2.</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ISMS-SUP-001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A.5.19–A.5.22</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Supplier security policy is comprehensive with 9-requirement minimum baseline, 4-tier risk methodology, and contractual security schedule. Supplier risk register contains SP-001 to SP-007. Microsoft (SP-001) is the only fully populated entry. SP-002 to SP-005 are marked TBC — providers not yet selected. This gap must be addressed before Stage 2.</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OFI-002</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ISMS-AST-001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A.5.9–A.5.14</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Asset register covers information assets (IA-001 to IA-010), technology assets (TA-001 to TA-010), and software assets (SA-001 to SA-008). Classification scheme (CONFIDENTIAL/INTERNAL/PUBLIC) is well-defined. Device hostnames and serial numbers are placeholders in TA-001 to TA-005. SA-005 to SA-007 are TBC pending platform selection.</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OFI-002</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ISMS-RoPA-001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UK GDPR Art.30</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RoPA is a well-structured 5-sheet workbook. 7 controller processing records (CTR-001 to CTR-007) and 4 processor records (PRC-001 to PRC-004) are documented. Critical gap: all processor record client name fields contain placeholder text ('[Client A — specify name]'). DPA status fields for all processor records show '[Yes / No — complete per client]'. ICO registration number is not populated. This must be resolved before Stage 2.</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OFI-003</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ISMS-DPIA-001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UK GDPR Art.35</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DPIA screening checklist and template are complete and appropriate. ICO mandatory DPIA list is referenced. Part B template covers all Art.35(7) requirements. Completed DPIA log is empty — no DPIAs have been conducted. This is expected at this stage.</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ISMS-TRN-REC</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7.2, 7.3</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Training register is well-structured with 7 sheets. All training completion fields are blank — no training has been recorded. Policy acknowledgement register (Sheet 5) shows four people listed but no acknowledgement dates. This will be scrutinised at Stage 2.</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OBS-002</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ISMS-DIC-001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7.5.2, 7.5.3</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Document control procedure is appropriate. Naming convention, version control, approval workflow, access control by classification, and retention schedule are documented. SharePoint as the document management platform is referenced throughout. Satisfactory.</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2E75B6"/>
                <w:sz w:val="15"/>
                <w:szCs w:val="15"/>
              </w:rPr>
              <w:t xml:space="preserve">ISMS-CHG-001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4"/>
                <w:szCs w:val="14"/>
              </w:rPr>
              <w:t xml:space="preserve">6.3, 8.1</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Change management procedure is well-structured with 3 change types (Standard/Normal/Emergency), 7-step workflow, and 6-row approval authority matrix. Change log template (16 fields) is complete. No change log entries yet exist — operational evidence will be required at Stage 2.</w:t>
            </w:r>
          </w:p>
        </w:tc>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Satisfactory</w:t>
            </w:r>
          </w:p>
        </w:tc>
      </w:tr>
    </w:tbl>
    <w:p>
      <w:pPr>
        <w:spacing w:after="80" w:before="80"/>
      </w:pPr>
    </w:p>
    <w:p>
      <w:pPr>
        <w:pStyle w:val="Heading1"/>
        <w:pBdr>
          <w:bottom w:val="single" w:color="2E75B6" w:sz="8" w:space="4"/>
        </w:pBdr>
        <w:spacing w:after="100" w:before="300"/>
      </w:pPr>
      <w:r>
        <w:rPr>
          <w:rFonts w:ascii="Arial" w:cs="Arial" w:eastAsia="Arial" w:hAnsi="Arial"/>
          <w:b/>
          <w:bCs/>
          <w:color w:val="1F3864"/>
          <w:sz w:val="30"/>
          <w:szCs w:val="30"/>
        </w:rPr>
        <w:t xml:space="preserve">4.  Clarification Points — Must Resolve Before Stage 2</w:t>
      </w:r>
    </w:p>
    <w:p>
      <w:pPr>
        <w:spacing w:after="70" w:before="70"/>
        <w:jc w:val="left"/>
      </w:pPr>
      <w:r>
        <w:rPr>
          <w:rFonts w:ascii="Arial" w:cs="Arial" w:eastAsia="Arial" w:hAnsi="Arial"/>
          <w:b w:val="false"/>
          <w:bCs w:val="false"/>
          <w:color w:val="000000"/>
          <w:sz w:val="20"/>
          <w:szCs w:val="20"/>
        </w:rPr>
        <w:t xml:space="preserve">The following three Clarification Points (CPs) must be resolved before Stage 2 fieldwork can commence. Stage 2 will not be scheduled until the CB has received written confirmation that each CP has been addressed.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gridSpan w:val="2"/>
            <w:tcBorders>
              <w:top w:val="single" w:color="CCCCCC" w:sz="1"/>
              <w:left w:val="single" w:color="CCCCCC" w:sz="1"/>
              <w:bottom w:val="single" w:color="CCCCCC" w:sz="1"/>
              <w:right w:val="single" w:color="CCCCCC" w:sz="1"/>
            </w:tcBorders>
            <w:shd w:fill="C00000" w:val="clear"/>
            <w:tcMar>
              <w:top w:type="dxa" w:w="100"/>
              <w:left w:type="dxa" w:w="160"/>
              <w:bottom w:type="dxa" w:w="100"/>
              <w:right w:type="dxa" w:w="160"/>
            </w:tcMar>
          </w:tcPr>
          <w:p>
            <w:r>
              <w:rPr>
                <w:rFonts w:ascii="Arial" w:cs="Arial" w:eastAsia="Arial" w:hAnsi="Arial"/>
                <w:b/>
                <w:bCs/>
                <w:color w:val="FFFFFF"/>
                <w:sz w:val="20"/>
                <w:szCs w:val="20"/>
              </w:rPr>
              <w:t xml:space="preserve">CP-001  |  Management Signatures — All Approval Blocks Require Real MD Signature</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ISO Clause</w:t>
            </w:r>
          </w:p>
        </w:tc>
        <w:tc>
          <w:tcPr>
            <w:tcW w:type="dxa" w:w="8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5.1, 5.2, 6.1.3 — Leadership and commitment; IS policy; Risk owner acceptance</w:t>
            </w:r>
          </w:p>
        </w:tc>
      </w:tr>
      <w:tr>
        <w:tc>
          <w:tcPr>
            <w:tcW w:type="dxa" w:w="1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Finding</w:t>
            </w:r>
          </w:p>
        </w:tc>
        <w:tc>
          <w:tcPr>
            <w:tcW w:type="dxa" w:w="8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The following documents contain unpopulated MD approval signature blocks: ISMS-POL-001 (Information Security Policy), ISMS-POL-001-SUM (Policy Summary), ISMS-LDR-001 (Leadership), ISMS-SCO-001 (Scope Statement), ISMS-PLN-001 §4.4 (Risk Owner Acceptance for ISK-001 High residual risk), and ISMS-OBJ-001 (Objectives Register). Throughout all documents, named individuals appear as '[Name]' or 'Managing Director — [Name]' rather than the actual name of the Managing Director. While this is expected in a template-based documentation approach, the CB requires confirmed real names and MD signatures on mandatory documents before Stage 2. Additionally, the ISMS-PLN-001 risk register has not been signed off by the MD in the role of risk owner for ISK-001 — the highest-rated risk in the register (residual score 10, High).</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Required Action</w:t>
            </w:r>
          </w:p>
        </w:tc>
        <w:tc>
          <w:tcPr>
            <w:tcW w:type="dxa" w:w="8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1. MD to sign all required approval blocks across the document set.
2. Replace all '[Name]' placeholders with actual named individuals.
3. MD to formally sign the risk acceptance statement in ISMS-PLN-001 §4.4 for ISK-001.
4. Submit updated signed pages to CB before Stage 2 scheduling.</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gridSpan w:val="2"/>
            <w:tcBorders>
              <w:top w:val="single" w:color="CCCCCC" w:sz="1"/>
              <w:left w:val="single" w:color="CCCCCC" w:sz="1"/>
              <w:bottom w:val="single" w:color="CCCCCC" w:sz="1"/>
              <w:right w:val="single" w:color="CCCCCC" w:sz="1"/>
            </w:tcBorders>
            <w:shd w:fill="C00000" w:val="clear"/>
            <w:tcMar>
              <w:top w:type="dxa" w:w="100"/>
              <w:left w:type="dxa" w:w="160"/>
              <w:bottom w:type="dxa" w:w="100"/>
              <w:right w:type="dxa" w:w="160"/>
            </w:tcMar>
          </w:tcPr>
          <w:p>
            <w:r>
              <w:rPr>
                <w:rFonts w:ascii="Arial" w:cs="Arial" w:eastAsia="Arial" w:hAnsi="Arial"/>
                <w:b/>
                <w:bCs/>
                <w:color w:val="FFFFFF"/>
                <w:sz w:val="20"/>
                <w:szCs w:val="20"/>
              </w:rPr>
              <w:t xml:space="preserve">CP-002  |  Internal Audit AUD-2026-001 — Must Be Completed Before Stage 2</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ISO Clause</w:t>
            </w:r>
          </w:p>
        </w:tc>
        <w:tc>
          <w:tcPr>
            <w:tcW w:type="dxa" w:w="8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9.2 — Internal audit</w:t>
            </w:r>
          </w:p>
        </w:tc>
      </w:tr>
      <w:tr>
        <w:tc>
          <w:tcPr>
            <w:tcW w:type="dxa" w:w="1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Finding</w:t>
            </w:r>
          </w:p>
        </w:tc>
        <w:tc>
          <w:tcPr>
            <w:tcW w:type="dxa" w:w="8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ISO/IEC 27001:2022 Clause 9.2 requires the organisation to conduct internal audits at planned intervals before Stage 2 can proceed. At Stage 1, AUD-2026-001 is planned (fieldwork dates: 27–28 July 2026 per ISMS-IAP-001) but has not yet been conducted. No internal audit report, findings log, or auditor independence declaration exists at Stage 1. The Stage 2 assessment will require: (a) a completed internal audit report; (b) a signed auditor independence declaration (ISMS-TRN-REC Sheet 7); (c) evidence that the auditor holds an ISO 27001:2022 Internal Auditor qualification; and (d) evidence that any audit findings have been actioned in ISMS-CAR-001.</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Required Action</w:t>
            </w:r>
          </w:p>
        </w:tc>
        <w:tc>
          <w:tcPr>
            <w:tcW w:type="dxa" w:w="8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Execute AUD-2026-001 (planned 27–28 July 2026). Submit completed audit report, signed independence declaration, and auditor qualification evidence to CB before Stage 2 scheduling. ISM must ensure auditor independence is confirmed — the auditor cannot audit processes they are responsible for.</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gridSpan w:val="2"/>
            <w:tcBorders>
              <w:top w:val="single" w:color="CCCCCC" w:sz="1"/>
              <w:left w:val="single" w:color="CCCCCC" w:sz="1"/>
              <w:bottom w:val="single" w:color="CCCCCC" w:sz="1"/>
              <w:right w:val="single" w:color="CCCCCC" w:sz="1"/>
            </w:tcBorders>
            <w:shd w:fill="C00000" w:val="clear"/>
            <w:tcMar>
              <w:top w:type="dxa" w:w="100"/>
              <w:left w:type="dxa" w:w="160"/>
              <w:bottom w:type="dxa" w:w="100"/>
              <w:right w:type="dxa" w:w="160"/>
            </w:tcMar>
          </w:tcPr>
          <w:p>
            <w:r>
              <w:rPr>
                <w:rFonts w:ascii="Arial" w:cs="Arial" w:eastAsia="Arial" w:hAnsi="Arial"/>
                <w:b/>
                <w:bCs/>
                <w:color w:val="FFFFFF"/>
                <w:sz w:val="20"/>
                <w:szCs w:val="20"/>
              </w:rPr>
              <w:t xml:space="preserve">CP-003  |  Management Review MR-2026-Q2 — Must Be Completed Before Stage 2</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ISO Clause</w:t>
            </w:r>
          </w:p>
        </w:tc>
        <w:tc>
          <w:tcPr>
            <w:tcW w:type="dxa" w:w="8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9.3 — Management review</w:t>
            </w:r>
          </w:p>
        </w:tc>
      </w:tr>
      <w:tr>
        <w:tc>
          <w:tcPr>
            <w:tcW w:type="dxa" w:w="1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Finding</w:t>
            </w:r>
          </w:p>
        </w:tc>
        <w:tc>
          <w:tcPr>
            <w:tcW w:type="dxa" w:w="8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Clause 9.3 requires top management to review the ISMS at planned intervals. The ISMS-MR-001 management review procedure is comprehensive and well-documented, and MR-2026-Q2 is scheduled for Q2 2026 (Apr–May 2026). However, no completed management review has taken place as at Stage 1. The CB requires evidence of at least one completed, MD-signed management review covering all 15 mandatory inputs before Stage 2 assessment.</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Required Action</w:t>
            </w:r>
          </w:p>
        </w:tc>
        <w:tc>
          <w:tcPr>
            <w:tcW w:type="dxa" w:w="8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Complete MR-2026-Q2 using the ISMS-MR-001 Part B minutes template. Ensure: (a) all 15 inputs (MRI-001 to MRI-015) are addressed; (b) MD actively participates and signs the minutes; (c) at least some KPI data is available as MRI-004 input (even a single month of ISMS-MR-002 data is required). Submit signed minutes (ISMS-MR-001-2026) to CB.</w:t>
            </w:r>
          </w:p>
        </w:tc>
      </w:tr>
    </w:tbl>
    <w:p>
      <w:pPr>
        <w:spacing w:after="80" w:before="80"/>
      </w:pPr>
    </w:p>
    <w:p>
      <w:pPr>
        <w:pStyle w:val="Heading1"/>
        <w:pBdr>
          <w:bottom w:val="single" w:color="2E75B6" w:sz="8" w:space="4"/>
        </w:pBdr>
        <w:spacing w:after="100" w:before="300"/>
      </w:pPr>
      <w:r>
        <w:rPr>
          <w:rFonts w:ascii="Arial" w:cs="Arial" w:eastAsia="Arial" w:hAnsi="Arial"/>
          <w:b/>
          <w:bCs/>
          <w:color w:val="1F3864"/>
          <w:sz w:val="30"/>
          <w:szCs w:val="30"/>
        </w:rPr>
        <w:t xml:space="preserve">5.  Observations — Will Be Assessed at Stage 2</w:t>
      </w:r>
    </w:p>
    <w:p>
      <w:pPr>
        <w:spacing w:after="70" w:before="70"/>
        <w:jc w:val="left"/>
      </w:pPr>
      <w:r>
        <w:rPr>
          <w:rFonts w:ascii="Arial" w:cs="Arial" w:eastAsia="Arial" w:hAnsi="Arial"/>
          <w:b w:val="false"/>
          <w:bCs w:val="false"/>
          <w:color w:val="000000"/>
          <w:sz w:val="20"/>
          <w:szCs w:val="20"/>
        </w:rPr>
        <w:t xml:space="preserve">The following observations are not Stage 1 CPs but will be key focus areas at Stage 2 fieldwork. The CB will require evidence of operational compliance at Stage 2.</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gridSpan w:val="2"/>
            <w:tcBorders>
              <w:top w:val="single" w:color="CCCCCC" w:sz="1"/>
              <w:left w:val="single" w:color="CCCCCC" w:sz="1"/>
              <w:bottom w:val="single" w:color="CCCCCC" w:sz="1"/>
              <w:right w:val="single" w:color="CCCCCC" w:sz="1"/>
            </w:tcBorders>
            <w:shd w:fill="ED7D31" w:val="clear"/>
            <w:tcMar>
              <w:top w:type="dxa" w:w="100"/>
              <w:left w:type="dxa" w:w="160"/>
              <w:bottom w:type="dxa" w:w="100"/>
              <w:right w:type="dxa" w:w="160"/>
            </w:tcMar>
          </w:tcPr>
          <w:p>
            <w:r>
              <w:rPr>
                <w:rFonts w:ascii="Arial" w:cs="Arial" w:eastAsia="Arial" w:hAnsi="Arial"/>
                <w:b/>
                <w:bCs/>
                <w:color w:val="FFFFFF"/>
                <w:sz w:val="20"/>
                <w:szCs w:val="20"/>
              </w:rPr>
              <w:t xml:space="preserve">OBS-001  |  SoA Implementation Status — 54 Partially Implemented Controls</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Observation</w:t>
            </w:r>
          </w:p>
        </w:tc>
        <w:tc>
          <w:tcPr>
            <w:tcW w:type="dxa" w:w="8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Of the 87 included controls, 27 are Implemented, 54 are Partially Implemented, 6 are Planned, and 0 are Not Implemented. At initial certification, some Partially Implemented status is expected and acceptable. However, the Stage 2 fieldwork will examine whether the 54 Partially Implemented controls have sufficient operational evidence to demonstrate they are functioning effectively — even if not fully optimised. Controls marked Partially Implemented for which no operational evidence exists (e.g. A.8.15 Logging where Sentinel has no data connectors configured) will be raised as nonconformities at Stage 2. The 6 Planned controls (A.5.22, A.5.27–A.5.30, A.5.35) will be assessed against the documented plan and evidence of progress.</w:t>
            </w:r>
          </w:p>
        </w:tc>
      </w:tr>
      <w:tr>
        <w:tc>
          <w:tcPr>
            <w:tcW w:type="dxa" w:w="1200"/>
            <w:gridSpan w:val="1"/>
            <w:tcBorders>
              <w:top w:val="single" w:color="CCCCCC" w:sz="1"/>
              <w:left w:val="single" w:color="CCCCCC" w:sz="1"/>
              <w:bottom w:val="single" w:color="CCCCCC" w:sz="1"/>
              <w:right w:val="single" w:color="CCCCCC" w:sz="1"/>
            </w:tcBorders>
            <w:shd w:fill="ED7D31"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Stage 2 Focus</w:t>
            </w:r>
          </w:p>
        </w:tc>
        <w:tc>
          <w:tcPr>
            <w:tcW w:type="dxa" w:w="8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HoT to prepare operational evidence for all Partially Implemented technological controls (A.8 series) before Stage 2: Intune device compliance reports, Defender VM findings exports, Conditional Access policy configuration, Sentinel data connector status, Azure Backup success logs.</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c>
          <w:tcPr>
            <w:gridSpan w:val="2"/>
            <w:tcBorders>
              <w:top w:val="single" w:color="CCCCCC" w:sz="1"/>
              <w:left w:val="single" w:color="CCCCCC" w:sz="1"/>
              <w:bottom w:val="single" w:color="CCCCCC" w:sz="1"/>
              <w:right w:val="single" w:color="CCCCCC" w:sz="1"/>
            </w:tcBorders>
            <w:shd w:fill="ED7D31" w:val="clear"/>
            <w:tcMar>
              <w:top w:type="dxa" w:w="100"/>
              <w:left w:type="dxa" w:w="160"/>
              <w:bottom w:type="dxa" w:w="100"/>
              <w:right w:type="dxa" w:w="160"/>
            </w:tcMar>
          </w:tcPr>
          <w:p>
            <w:r>
              <w:rPr>
                <w:rFonts w:ascii="Arial" w:cs="Arial" w:eastAsia="Arial" w:hAnsi="Arial"/>
                <w:b/>
                <w:bCs/>
                <w:color w:val="FFFFFF"/>
                <w:sz w:val="20"/>
                <w:szCs w:val="20"/>
              </w:rPr>
              <w:t xml:space="preserve">OBS-002  |  No Operational Performance Data — KPI-MR-002 and ISMS-TRN-REC Blank</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Observation</w:t>
            </w:r>
          </w:p>
        </w:tc>
        <w:tc>
          <w:tcPr>
            <w:tcW w:type="dxa" w:w="8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ISMS-MR-002 (KPI Metrics Report) contains zero data — all 25 KPI monthly columns are empty. ISMS-TRN-REC (Training Register) shows four personnel listed as Active but no training completion dates, no phishing simulation results, and no policy acknowledgement dates. The measurement and awareness frameworks are well-designed but have not been activated. Clause 9.1 requires that IS performance is monitored and measured — blank KPI records directly contradict this requirement.</w:t>
            </w:r>
          </w:p>
        </w:tc>
      </w:tr>
      <w:tr>
        <w:tc>
          <w:tcPr>
            <w:tcW w:type="dxa" w:w="1200"/>
            <w:gridSpan w:val="1"/>
            <w:tcBorders>
              <w:top w:val="single" w:color="CCCCCC" w:sz="1"/>
              <w:left w:val="single" w:color="CCCCCC" w:sz="1"/>
              <w:bottom w:val="single" w:color="CCCCCC" w:sz="1"/>
              <w:right w:val="single" w:color="CCCCCC" w:sz="1"/>
            </w:tcBorders>
            <w:shd w:fill="ED7D31"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Stage 2 Focus</w:t>
            </w:r>
          </w:p>
        </w:tc>
        <w:tc>
          <w:tcPr>
            <w:tcW w:type="dxa" w:w="8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The CB expects to see a minimum of 2–3 months of KPI data in ISMS-MR-002 at Stage 2. Training completion records and at least one phishing simulation result should be present in ISMS-TRN-REC. Policy acknowledgements for all current personnel must be in Sheet 5. These are not optional — absence will result in a Clause 9.1 / A.6.3 nonconformity at Stage 2.</w:t>
            </w:r>
          </w:p>
        </w:tc>
      </w:tr>
    </w:tbl>
    <w:p>
      <w:pPr>
        <w:spacing w:after="80" w:before="80"/>
      </w:pPr>
    </w:p>
    <w:p>
      <w:pPr>
        <w:pStyle w:val="Heading1"/>
        <w:pBdr>
          <w:bottom w:val="single" w:color="2E75B6" w:sz="8" w:space="4"/>
        </w:pBdr>
        <w:spacing w:after="100" w:before="300"/>
      </w:pPr>
      <w:r>
        <w:rPr>
          <w:rFonts w:ascii="Arial" w:cs="Arial" w:eastAsia="Arial" w:hAnsi="Arial"/>
          <w:b/>
          <w:bCs/>
          <w:color w:val="1F3864"/>
          <w:sz w:val="30"/>
          <w:szCs w:val="30"/>
        </w:rPr>
        <w:t xml:space="preserve">6.  Opportunities for Improvement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8460"/>
      </w:tblGrid>
      <w:tr>
        <w:trPr>
          <w:tblHeader/>
        </w:trPr>
        <w:tc>
          <w:tcPr>
            <w:tcW w:type="dxa" w:w="800"/>
            <w:gridSpan w:val="1"/>
            <w:tcBorders>
              <w:top w:val="single" w:color="CCCCCC" w:sz="1"/>
              <w:left w:val="single" w:color="CCCCCC" w:sz="1"/>
              <w:bottom w:val="single" w:color="CCCCCC" w:sz="1"/>
              <w:right w:val="single" w:color="CCCCCC" w:sz="1"/>
            </w:tcBorders>
            <w:shd w:fill="1F7D8C"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Ref</w:t>
            </w:r>
          </w:p>
        </w:tc>
        <w:tc>
          <w:tcPr>
            <w:tcW w:type="dxa" w:w="8460"/>
            <w:gridSpan w:val="1"/>
            <w:tcBorders>
              <w:top w:val="single" w:color="CCCCCC" w:sz="1"/>
              <w:left w:val="single" w:color="CCCCCC" w:sz="1"/>
              <w:bottom w:val="single" w:color="CCCCCC" w:sz="1"/>
              <w:right w:val="single" w:color="CCCCCC" w:sz="1"/>
            </w:tcBorders>
            <w:shd w:fill="1F7D8C"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Opportunity for Improvement</w:t>
            </w:r>
          </w:p>
        </w:tc>
      </w:tr>
      <w:tr>
        <w:tc>
          <w:tcPr>
            <w:tcW w:type="dxa" w:w="8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OFI-001</w:t>
            </w:r>
          </w:p>
        </w:tc>
        <w:tc>
          <w:tcPr>
            <w:tcW w:type="dxa" w:w="8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ISMS-IRP-001 §15 Contact Directory: All contact fields contain placeholder text ('[Name]', '[Mobile number]', '[ISM personal mobile]', '[Provider TBC]'). A contact directory with placeholders is non-operational — the plan cannot be executed in a P1 incident. Recommend populating all fields with real contact details before Stage 2. This is not mandatory for Stage 1 passage but will be noted as an MNC risk at Stage 2 if still blank.</w:t>
            </w:r>
          </w:p>
        </w:tc>
      </w:tr>
      <w:tr>
        <w:tc>
          <w:tcPr>
            <w:tcW w:type="dxa" w:w="8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OFI-002</w:t>
            </w:r>
          </w:p>
        </w:tc>
        <w:tc>
          <w:tcPr>
            <w:tcW w:type="dxa" w:w="8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ISMS-SUP-001 and ISMS-AST-001: SP-002 to SP-005 (IR Retainer, Backup Platform, RMM Tool, Awareness Platform) are listed as TBC. SA-005 to SA-007 in ISMS-AST-001 are also TBC. These platforms are operationally necessary for OBJ-004 (awareness) and OBJ-005 (vulnerability management). Recommend confirming providers before Stage 2 and updating both documents. DPAs with each provider must be executed before any client personal data is processed through them.</w:t>
            </w:r>
          </w:p>
        </w:tc>
      </w:tr>
      <w:tr>
        <w:tc>
          <w:tcPr>
            <w:tcW w:type="dxa" w:w="8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OFI-003</w:t>
            </w:r>
          </w:p>
        </w:tc>
        <w:tc>
          <w:tcPr>
            <w:tcW w:type="dxa" w:w="84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ISMS-RoPA-001: ICO registration number is not populated on the Cover sheet. Processor records (PRC-001 to PRC-004) contain placeholder client names and DPA status fields. While this is expected in a template at this stage, the ICO can request the RoPA at any time — an incomplete RoPA is a UK GDPR Art.30 compliance risk independent of ISO 27001. Recommend completing the RoPA as a priority.</w:t>
            </w:r>
          </w:p>
        </w:tc>
      </w:tr>
      <w:tr>
        <w:tc>
          <w:tcPr>
            <w:tcW w:type="dxa" w:w="8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OFI-004</w:t>
            </w:r>
          </w:p>
        </w:tc>
        <w:tc>
          <w:tcPr>
            <w:tcW w:type="dxa" w:w="84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Version History and TOC: Several documents include a note 'Update this page manually or use Word's built-in TOC feature after opening' — suggesting TOC fields have not been updated. While this does not affect substantive content, it is good document management practice to ensure all tables of contents reflect actual document structure. Recommend updating before Stage 2.</w:t>
            </w:r>
          </w:p>
        </w:tc>
      </w:tr>
    </w:tbl>
    <w:p>
      <w:pPr>
        <w:spacing w:after="80" w:before="80"/>
      </w:pPr>
    </w:p>
    <w:p>
      <w:pPr>
        <w:pStyle w:val="Heading1"/>
        <w:pBdr>
          <w:bottom w:val="single" w:color="2E75B6" w:sz="8" w:space="4"/>
        </w:pBdr>
        <w:spacing w:after="100" w:before="300"/>
      </w:pPr>
      <w:r>
        <w:rPr>
          <w:rFonts w:ascii="Arial" w:cs="Arial" w:eastAsia="Arial" w:hAnsi="Arial"/>
          <w:b/>
          <w:bCs/>
          <w:color w:val="1F3864"/>
          <w:sz w:val="30"/>
          <w:szCs w:val="30"/>
        </w:rPr>
        <w:t xml:space="preserve">7.  Stage 2 Readiness — Actions Required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060"/>
        <w:gridCol w:w="1200"/>
      </w:tblGrid>
      <w:tr>
        <w:trPr>
          <w:tblHeader/>
        </w:trPr>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Priority</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Action</w:t>
            </w:r>
          </w:p>
        </w:tc>
        <w:tc>
          <w:tcPr>
            <w:tcW w:type="dxa" w:w="506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Detail</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Target</w:t>
            </w:r>
          </w:p>
        </w:tc>
      </w:tr>
      <w:tr>
        <w:tc>
          <w:tcPr>
            <w:tcW w:type="dxa" w:w="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1</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CP-001: MD signatures</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Obtain MD signature on all required approval blocks. Replace all [Name] placeholders. MD to sign ISK-001 risk acceptance in ISMS-PLN-001 §4.4.</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May 2026</w:t>
            </w:r>
          </w:p>
        </w:tc>
      </w:tr>
      <w:tr>
        <w:tc>
          <w:tcPr>
            <w:tcW w:type="dxa" w:w="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CP-002: Internal audit AUD-2026-001</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Execute AUD-2026-001 per ISMS-IAP-001. Confirm auditor qualification. Obtain signed independence declaration. Submit audit report to CB.</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Jul 2026</w:t>
            </w:r>
          </w:p>
        </w:tc>
      </w:tr>
      <w:tr>
        <w:tc>
          <w:tcPr>
            <w:tcW w:type="dxa" w:w="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CP-003: Management review MR-2026-Q2</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Complete MR-2026-Q2 with all 15 mandatory inputs. MD to sign minutes. Submit ISMS-MR-001-2026 to CB.</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May 2026</w:t>
            </w:r>
          </w:p>
        </w:tc>
      </w:tr>
      <w:tr>
        <w:tc>
          <w:tcPr>
            <w:tcW w:type="dxa" w:w="6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OBS-002: Activate KPI monitoring</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Begin monthly KPI data entry in ISMS-MR-002. Target: minimum 3 months of data by Stage 2.</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May–Jul 2026</w:t>
            </w:r>
          </w:p>
        </w:tc>
      </w:tr>
      <w:tr>
        <w:tc>
          <w:tcPr>
            <w:tcW w:type="dxa" w:w="6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5</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OBS-002: Complete training records</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Ensure all staff complete mandatory training (TRN-001 to TRN-007). Record in ISMS-TRN-REC. Run first phishing simulation (SIM-001).</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Jun 2026</w:t>
            </w:r>
          </w:p>
        </w:tc>
      </w:tr>
      <w:tr>
        <w:tc>
          <w:tcPr>
            <w:tcW w:type="dxa" w:w="6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OBS-002: Policy acknowledgements</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All current personnel to sign ISMS-POL-001 Annex A. File in ISMS-TRN-REC Sheet 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May 2026</w:t>
            </w:r>
          </w:p>
        </w:tc>
      </w:tr>
      <w:tr>
        <w:tc>
          <w:tcPr>
            <w:tcW w:type="dxa" w:w="6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7</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OFI-001: Populate IRP contact directory</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Replace all placeholders in ISMS-IRP-001 §15 with real contact details, IR retainer hotline, and reference numbers.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May 2026</w:t>
            </w:r>
          </w:p>
        </w:tc>
      </w:tr>
      <w:tr>
        <w:tc>
          <w:tcPr>
            <w:tcW w:type="dxa" w:w="6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8</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OFI-002: Confirm platform providers</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Select and contract IR retainer, backup platform, RMM, and awareness platform. Update ISMS-SUP-001, ISMS-AST-001, ISMS-RoPA-001.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Jun 2026</w:t>
            </w:r>
          </w:p>
        </w:tc>
      </w:tr>
      <w:tr>
        <w:tc>
          <w:tcPr>
            <w:tcW w:type="dxa" w:w="6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9</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OFI-003: Complete RoPA</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Populate ICO registration number, client names in processor records, and DPA status. Submit for DPL approval.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May 2026</w:t>
            </w:r>
          </w:p>
        </w:tc>
      </w:tr>
      <w:tr>
        <w:tc>
          <w:tcPr>
            <w:tcW w:type="dxa" w:w="6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10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Technical evidence preparation</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5"/>
                <w:szCs w:val="15"/>
              </w:rPr>
              <w:t xml:space="preserve">Collect operational evidence: Intune compliance reports, Defender VM data, CA policy exports, Sentinel connector status, backup success logs, access review records.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5"/>
                <w:szCs w:val="15"/>
              </w:rPr>
              <w:t xml:space="preserve">Jul 2026</w:t>
            </w:r>
          </w:p>
        </w:tc>
      </w:tr>
    </w:tbl>
    <w:p>
      <w:pPr>
        <w:spacing w:after="80" w:before="80"/>
      </w:pPr>
    </w:p>
    <w:p>
      <w:pPr>
        <w:pStyle w:val="Heading1"/>
        <w:pBdr>
          <w:bottom w:val="single" w:color="2E75B6" w:sz="8" w:space="4"/>
        </w:pBdr>
        <w:spacing w:after="100" w:before="300"/>
      </w:pPr>
      <w:r>
        <w:rPr>
          <w:rFonts w:ascii="Arial" w:cs="Arial" w:eastAsia="Arial" w:hAnsi="Arial"/>
          <w:b/>
          <w:bCs/>
          <w:color w:val="1F3864"/>
          <w:sz w:val="30"/>
          <w:szCs w:val="30"/>
        </w:rPr>
        <w:t xml:space="preserve">8.  Audit Close</w:t>
      </w:r>
    </w:p>
    <w:p>
      <w:pPr>
        <w:spacing w:after="70" w:before="70"/>
        <w:jc w:val="left"/>
      </w:pPr>
      <w:r>
        <w:rPr>
          <w:rFonts w:ascii="Arial" w:cs="Arial" w:eastAsia="Arial" w:hAnsi="Arial"/>
          <w:b w:val="false"/>
          <w:bCs w:val="false"/>
          <w:color w:val="000000"/>
          <w:sz w:val="20"/>
          <w:szCs w:val="20"/>
        </w:rPr>
        <w:t xml:space="preserve">This Stage 1 report will be reviewed by the Apex Certification Services Ltd technical reviewer prior to Stage 2 scheduling. Stage 2 will not be scheduled until written confirmation is received that CP-001, CP-002, and CP-003 have been resolved.</w:t>
      </w:r>
    </w:p>
    <w:p>
      <w:pPr>
        <w:spacing w:after="60" w:before="60"/>
      </w:pPr>
    </w:p>
    <w:p>
      <w:pPr>
        <w:spacing w:after="70" w:before="70"/>
        <w:jc w:val="left"/>
      </w:pPr>
      <w:r>
        <w:rPr>
          <w:rFonts w:ascii="Arial" w:cs="Arial" w:eastAsia="Arial" w:hAnsi="Arial"/>
          <w:b w:val="false"/>
          <w:bCs w:val="false"/>
          <w:color w:val="70AD47"/>
          <w:sz w:val="20"/>
          <w:szCs w:val="20"/>
        </w:rPr>
        <w:t xml:space="preserve">The CB notes that the ISMS documentation produced by Apex Managed Services Ltd is of a high standard for an organisation undergoing initial certification. The documentation set is comprehensive, internally consistent, technically credible, and demonstrates genuine understanding of the ISO 27001:2022 requirements. The gaps identified are implementation gaps rather than conceptual gaps — the framework is sound and the organisation clearly has the capability to close them within the available timeline.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Lead Auditor</w:t>
            </w:r>
          </w:p>
        </w:tc>
        <w:tc>
          <w:tcPr>
            <w:tcW w:type="dxa" w:w="6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000000"/>
                <w:sz w:val="19"/>
                <w:szCs w:val="19"/>
              </w:rPr>
              <w:t xml:space="preserve">Sarah Chen
ISO 27001:2022 Lead Auditor (IRCA Certified, Reg. A1234567)</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Auditor Signature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9"/>
                <w:szCs w:val="19"/>
              </w:rPr>
              <w:t xml:space="preserve">____________________________________     Date: 14 June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Report Status</w:t>
            </w:r>
          </w:p>
        </w:tc>
        <w:tc>
          <w:tcPr>
            <w:tcW w:type="dxa" w:w="6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bCs/>
                <w:color w:val="ED7D31"/>
                <w:sz w:val="19"/>
                <w:szCs w:val="19"/>
              </w:rPr>
              <w:t xml:space="preserve">ISSUED — Awaiting CP-001/002/003 resolution before Stage 2 scheduling</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CB Technical Reviewer</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9"/>
                <w:szCs w:val="19"/>
              </w:rPr>
              <w:t xml:space="preserve">____________________________________     Date: ____________________</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Organisation Receipt</w:t>
            </w:r>
          </w:p>
        </w:tc>
        <w:tc>
          <w:tcPr>
            <w:tcW w:type="dxa" w:w="6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000000"/>
                <w:sz w:val="19"/>
                <w:szCs w:val="19"/>
              </w:rPr>
              <w:t xml:space="preserve">ISM: ____________________________     MD: ____________________________     Date: ____________________</w:t>
            </w:r>
          </w:p>
        </w:tc>
      </w:tr>
    </w:tbl>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color w:val="595959"/>
        <w:sz w:val="15"/>
        <w:szCs w:val="15"/>
      </w:rPr>
      <w:t xml:space="preserve">Apex Managed Services Ltd</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14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Certification Services Ltd — ISO 27001:2022 Stage 1 Audit Report</w:t>
    </w:r>
    <w:r>
      <w:rPr>
        <w:rFonts w:ascii="Arial" w:cs="Arial" w:eastAsia="Arial" w:hAnsi="Arial"/>
        <w:b/>
        <w:bCs/>
        <w:color w:val="C00000"/>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40" w:before="14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2026-04-03T14:10:31.981Z</dcterms:created>
  <dcterms:modified xsi:type="dcterms:W3CDTF">2026-04-03T14:10:31.982Z</dcterms:modified>
</cp:coreProperties>
</file>

<file path=docProps/custom.xml><?xml version="1.0" encoding="utf-8"?>
<Properties xmlns="http://schemas.openxmlformats.org/officeDocument/2006/custom-properties" xmlns:vt="http://schemas.openxmlformats.org/officeDocument/2006/docPropsVTypes"/>
</file>