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pBdr>
          <w:bottom w:val="single" w:color="2E75B6" w:sz="18" w:space="4"/>
        </w:pBdr>
        <w:spacing w:after="200" w:before="0"/>
        <w:jc w:val="center"/>
      </w:pPr>
      <w:r>
        <w:rPr>
          <w:rFonts w:ascii="Arial" w:cs="Arial" w:eastAsia="Arial" w:hAnsi="Arial"/>
          <w:b/>
          <w:bCs/>
          <w:color w:val="1F3864"/>
          <w:sz w:val="48"/>
          <w:szCs w:val="48"/>
        </w:rPr>
        <w:t xml:space="preserve">Apex Managed Services Ltd</w:t>
      </w:r>
    </w:p>
    <w:p>
      <w:pPr>
        <w:spacing w:after="100" w:before="200"/>
        <w:jc w:val="center"/>
      </w:pPr>
      <w:r>
        <w:rPr>
          <w:rFonts w:ascii="Arial" w:cs="Arial" w:eastAsia="Arial" w:hAnsi="Arial"/>
          <w:color w:val="404040"/>
          <w:sz w:val="28"/>
          <w:szCs w:val="28"/>
        </w:rPr>
        <w:t xml:space="preserve">Information Security Management System</w:t>
      </w:r>
    </w:p>
    <w:p>
      <w:pPr>
        <w:spacing w:after="400" w:before="0"/>
        <w:jc w:val="center"/>
      </w:pPr>
      <w:r>
        <w:rPr>
          <w:rFonts w:ascii="Arial" w:cs="Arial" w:eastAsia="Arial" w:hAnsi="Arial"/>
          <w:b/>
          <w:bCs/>
          <w:color w:val="2E75B6"/>
          <w:sz w:val="40"/>
          <w:szCs w:val="40"/>
        </w:rPr>
        <w:t xml:space="preserve">Access Control Policy and Procedures</w:t>
      </w:r>
    </w:p>
    <w:p>
      <w:pPr>
        <w:spacing w:after="60" w:before="0"/>
        <w:jc w:val="center"/>
      </w:pPr>
      <w:r>
        <w:rPr>
          <w:rFonts w:ascii="Arial" w:cs="Arial" w:eastAsia="Arial" w:hAnsi="Arial"/>
          <w:color w:val="404040"/>
          <w:sz w:val="19"/>
          <w:szCs w:val="19"/>
        </w:rPr>
        <w:t xml:space="preserve">ISO/IEC 27001:2022 — A.5.15, A.5.16, A.5.17, A.5.18, A.8.2, A.8.3, A.8.5</w:t>
      </w:r>
    </w:p>
    <w:p>
      <w:pPr>
        <w:spacing w:after="400" w:before="0"/>
        <w:jc w:val="center"/>
      </w:pPr>
      <w:r>
        <w:rPr>
          <w:rFonts w:ascii="Arial" w:cs="Arial" w:eastAsia="Arial" w:hAnsi="Arial"/>
          <w:color w:val="888888"/>
          <w:sz w:val="18"/>
          <w:szCs w:val="18"/>
        </w:rPr>
        <w:t xml:space="preserve">ISMS-ACC-001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ISMS-ACC-001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Access Control Policy and Procedures</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A.5.15, A.5.16, A.5.17, A.5.18, A.8.2, A.8.3, A.8.5</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____________________  Date: ____________________</w:t>
            </w:r>
          </w:p>
        </w:tc>
      </w:tr>
    </w:tbl>
    <w:p>
      <w:r>
        <w:br w:type="page"/>
      </w:r>
    </w:p>
    <w:p>
      <w:pPr>
        <w:pStyle w:val="Heading1"/>
        <w:pBdr>
          <w:bottom w:val="single" w:color="2E75B6" w:sz="8" w:space="4"/>
        </w:pBdr>
        <w:spacing w:after="100" w:before="320"/>
      </w:pPr>
      <w:r>
        <w:rPr>
          <w:rFonts w:ascii="Arial" w:cs="Arial" w:eastAsia="Arial" w:hAnsi="Arial"/>
          <w:b/>
          <w:bCs/>
          <w:color w:val="1F3864"/>
          <w:sz w:val="32"/>
          <w:szCs w:val="32"/>
        </w:rPr>
        <w:t xml:space="preserve">1.  Purpose and Scope</w:t>
      </w:r>
    </w:p>
    <w:p>
      <w:pPr>
        <w:spacing w:after="80" w:before="80"/>
        <w:jc w:val="left"/>
      </w:pPr>
      <w:r>
        <w:rPr>
          <w:rFonts w:ascii="Arial" w:cs="Arial" w:eastAsia="Arial" w:hAnsi="Arial"/>
          <w:b w:val="false"/>
          <w:bCs w:val="false"/>
          <w:color w:val="000000"/>
          <w:sz w:val="20"/>
          <w:szCs w:val="20"/>
        </w:rPr>
        <w:t xml:space="preserve">This document establishes the Access Control Policy and operational procedures for Apex Managed Services Ltd. It defines how access to information assets, systems, and client environments is granted, maintained, reviewed, and revoked in accordance with the principle of least privilege and the need-to-know principle.</w:t>
      </w:r>
    </w:p>
    <w:p>
      <w:pPr>
        <w:spacing w:after="60" w:before="60"/>
      </w:pPr>
    </w:p>
    <w:p>
      <w:pPr>
        <w:spacing w:after="80" w:before="80"/>
        <w:jc w:val="left"/>
      </w:pPr>
      <w:r>
        <w:rPr>
          <w:rFonts w:ascii="Arial" w:cs="Arial" w:eastAsia="Arial" w:hAnsi="Arial"/>
          <w:b w:val="false"/>
          <w:bCs w:val="false"/>
          <w:color w:val="000000"/>
          <w:sz w:val="20"/>
          <w:szCs w:val="20"/>
        </w:rPr>
        <w:t xml:space="preserve">This policy applies to: all employees and contractors with access to organisational or client systems; all cloud-hosted resources (Microsoft Azure, Microsoft 365, Microsoft Entra ID, and client-managed tenancies); all privileged accounts and service accounts; and all access to client environments managed under service agreements.</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2.  Access Control Principles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 at Apex Managed Services Ltd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Least Privilege</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Every account — user, service, or system — is granted only the minimum permissions required to perform its defined function. No account holds standing administrative rights unless operationally justified and approved by the ISM.</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Need to Know</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Access to information is granted only to individuals who require it to perform their duties. Access to client environments is restricted to personnel actively delivering services to that client under an active service agreement.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Segregation of Duties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Where organisational size permits, duties are separated so that no single individual can complete a sensitive process end-to-end without a second party's involvement. PAM session recording serves as a compensating control where full SoD is not achievable.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Default Deny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Access is denied by default. It must be explicitly granted, with a documented business justification. Conditional Access policies enforce this at the identity layer.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Just-in-Time (JIT) Access</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Privileged access to sensitive systems and client environments is granted for the minimum period required to complete a specific task, using Entra ID Privileged Identity Management (PIM) or equivalent. Standing privileged access is avoided.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Auditability</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access events are logged. Privileged sessions are recorded via PAM. Sign-in logs and audit logs are retained in Microsoft Sentinel for a minimum of 90 days. Evidence of access is available for incident investigation and regulatory inquiry.</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3.  Access Provisioning</w:t>
      </w:r>
    </w:p>
    <w:p>
      <w:pPr>
        <w:pStyle w:val="Heading2"/>
        <w:spacing w:after="80" w:before="200"/>
      </w:pPr>
      <w:r>
        <w:rPr>
          <w:rFonts w:ascii="Arial" w:cs="Arial" w:eastAsia="Arial" w:hAnsi="Arial"/>
          <w:b/>
          <w:bCs/>
          <w:color w:val="2E75B6"/>
          <w:sz w:val="26"/>
          <w:szCs w:val="26"/>
        </w:rPr>
        <w:t xml:space="preserve">3.1  Standard User Access</w:t>
      </w:r>
    </w:p>
    <w:p>
      <w:pPr>
        <w:spacing w:after="80" w:before="80"/>
        <w:jc w:val="left"/>
      </w:pPr>
      <w:r>
        <w:rPr>
          <w:rFonts w:ascii="Arial" w:cs="Arial" w:eastAsia="Arial" w:hAnsi="Arial"/>
          <w:b w:val="false"/>
          <w:bCs w:val="false"/>
          <w:color w:val="000000"/>
          <w:sz w:val="20"/>
          <w:szCs w:val="20"/>
        </w:rPr>
        <w:t xml:space="preserve">Access for new employees and contractors is provisioned as part of the Joiner procedure (ISMS-HR-001 §3). The following steps apply:</w:t>
      </w:r>
    </w:p>
    <w:p>
      <w:pPr>
        <w:spacing w:after="40" w:before="40"/>
      </w:pPr>
    </w:p>
    <w:p>
      <w:pPr>
        <w:pStyle w:val="ListParagraph"/>
        <w:numPr>
          <w:ilvl w:val="0"/>
          <w:numId w:val="2"/>
        </w:numPr>
        <w:spacing w:after="40" w:before="40"/>
      </w:pPr>
      <w:r>
        <w:rPr>
          <w:rFonts w:ascii="Arial" w:cs="Arial" w:eastAsia="Arial" w:hAnsi="Arial"/>
          <w:sz w:val="20"/>
          <w:szCs w:val="20"/>
        </w:rPr>
        <w:t xml:space="preserve">The ISM or HoT creates the Entra ID account with the role-appropriate licence assignment.</w:t>
      </w:r>
    </w:p>
    <w:p>
      <w:pPr>
        <w:pStyle w:val="ListParagraph"/>
        <w:numPr>
          <w:ilvl w:val="0"/>
          <w:numId w:val="2"/>
        </w:numPr>
        <w:spacing w:after="40" w:before="40"/>
      </w:pPr>
      <w:r>
        <w:rPr>
          <w:rFonts w:ascii="Arial" w:cs="Arial" w:eastAsia="Arial" w:hAnsi="Arial"/>
          <w:sz w:val="20"/>
          <w:szCs w:val="20"/>
        </w:rPr>
        <w:t xml:space="preserve">Role-Based Access Control (RBAC) groups are assigned based on the individual's role profile (Section 4). No direct permission assignments — all access is group-based.</w:t>
      </w:r>
    </w:p>
    <w:p>
      <w:pPr>
        <w:pStyle w:val="ListParagraph"/>
        <w:numPr>
          <w:ilvl w:val="0"/>
          <w:numId w:val="2"/>
        </w:numPr>
        <w:spacing w:after="40" w:before="40"/>
      </w:pPr>
      <w:r>
        <w:rPr>
          <w:rFonts w:ascii="Arial" w:cs="Arial" w:eastAsia="Arial" w:hAnsi="Arial"/>
          <w:sz w:val="20"/>
          <w:szCs w:val="20"/>
        </w:rPr>
        <w:t xml:space="preserve">MFA is enforced from first login via Conditional Access policy. Phishing-resistant MFA (FIDO2 or equivalent) is mandatory for any account with privileged roles.</w:t>
      </w:r>
    </w:p>
    <w:p>
      <w:pPr>
        <w:pStyle w:val="ListParagraph"/>
        <w:numPr>
          <w:ilvl w:val="0"/>
          <w:numId w:val="2"/>
        </w:numPr>
        <w:spacing w:after="40" w:before="40"/>
      </w:pPr>
      <w:r>
        <w:rPr>
          <w:rFonts w:ascii="Arial" w:cs="Arial" w:eastAsia="Arial" w:hAnsi="Arial"/>
          <w:sz w:val="20"/>
          <w:szCs w:val="20"/>
        </w:rPr>
        <w:t xml:space="preserve">Access to client environments is provisioned only after: (a) a signed service agreement exists for the client; (b) the individual is named in the service delivery team for that client; (c) the HoT has confirmed the access scope.</w:t>
      </w:r>
    </w:p>
    <w:p>
      <w:pPr>
        <w:pStyle w:val="ListParagraph"/>
        <w:numPr>
          <w:ilvl w:val="0"/>
          <w:numId w:val="2"/>
        </w:numPr>
        <w:spacing w:after="40" w:before="40"/>
      </w:pPr>
      <w:r>
        <w:rPr>
          <w:rFonts w:ascii="Arial" w:cs="Arial" w:eastAsia="Arial" w:hAnsi="Arial"/>
          <w:sz w:val="20"/>
          <w:szCs w:val="20"/>
        </w:rPr>
        <w:t xml:space="preserve">All provisioning actions are logged in the access request record with the justification, approver, and date.</w:t>
      </w:r>
    </w:p>
    <w:p>
      <w:pPr>
        <w:spacing w:after="100" w:before="100"/>
      </w:pPr>
    </w:p>
    <w:p>
      <w:pPr>
        <w:pStyle w:val="Heading2"/>
        <w:spacing w:after="80" w:before="200"/>
      </w:pPr>
      <w:r>
        <w:rPr>
          <w:rFonts w:ascii="Arial" w:cs="Arial" w:eastAsia="Arial" w:hAnsi="Arial"/>
          <w:b/>
          <w:bCs/>
          <w:color w:val="2E75B6"/>
          <w:sz w:val="26"/>
          <w:szCs w:val="26"/>
        </w:rPr>
        <w:t xml:space="preserve">3.2  Privileged Access</w:t>
      </w:r>
    </w:p>
    <w:p>
      <w:pPr>
        <w:spacing w:after="80" w:before="80"/>
        <w:jc w:val="left"/>
      </w:pPr>
      <w:r>
        <w:rPr>
          <w:rFonts w:ascii="Arial" w:cs="Arial" w:eastAsia="Arial" w:hAnsi="Arial"/>
          <w:b w:val="false"/>
          <w:bCs w:val="false"/>
          <w:color w:val="000000"/>
          <w:sz w:val="20"/>
          <w:szCs w:val="20"/>
        </w:rPr>
        <w:t xml:space="preserve">Privileged access (roles with administrative capability in the organisation's or a client's tenant) is governed by additional controls:</w:t>
      </w:r>
    </w:p>
    <w:p>
      <w:pPr>
        <w:spacing w:after="40" w:before="40"/>
      </w:pPr>
    </w:p>
    <w:p>
      <w:pPr>
        <w:pStyle w:val="ListParagraph"/>
        <w:numPr>
          <w:ilvl w:val="0"/>
          <w:numId w:val="2"/>
        </w:numPr>
        <w:spacing w:after="40" w:before="40"/>
      </w:pPr>
      <w:r>
        <w:rPr>
          <w:rFonts w:ascii="Arial" w:cs="Arial" w:eastAsia="Arial" w:hAnsi="Arial"/>
          <w:sz w:val="20"/>
          <w:szCs w:val="20"/>
        </w:rPr>
        <w:t xml:space="preserve">All privileged access is provisioned via the PAM tool. No direct Entra ID Global Admin or equivalent role assignment without PAM enrolment.</w:t>
      </w:r>
    </w:p>
    <w:p>
      <w:pPr>
        <w:pStyle w:val="ListParagraph"/>
        <w:numPr>
          <w:ilvl w:val="0"/>
          <w:numId w:val="2"/>
        </w:numPr>
        <w:spacing w:after="40" w:before="40"/>
      </w:pPr>
      <w:r>
        <w:rPr>
          <w:rFonts w:ascii="Arial" w:cs="Arial" w:eastAsia="Arial" w:hAnsi="Arial"/>
          <w:sz w:val="20"/>
          <w:szCs w:val="20"/>
        </w:rPr>
        <w:t xml:space="preserve">Privileged access is JIT by default — roles are activated for defined sessions via Entra ID PIM, not held as standing assignments.</w:t>
      </w:r>
    </w:p>
    <w:p>
      <w:pPr>
        <w:pStyle w:val="ListParagraph"/>
        <w:numPr>
          <w:ilvl w:val="0"/>
          <w:numId w:val="2"/>
        </w:numPr>
        <w:spacing w:after="40" w:before="40"/>
      </w:pPr>
      <w:r>
        <w:rPr>
          <w:rFonts w:ascii="Arial" w:cs="Arial" w:eastAsia="Arial" w:hAnsi="Arial"/>
          <w:sz w:val="20"/>
          <w:szCs w:val="20"/>
        </w:rPr>
        <w:t xml:space="preserve">PAM session recording is enabled for all privileged sessions to client environments.</w:t>
      </w:r>
    </w:p>
    <w:p>
      <w:pPr>
        <w:pStyle w:val="ListParagraph"/>
        <w:numPr>
          <w:ilvl w:val="0"/>
          <w:numId w:val="2"/>
        </w:numPr>
        <w:spacing w:after="40" w:before="40"/>
      </w:pPr>
      <w:r>
        <w:rPr>
          <w:rFonts w:ascii="Arial" w:cs="Arial" w:eastAsia="Arial" w:hAnsi="Arial"/>
          <w:sz w:val="20"/>
          <w:szCs w:val="20"/>
        </w:rPr>
        <w:t xml:space="preserve">Privileged accounts are separate from standard user accounts (i.e. the same person has two accounts: one for standard day-to-day work, one for privileged operations). Privileged accounts are used only for privileged tasks.</w:t>
      </w:r>
    </w:p>
    <w:p>
      <w:pPr>
        <w:pStyle w:val="ListParagraph"/>
        <w:numPr>
          <w:ilvl w:val="0"/>
          <w:numId w:val="2"/>
        </w:numPr>
        <w:spacing w:after="40" w:before="40"/>
      </w:pPr>
      <w:r>
        <w:rPr>
          <w:rFonts w:ascii="Arial" w:cs="Arial" w:eastAsia="Arial" w:hAnsi="Arial"/>
          <w:sz w:val="20"/>
          <w:szCs w:val="20"/>
        </w:rPr>
        <w:t xml:space="preserve">MFA using phishing-resistant credentials (FIDO2 hardware key) is mandatory for all privileged accounts — KPI-002.</w:t>
      </w:r>
    </w:p>
    <w:p>
      <w:pPr>
        <w:spacing w:after="100" w:before="100"/>
      </w:pPr>
    </w:p>
    <w:p>
      <w:pPr>
        <w:pStyle w:val="Heading2"/>
        <w:spacing w:after="80" w:before="200"/>
      </w:pPr>
      <w:r>
        <w:rPr>
          <w:rFonts w:ascii="Arial" w:cs="Arial" w:eastAsia="Arial" w:hAnsi="Arial"/>
          <w:b/>
          <w:bCs/>
          <w:color w:val="2E75B6"/>
          <w:sz w:val="26"/>
          <w:szCs w:val="26"/>
        </w:rPr>
        <w:t xml:space="preserve">3.3  Service Accounts</w:t>
      </w:r>
    </w:p>
    <w:p>
      <w:pPr>
        <w:pStyle w:val="ListParagraph"/>
        <w:numPr>
          <w:ilvl w:val="0"/>
          <w:numId w:val="2"/>
        </w:numPr>
        <w:spacing w:after="40" w:before="40"/>
      </w:pPr>
      <w:r>
        <w:rPr>
          <w:rFonts w:ascii="Arial" w:cs="Arial" w:eastAsia="Arial" w:hAnsi="Arial"/>
          <w:sz w:val="20"/>
          <w:szCs w:val="20"/>
        </w:rPr>
        <w:t xml:space="preserve">Service accounts are created only when a technical requirement cannot be met by a managed identity or workload identity.</w:t>
      </w:r>
    </w:p>
    <w:p>
      <w:pPr>
        <w:pStyle w:val="ListParagraph"/>
        <w:numPr>
          <w:ilvl w:val="0"/>
          <w:numId w:val="2"/>
        </w:numPr>
        <w:spacing w:after="40" w:before="40"/>
      </w:pPr>
      <w:r>
        <w:rPr>
          <w:rFonts w:ascii="Arial" w:cs="Arial" w:eastAsia="Arial" w:hAnsi="Arial"/>
          <w:sz w:val="20"/>
          <w:szCs w:val="20"/>
        </w:rPr>
        <w:t xml:space="preserve">Service accounts hold the minimum permissions required. They are documented in the asset register (ISMS-AST-001).</w:t>
      </w:r>
    </w:p>
    <w:p>
      <w:pPr>
        <w:pStyle w:val="ListParagraph"/>
        <w:numPr>
          <w:ilvl w:val="0"/>
          <w:numId w:val="2"/>
        </w:numPr>
        <w:spacing w:after="40" w:before="40"/>
      </w:pPr>
      <w:r>
        <w:rPr>
          <w:rFonts w:ascii="Arial" w:cs="Arial" w:eastAsia="Arial" w:hAnsi="Arial"/>
          <w:sz w:val="20"/>
          <w:szCs w:val="20"/>
        </w:rPr>
        <w:t xml:space="preserve">Service accounts do not have interactive login rights unless operationally necessary, in which case PAM controls apply.</w:t>
      </w:r>
    </w:p>
    <w:p>
      <w:pPr>
        <w:pStyle w:val="ListParagraph"/>
        <w:numPr>
          <w:ilvl w:val="0"/>
          <w:numId w:val="2"/>
        </w:numPr>
        <w:spacing w:after="40" w:before="40"/>
      </w:pPr>
      <w:r>
        <w:rPr>
          <w:rFonts w:ascii="Arial" w:cs="Arial" w:eastAsia="Arial" w:hAnsi="Arial"/>
          <w:sz w:val="20"/>
          <w:szCs w:val="20"/>
        </w:rPr>
        <w:t xml:space="preserve">Service account credentials are stored in the PAM credential vault, not in code, configuration files, or email.</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4.  Role-Based Access Control (RBAC) Framework</w:t>
      </w:r>
    </w:p>
    <w:p>
      <w:pPr>
        <w:spacing w:after="80" w:before="80"/>
        <w:jc w:val="left"/>
      </w:pPr>
      <w:r>
        <w:rPr>
          <w:rFonts w:ascii="Arial" w:cs="Arial" w:eastAsia="Arial" w:hAnsi="Arial"/>
          <w:b w:val="false"/>
          <w:bCs w:val="false"/>
          <w:color w:val="000000"/>
          <w:sz w:val="20"/>
          <w:szCs w:val="20"/>
        </w:rPr>
        <w:t xml:space="preserve">Access is assigned by role, not by individual. The following role profiles define standard access entitlements: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 Profile</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Entitlements</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Privileged Access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Managing Director (MD)</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M365 Business licence; Entra ID user role; access to financial and HR systems; management review documentation.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Global Reader (read-only audit access). No standing administrative roles. Emergency break-glass account access documented separately.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Information Security Manager (ISM)</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M365 licence; Entra ID user role; ISMS document management system (editor); Sentinel (reader); Purview compliance (reader); ISMS-TRN-REC (editor).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Security Reader; Microsoft Defender portal (Security Reader); Sentinel (Contributor via PIM for ISMS tasks). PAM enrolment required.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Head of Technology (HoT)</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M365 licence; Entra ID user role; Intune admin console; Defender for Endpoint admin; Azure portal (contributor on managed subscriptions).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Privileged Role Administrator (PIM-activated, JIT); Global Administrator (break-glass only, dual-person controlled); client tenant admin (PAM, JIT, session-recorded).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IT Engineer / Contractor</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M365 licence (if applicable); access limited to specific client environments under active engagement, scoped to the systems and services being delivered.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Client tenant access via PAM, JIT, session-recorded. No standing privileged access. Access revoked immediately on engagement end.</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External Auditor (during audit window only)</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Read-only access to ISMS documentation in SharePoint; read-only access to specific Sentinel queries and Defender reports as agreed in audit plan.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privileged access. Read-only access only, time-limited to audit window. Access removed within 24 hours of audit closure.</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5.  Authentication and MFA Requirements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860"/>
        <w:gridCol w:w="400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Account Type</w:t>
            </w:r>
          </w:p>
        </w:tc>
        <w:tc>
          <w:tcPr>
            <w:tcW w:type="dxa" w:w="2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MFA Requirement</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Enforcement Mechanism</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All user accounts</w:t>
            </w:r>
          </w:p>
        </w:tc>
        <w:tc>
          <w:tcPr>
            <w:tcW w:type="dxa" w:w="28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MFA — Any method</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Conditional Access policy 'Require MFA for all users'. No exemptions. Blocks legacy authentication protocols.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Privileged accounts (any admin role)</w:t>
            </w:r>
          </w:p>
        </w:tc>
        <w:tc>
          <w:tcPr>
            <w:tcW w:type="dxa" w:w="28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Phishing-Resistant MFA</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FIDO2 hardware key (YubiKey or equivalent) or Windows Hello for Business. Enforced via Conditional Access Authentication Strength policy. KPI-002 tracks compliance monthly.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Client environment access</w:t>
            </w:r>
          </w:p>
        </w:tc>
        <w:tc>
          <w:tcPr>
            <w:tcW w:type="dxa" w:w="28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MFA — Any method min.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Governed by client Conditional Access policies. Where organisation personnel administer client tenants, phishing-resistant MFA is required for privileged roles per OPS-001.</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Service accounts (interactive)</w:t>
            </w:r>
          </w:p>
        </w:tc>
        <w:tc>
          <w:tcPr>
            <w:tcW w:type="dxa" w:w="286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MFA via PAM</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Service accounts with interactive login require MFA enforced through PAM. Certificate-based authentication preferred for non-interactive service accounts.</w:t>
            </w:r>
          </w:p>
        </w:tc>
      </w:tr>
    </w:tbl>
    <w:p>
      <w:pPr>
        <w:spacing w:after="60" w:before="60"/>
      </w:pPr>
    </w:p>
    <w:p>
      <w:pPr>
        <w:spacing w:after="80" w:before="80"/>
        <w:jc w:val="left"/>
      </w:pPr>
      <w:r>
        <w:rPr>
          <w:rFonts w:ascii="Arial" w:cs="Arial" w:eastAsia="Arial" w:hAnsi="Arial"/>
          <w:b w:val="false"/>
          <w:bCs w:val="false"/>
          <w:color w:val="595959"/>
          <w:sz w:val="17"/>
          <w:szCs w:val="17"/>
        </w:rPr>
        <w:t xml:space="preserve">Passwords: Entra ID password policy enforces minimum 12 characters, complexity, and breach detection (Password Protection). Passwords must not be reused. Credentials must not be stored in plaintext, email, or code. The PAM credential vault is the authorised credential store for all privileged and service account passwords.</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6.  Conditional Access Policies</w:t>
      </w:r>
    </w:p>
    <w:p>
      <w:pPr>
        <w:spacing w:after="80" w:before="80"/>
        <w:jc w:val="left"/>
      </w:pPr>
      <w:r>
        <w:rPr>
          <w:rFonts w:ascii="Arial" w:cs="Arial" w:eastAsia="Arial" w:hAnsi="Arial"/>
          <w:b w:val="false"/>
          <w:bCs w:val="false"/>
          <w:color w:val="000000"/>
          <w:sz w:val="20"/>
          <w:szCs w:val="20"/>
        </w:rPr>
        <w:t xml:space="preserve">The following Conditional Access policies are in operation. All policies are maintained and reviewed by the HoT quarterly: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60"/>
        <w:gridCol w:w="2200"/>
        <w:gridCol w:w="200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CA-ID</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Policy Name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Grant / Block</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CA-001</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Require MFA — All Users</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 all apps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Any sign-in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0AD47"/>
                <w:sz w:val="14"/>
                <w:szCs w:val="14"/>
              </w:rPr>
              <w:t xml:space="preserve">Grant: Require MFA</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Require Phishing-Resistant MFA — Admin Roles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 with any admin role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Any sign-in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0AD47"/>
                <w:sz w:val="14"/>
                <w:szCs w:val="14"/>
              </w:rPr>
              <w:t xml:space="preserve">Grant: Require Authentication Strength — Phishing-Resistant MFA</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CA-003</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Block Legacy Authentication</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Sign-in via legacy auth protocols (IMAP, POP3, SMTP Auth, basic auth)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14"/>
                <w:szCs w:val="14"/>
              </w:rPr>
              <w:t xml:space="preserve">Block</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Require Compliant Device</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 M365 apps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Sign-in from non-Intune-enrolled device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0AD47"/>
                <w:sz w:val="14"/>
                <w:szCs w:val="14"/>
              </w:rPr>
              <w:t xml:space="preserve">Grant: Require compliant device OR Require hybrid Azure AD join</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High Sign-In Risk — Require MFA Step-Up</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Sign-in risk level: High (Entra ID Identity Protection)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70AD47"/>
                <w:sz w:val="14"/>
                <w:szCs w:val="14"/>
              </w:rPr>
              <w:t xml:space="preserve">Grant: Require MFA; Block if MFA not completed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High User Risk — Require Password Change</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users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User risk level: High (Entra ID Identity Protection)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0AD47"/>
                <w:sz w:val="14"/>
                <w:szCs w:val="14"/>
              </w:rPr>
              <w:t xml:space="preserve">Grant: Require MFA + Require password change</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CA-007</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Block Access — Outside UK (Standard Users)</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Standard user accounts</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Sign-in from outside UK (Named Locations)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C00000"/>
                <w:sz w:val="14"/>
                <w:szCs w:val="14"/>
              </w:rPr>
              <w:t xml:space="preserve">Block (exception: travel-notified periods — HoT grants temporary exemption)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CA-008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PAM-Only Access — Privileged Roles</w:t>
            </w:r>
          </w:p>
        </w:tc>
        <w:tc>
          <w:tcPr>
            <w:tcW w:type="dxa" w:w="2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Accounts with Global Admin, Privileged Role Admin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4"/>
                <w:szCs w:val="14"/>
              </w:rPr>
              <w:t xml:space="preserve">Any sign-in not via PAM</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14"/>
                <w:szCs w:val="14"/>
              </w:rPr>
              <w:t xml:space="preserve">Block direct access; route via PIM activation</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7.  Periodic Access Reviews</w:t>
      </w:r>
    </w:p>
    <w:p>
      <w:pPr>
        <w:spacing w:after="80" w:before="80"/>
        <w:jc w:val="left"/>
      </w:pPr>
      <w:r>
        <w:rPr>
          <w:rFonts w:ascii="Arial" w:cs="Arial" w:eastAsia="Arial" w:hAnsi="Arial"/>
          <w:b w:val="false"/>
          <w:bCs w:val="false"/>
          <w:color w:val="000000"/>
          <w:sz w:val="20"/>
          <w:szCs w:val="20"/>
        </w:rPr>
        <w:t xml:space="preserve">Access rights are reviewed on a regular cycle to ensure they remain appropriate. The following review schedule applies: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60"/>
        <w:gridCol w:w="36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Type</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Privileged access review</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Quarterly</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accounts with any admin role in Entra ID, Azure, or client tenants</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exports Entra ID PIM eligible/active role assignments. ISM reviews against current business need. Any role not actively required is deactivated. Results recorded in access review log (OPS-001 evidence).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Standard user access review</w:t>
            </w:r>
          </w:p>
        </w:tc>
        <w:tc>
          <w:tcPr>
            <w:tcW w:type="dxa" w:w="1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Annually</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active user accounts and their group memberships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exports Entra ID group membership report. ISM and line managers confirm each access assignment remains required. Unused or excess access revoked within 5 working days of review.</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Client environment access audit</w:t>
            </w:r>
          </w:p>
        </w:tc>
        <w:tc>
          <w:tcPr>
            <w:tcW w:type="dxa" w:w="16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Quarterly</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personnel with access to each client tenant</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exports access roster per client. ISM confirms only personnel actively delivering services to that client retain access. Client contact notified of any changes.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Service account review</w:t>
            </w:r>
          </w:p>
        </w:tc>
        <w:tc>
          <w:tcPr>
            <w:tcW w:type="dxa" w:w="16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Annually</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service accounts in ISMS-AST-001</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reviews each service account: still required? Permissions still minimum necessary? Credentials rotated in last 12 months? Unused service accounts disabled and scheduled for deletion.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Event-triggered review</w:t>
            </w:r>
          </w:p>
        </w:tc>
        <w:tc>
          <w:tcPr>
            <w:tcW w:type="dxa" w:w="1600"/>
            <w:tcBorders>
              <w:top w:val="single" w:color="CCCCCC" w:sz="1"/>
              <w:left w:val="single" w:color="CCCCCC" w:sz="1"/>
              <w:bottom w:val="single" w:color="CCCCCC" w:sz="1"/>
              <w:right w:val="single" w:color="CCCCCC" w:sz="1"/>
            </w:tcBorders>
            <w:shd w:fill="1F7D8C"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Per event</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Triggered by: role change, security incident, client offboarding, or staff departure</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or HoT conducts targeted access review of the affected individual or client immediately. Excess access revoked before end of the business day on which the trigger event is confirmed.</w:t>
            </w:r>
          </w:p>
        </w:tc>
      </w:tr>
    </w:tbl>
    <w:p>
      <w:pPr>
        <w:spacing w:after="60" w:before="60"/>
      </w:pPr>
    </w:p>
    <w:p>
      <w:pPr>
        <w:spacing w:after="80" w:before="80"/>
        <w:jc w:val="left"/>
      </w:pPr>
      <w:r>
        <w:rPr>
          <w:rFonts w:ascii="Arial" w:cs="Arial" w:eastAsia="Arial" w:hAnsi="Arial"/>
          <w:b w:val="false"/>
          <w:bCs w:val="false"/>
          <w:color w:val="595959"/>
          <w:sz w:val="17"/>
          <w:szCs w:val="17"/>
        </w:rPr>
        <w:t xml:space="preserve">Access review results are documented in the operational access review log (OPS-001). KPI-003 (leaver deprovisioning SLA) and KPI-004 (privileged account count) are updated from access review outputs.</w:t>
      </w:r>
    </w:p>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8.  Access Revocation</w:t>
      </w:r>
    </w:p>
    <w:p>
      <w:pPr>
        <w:spacing w:after="80" w:before="80"/>
        <w:jc w:val="left"/>
      </w:pPr>
      <w:r>
        <w:rPr>
          <w:rFonts w:ascii="Arial" w:cs="Arial" w:eastAsia="Arial" w:hAnsi="Arial"/>
          <w:b w:val="false"/>
          <w:bCs w:val="false"/>
          <w:color w:val="000000"/>
          <w:sz w:val="20"/>
          <w:szCs w:val="20"/>
        </w:rPr>
        <w:t xml:space="preserve">Access revocation timelines are non-negotiable. The following SLAs apply:</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260"/>
        <w:gridCol w:w="460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SLA</w:t>
            </w:r>
          </w:p>
        </w:tc>
        <w:tc>
          <w:tcPr>
            <w:tcW w:type="dxa" w:w="4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Employee / contractor departure (all access)</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Within 4 hours</w:t>
            </w:r>
          </w:p>
        </w:tc>
        <w:tc>
          <w:tcPr>
            <w:tcW w:type="dxa" w:w="4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account disabled immediately on departure confirmation. All active sessions revoked (Revoke Sessions in Entra ID). All refresh tokens invalidated. PAM access revoked. Physical assets retrieved (ISMS-HR-001 §5). KPI-003 measured per event.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Privileged access — departure or role change</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Immediate</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Privileged role deactivated in PIM before account is disabled. PAM credentials rotated. All active privileged sessions terminated. Client contacts notified where relevant.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Client engagement ended</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Within 24 hours</w:t>
            </w:r>
          </w:p>
        </w:tc>
        <w:tc>
          <w:tcPr>
            <w:tcW w:type="dxa" w:w="4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All personnel access to the client tenant revoked via PAM and Entra ID guest account removal. Client notified of revocation. Access confirmation retained as evidence.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Security incident — suspected compromise</w:t>
            </w:r>
          </w:p>
        </w:tc>
        <w:tc>
          <w:tcPr>
            <w:tcW w:type="dxa" w:w="226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Immediate</w:t>
            </w:r>
          </w:p>
        </w:tc>
        <w:tc>
          <w:tcPr>
            <w:tcW w:type="dxa" w:w="4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Entra ID account disabled immediately. All sessions and refresh tokens revoked. Credential rotation initiated via PAM. ISM and MD notified. ISMS-IRP-001 Playbook 4 (Account Takeover) invoked.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Role change (access no longer required)</w:t>
            </w:r>
          </w:p>
        </w:tc>
        <w:tc>
          <w:tcPr>
            <w:tcW w:type="dxa" w:w="22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Within 1 business day</w:t>
            </w:r>
          </w:p>
        </w:tc>
        <w:tc>
          <w:tcPr>
            <w:tcW w:type="dxa" w:w="4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Excess access rights removed on effective date of role change. New role profile applied. Previous RBAC groups removed. Confirmed by ISM in access review log.</w:t>
            </w:r>
          </w:p>
        </w:tc>
      </w:tr>
    </w:tbl>
    <w:p>
      <w:pPr>
        <w:spacing w:after="100" w:before="100"/>
      </w:pPr>
    </w:p>
    <w:p>
      <w:pPr>
        <w:pStyle w:val="Heading1"/>
        <w:pBdr>
          <w:bottom w:val="single" w:color="2E75B6" w:sz="8" w:space="4"/>
        </w:pBdr>
        <w:spacing w:after="100" w:before="320"/>
      </w:pPr>
      <w:r>
        <w:rPr>
          <w:rFonts w:ascii="Arial" w:cs="Arial" w:eastAsia="Arial" w:hAnsi="Arial"/>
          <w:b/>
          <w:bCs/>
          <w:color w:val="1F3864"/>
          <w:sz w:val="32"/>
          <w:szCs w:val="32"/>
        </w:rPr>
        <w:t xml:space="preserve">9.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ISMS-HR-001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HR Security — JML</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Joiner/Mover/Leaver procedure triggers all access provisioning and revocation events in this policy.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ISMS-PLN-001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Risk Register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ISK-001 (ransomware via privileged credentials), ISK-002 (phishing), ISK-007 (insider threat) — all treated by controls in this policy.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ISMS-IRP-001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Incident Response Plan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Account takeover playbook (Playbook 4) invokes the immediate revocation procedure in §8.</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ISMS-PEV-001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Performance Evaluation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KPI-001 (MFA coverage), KPI-002 (phishing-resistant MFA), KPI-003 (leaver SLA), KPI-004 (privileged account count) — all measured against this policy.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ISMS-AST-001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Asset Register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Service accounts are documented in the asset register. Access review uses the asset register as its source of truth.</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ISMS-SoA-001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Statement of Applicability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A.5.15, A.5.16, A.5.17, A.5.18, A.8.2, A.8.3, A.8.5 — all Included; this document is the primary implementation evidence.</w:t>
            </w:r>
          </w:p>
        </w:tc>
      </w:tr>
    </w:tbl>
    <w:p>
      <w:pPr>
        <w:spacing w:after="60" w:before="120"/>
      </w:pPr>
    </w:p>
    <w:p>
      <w:pPr>
        <w:spacing w:after="0" w:before="60"/>
        <w:jc w:val="center"/>
      </w:pPr>
      <w:r>
        <w:rPr>
          <w:rFonts w:ascii="Arial" w:cs="Arial" w:eastAsia="Arial" w:hAnsi="Arial"/>
          <w:color w:val="AAAAAA"/>
          <w:sz w:val="14"/>
          <w:szCs w:val="14"/>
        </w:rPr>
        <w:t xml:space="preserve">END OF DOCUMENT — ISMS-ACC-001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Access Control Policy &amp; Procedures</w:t>
    </w:r>
    <w:r>
      <w:rPr>
        <w:rFonts w:ascii="Arial" w:cs="Arial" w:eastAsia="Arial" w:hAnsi="Arial"/>
        <w:color w:val="888888"/>
        <w:sz w:val="15"/>
        <w:szCs w:val="15"/>
      </w:rPr>
      <w:t xml:space="preserve">	ISMS-ACC-001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2026-04-03T10:40:57.635Z</dcterms:created>
  <dcterms:modified xsi:type="dcterms:W3CDTF">2026-04-03T10:40:57.636Z</dcterms:modified>
</cp:coreProperties>
</file>

<file path=docProps/custom.xml><?xml version="1.0" encoding="utf-8"?>
<Properties xmlns="http://schemas.openxmlformats.org/officeDocument/2006/custom-properties" xmlns:vt="http://schemas.openxmlformats.org/officeDocument/2006/docPropsVTypes"/>
</file>