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pBdr>
          <w:bottom w:val="single" w:color="2E75B6" w:sz="18" w:space="4"/>
        </w:pBdr>
        <w:spacing w:after="160" w:before="0"/>
        <w:jc w:val="center"/>
      </w:pPr>
      <w:r>
        <w:rPr>
          <w:rFonts w:ascii="Arial" w:cs="Arial" w:eastAsia="Arial" w:hAnsi="Arial"/>
          <w:b/>
          <w:bCs/>
          <w:color w:val="1F3864"/>
          <w:sz w:val="44"/>
          <w:szCs w:val="44"/>
        </w:rPr>
        <w:t xml:space="preserve">Apex Managed Services Ltd</w:t>
      </w:r>
    </w:p>
    <w:p>
      <w:pPr>
        <w:spacing w:after="80" w:before="160"/>
        <w:jc w:val="center"/>
      </w:pPr>
      <w:r>
        <w:rPr>
          <w:rFonts w:ascii="Arial" w:cs="Arial" w:eastAsia="Arial" w:hAnsi="Arial"/>
          <w:color w:val="404040"/>
          <w:sz w:val="26"/>
          <w:szCs w:val="26"/>
        </w:rPr>
        <w:t xml:space="preserve">Information Security Management System</w:t>
      </w:r>
    </w:p>
    <w:p>
      <w:pPr>
        <w:spacing w:after="60" w:before="0"/>
        <w:jc w:val="center"/>
      </w:pPr>
      <w:r>
        <w:rPr>
          <w:rFonts w:ascii="Arial" w:cs="Arial" w:eastAsia="Arial" w:hAnsi="Arial"/>
          <w:b/>
          <w:bCs/>
          <w:color w:val="2E75B6"/>
          <w:sz w:val="36"/>
          <w:szCs w:val="36"/>
        </w:rPr>
        <w:t xml:space="preserve">Asset Register</w:t>
      </w:r>
    </w:p>
    <w:p>
      <w:pPr>
        <w:spacing w:after="280" w:before="0"/>
        <w:jc w:val="center"/>
      </w:pPr>
      <w:r>
        <w:rPr>
          <w:rFonts w:ascii="Arial" w:cs="Arial" w:eastAsia="Arial" w:hAnsi="Arial"/>
          <w:b/>
          <w:bCs/>
          <w:color w:val="2E75B6"/>
          <w:sz w:val="26"/>
          <w:szCs w:val="26"/>
        </w:rPr>
        <w:t xml:space="preserve">and Information Classification</w:t>
      </w:r>
    </w:p>
    <w:p>
      <w:pPr>
        <w:spacing w:after="60" w:before="0"/>
        <w:jc w:val="center"/>
      </w:pPr>
      <w:r>
        <w:rPr>
          <w:rFonts w:ascii="Arial" w:cs="Arial" w:eastAsia="Arial" w:hAnsi="Arial"/>
          <w:color w:val="404040"/>
          <w:sz w:val="18"/>
          <w:szCs w:val="18"/>
        </w:rPr>
        <w:t xml:space="preserve">ISO/IEC 27001:2022 — A.5.9, A.5.10, A.5.11, A.5.12, A.5.13, A.5.14</w:t>
      </w:r>
    </w:p>
    <w:p>
      <w:pPr>
        <w:spacing w:after="280" w:before="0"/>
        <w:jc w:val="center"/>
      </w:pPr>
      <w:r>
        <w:rPr>
          <w:rFonts w:ascii="Arial" w:cs="Arial" w:eastAsia="Arial" w:hAnsi="Arial"/>
          <w:color w:val="888888"/>
          <w:sz w:val="17"/>
          <w:szCs w:val="17"/>
        </w:rPr>
        <w:t xml:space="preserve">ISMS-AST-001  |  Version 1.0  |  02 April 2026  |  INTERNAL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1800"/>
        <w:gridCol w:w="1900"/>
      </w:tblGrid>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ISMS-AST-001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Asset Register — and Information Classification</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Head of Technology</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A.5.9, A.5.10, A.5.11, A.5.12, A.5.13, A.5.14</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Approved By</w:t>
            </w:r>
          </w:p>
        </w:tc>
        <w:tc>
          <w:tcPr>
            <w:tcW w:type="dxa" w:w="7260"/>
            <w:gridSpan w:val="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Managing Director — Signature: __________________  Date: __________________</w:t>
            </w:r>
          </w:p>
        </w:tc>
      </w:tr>
    </w:tbl>
    <w:p>
      <w:r>
        <w:br w:type="page"/>
      </w:r>
    </w:p>
    <w:p>
      <w:pPr>
        <w:pStyle w:val="Heading1"/>
        <w:pBdr>
          <w:bottom w:val="single" w:color="2E75B6" w:sz="8" w:space="4"/>
        </w:pBdr>
        <w:spacing w:after="100" w:before="300"/>
      </w:pPr>
      <w:r>
        <w:rPr>
          <w:rFonts w:ascii="Arial" w:cs="Arial" w:eastAsia="Arial" w:hAnsi="Arial"/>
          <w:b/>
          <w:bCs/>
          <w:color w:val="1F3864"/>
          <w:sz w:val="30"/>
          <w:szCs w:val="30"/>
        </w:rPr>
        <w:t xml:space="preserve">1.  Purpose and Scope</w:t>
      </w:r>
    </w:p>
    <w:p>
      <w:pPr>
        <w:spacing w:after="80" w:before="80"/>
        <w:jc w:val="left"/>
      </w:pPr>
      <w:r>
        <w:rPr>
          <w:rFonts w:ascii="Arial" w:cs="Arial" w:eastAsia="Arial" w:hAnsi="Arial"/>
          <w:b w:val="false"/>
          <w:bCs w:val="false"/>
          <w:color w:val="000000"/>
          <w:sz w:val="20"/>
          <w:szCs w:val="20"/>
        </w:rPr>
        <w:t xml:space="preserve">This document establishes the Asset Register and Information Classification scheme for Apex Managed Services Ltd. It provides the inventory of information assets, technology assets, and software assets within the ISMS scope, together with their classification, ownership, and lifecycle status.</w:t>
      </w:r>
    </w:p>
    <w:p>
      <w:pPr>
        <w:spacing w:after="60" w:before="60"/>
      </w:pPr>
    </w:p>
    <w:p>
      <w:pPr>
        <w:spacing w:after="80" w:before="80"/>
        <w:jc w:val="left"/>
      </w:pPr>
      <w:r>
        <w:rPr>
          <w:rFonts w:ascii="Arial" w:cs="Arial" w:eastAsia="Arial" w:hAnsi="Arial"/>
          <w:b w:val="false"/>
          <w:bCs w:val="false"/>
          <w:color w:val="000000"/>
          <w:sz w:val="20"/>
          <w:szCs w:val="20"/>
        </w:rPr>
        <w:t xml:space="preserve">Asset management is the foundation of risk assessment (ISMS-PLN-001), vulnerability management (ISMS-VUL-001), and access control (ISMS-ACC-001). This register is the authoritative source of truth for what the organisation owns, processes, and is responsible for protecting.</w:t>
      </w:r>
    </w:p>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2.  Information Classification Scheme</w:t>
      </w:r>
    </w:p>
    <w:p>
      <w:pPr>
        <w:spacing w:after="80" w:before="80"/>
        <w:jc w:val="left"/>
      </w:pPr>
      <w:r>
        <w:rPr>
          <w:rFonts w:ascii="Arial" w:cs="Arial" w:eastAsia="Arial" w:hAnsi="Arial"/>
          <w:b w:val="false"/>
          <w:bCs w:val="false"/>
          <w:color w:val="000000"/>
          <w:sz w:val="20"/>
          <w:szCs w:val="20"/>
        </w:rPr>
        <w:t xml:space="preserve">All information assets are classified according to the following scheme. Classification determines handling, storage, transmission, and disposal requirements: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60"/>
        <w:gridCol w:w="260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Examples</w:t>
            </w:r>
          </w:p>
        </w:tc>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Handling Requirements</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CONFIDENTIAL</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Information whose unauthorised disclosure would cause significant harm — legal, reputational, regulatory, or financial. Restricted to named individuals only.</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5"/>
                <w:szCs w:val="15"/>
              </w:rPr>
              <w:t xml:space="preserve">IR Plan (ISMS-IRP-001); RoPA (ISMS-RoPA-001); PAM credentials; client security incident reports; forensic evidence.</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5"/>
                <w:szCs w:val="15"/>
              </w:rPr>
              <w:t xml:space="preserve">Encrypted at rest and in transit. Access restricted to named individuals. Not transmitted unencrypted. Printed copies stored securely. Destruction by secure shredding or certified wiping.</w:t>
            </w:r>
          </w:p>
        </w:tc>
      </w:tr>
      <w:tr>
        <w:tc>
          <w:tcPr>
            <w:tcW w:type="dxa" w:w="1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INTERNAL</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Information intended for use within the organisation. Disclosure outside the organisation would be inappropriate but not catastrophic.</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5"/>
                <w:szCs w:val="15"/>
              </w:rPr>
              <w:t xml:space="preserve">ISMS documents (most). Risk register. KPI reports. Employee records. Internal communications. Client service configurations.</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5"/>
                <w:szCs w:val="15"/>
              </w:rPr>
              <w:t xml:space="preserve">Stored in M365 with access controls. Not shared outside organisation without MD approval. Standard encryption applies.</w:t>
            </w:r>
          </w:p>
        </w:tc>
      </w:tr>
      <w:tr>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PUBLIC</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Information approved for external disclosure. Sharing this information carries no risk.</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5"/>
                <w:szCs w:val="15"/>
              </w:rPr>
              <w:t xml:space="preserve">IS Policy Summary (ISMS-POL-001-SUM). Marketing materials. Published certifications.</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5"/>
                <w:szCs w:val="15"/>
              </w:rPr>
              <w:t xml:space="preserve">No special controls required. Standard copyright and attribution rules apply.</w:t>
            </w:r>
          </w:p>
        </w:tc>
      </w:tr>
    </w:tbl>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3.  Asset Categories</w:t>
      </w:r>
    </w:p>
    <w:p>
      <w:pPr>
        <w:pStyle w:val="Heading2"/>
        <w:spacing w:after="80" w:before="200"/>
      </w:pPr>
      <w:r>
        <w:rPr>
          <w:rFonts w:ascii="Arial" w:cs="Arial" w:eastAsia="Arial" w:hAnsi="Arial"/>
          <w:b/>
          <w:bCs/>
          <w:color w:val="2E75B6"/>
          <w:sz w:val="24"/>
          <w:szCs w:val="24"/>
        </w:rPr>
        <w:t xml:space="preserve">3.1  Information Assets</w:t>
      </w:r>
    </w:p>
    <w:p>
      <w:pPr>
        <w:spacing w:after="80" w:before="80"/>
        <w:jc w:val="left"/>
      </w:pPr>
      <w:r>
        <w:rPr>
          <w:rFonts w:ascii="Arial" w:cs="Arial" w:eastAsia="Arial" w:hAnsi="Arial"/>
          <w:b w:val="false"/>
          <w:bCs w:val="false"/>
          <w:color w:val="000000"/>
          <w:sz w:val="20"/>
          <w:szCs w:val="20"/>
        </w:rPr>
        <w:t xml:space="preserve">Information assets are the data sets and documented information that the organisation is responsible for protecting. These are the primary subject of data classification:</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800"/>
        <w:gridCol w:w="1200"/>
        <w:gridCol w:w="1200"/>
        <w:gridCol w:w="2160"/>
      </w:tblGrid>
      <w:tr>
        <w:trPr>
          <w:tblHeader/>
        </w:trPr>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IA-ID</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Asset</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2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Storage Location</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IA-001</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ISMS Documentation Set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All ISMS policies, procedures, records, and templates in ISMS-REG-001.</w:t>
            </w:r>
          </w:p>
        </w:tc>
        <w:tc>
          <w:tcPr>
            <w:tcW w:type="dxa" w:w="1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INTERNAL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SharePoint — ISMS site (access controlled by classification)</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IA-002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Risk Register (ISMS-PLN-001)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15-risk register including residual risk scores and risk owner details.</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CONFIDENTIAL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SharePoint — ISMS site, CONFIDENTIAL folder</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IA-003</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Incident Response Plan (ISMS-IRP-001)</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Contact directory, response procedures, playbooks.</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CONFIDENTIAL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SharePoint — CONFIDENTIAL + offline backup</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IA-004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Client Configuration Data</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Technical configurations for managed client environments.</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CONFIDENTIAL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PAM vault + Azure Key Vault per client</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IA-005</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Client Personal Data (Processor)</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Personal data processed on behalf of clients per ISMS-RoPA-001.</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CONFIDENTIAL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DPL</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Client tenants — not replicated to org systems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IA-006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Employee and Contractor HR Records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Screening records, contracts, payroll data per CTR-001.</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CONFIDENTIAL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MD</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SharePoint — HR folder (MD and ISM access only)</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IA-007</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ISMS Audit Evidence</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Evidence collected during internal audits per ISMS-IAP-001.</w:t>
            </w:r>
          </w:p>
        </w:tc>
        <w:tc>
          <w:tcPr>
            <w:tcW w:type="dxa" w:w="1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INTERNAL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SharePoint — Audit Evidence folder</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IA-008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KPI and Performance Reports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ISMS-MR-002 instances; management review minutes.</w:t>
            </w:r>
          </w:p>
        </w:tc>
        <w:tc>
          <w:tcPr>
            <w:tcW w:type="dxa" w:w="1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INTERNAL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SharePoint — ISMS Performance folder</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IA-009</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Privileged Credentials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PAM-vaulted credentials for client and organisational privileged accounts.</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CONFIDENTIAL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PAM credential vault — encrypted</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IA-010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IS Policy Summary (ISMS-POL-001-SUM)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One-page public policy statement.</w:t>
            </w:r>
          </w:p>
        </w:tc>
        <w:tc>
          <w:tcPr>
            <w:tcW w:type="dxa" w:w="12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PUBLIC</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MD</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SharePoint + public-facing copy on request</w:t>
            </w:r>
          </w:p>
        </w:tc>
      </w:tr>
    </w:tbl>
    <w:p>
      <w:pPr>
        <w:spacing w:after="100" w:before="100"/>
      </w:pPr>
    </w:p>
    <w:p>
      <w:pPr>
        <w:pStyle w:val="Heading2"/>
        <w:spacing w:after="80" w:before="200"/>
      </w:pPr>
      <w:r>
        <w:rPr>
          <w:rFonts w:ascii="Arial" w:cs="Arial" w:eastAsia="Arial" w:hAnsi="Arial"/>
          <w:b/>
          <w:bCs/>
          <w:color w:val="2E75B6"/>
          <w:sz w:val="24"/>
          <w:szCs w:val="24"/>
        </w:rPr>
        <w:t xml:space="preserve">3.2  Technology Assets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400"/>
        <w:gridCol w:w="1200"/>
        <w:gridCol w:w="1200"/>
        <w:gridCol w:w="2760"/>
      </w:tblGrid>
      <w:tr>
        <w:trPr>
          <w:tblHeader/>
        </w:trPr>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TA-ID</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Asset</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2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Security Controls</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TA-001</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[ISM Laptop]</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Managed Laptop</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12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Active</w:t>
            </w:r>
          </w:p>
        </w:tc>
        <w:tc>
          <w:tcPr>
            <w:tcW w:type="dxa" w:w="2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BitLocker; Intune MDM; Defender for Endpoint; FIDO2 key issued</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TA-002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[HoT Laptop]</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Managed Laptop</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12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Active</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BitLocker; Intune MDM; Defender for Endpoint; FIDO2 key issued</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TA-003</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[MD Laptop]</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Managed Laptop</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MD</w:t>
            </w:r>
          </w:p>
        </w:tc>
        <w:tc>
          <w:tcPr>
            <w:tcW w:type="dxa" w:w="12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Active</w:t>
            </w:r>
          </w:p>
        </w:tc>
        <w:tc>
          <w:tcPr>
            <w:tcW w:type="dxa" w:w="2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BitLocker; Intune MDM; Defender for Endpoint</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TA-004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[Mobile Device — ISM]</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Mobile — iOS/Android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12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Active</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Intune MAM; remote wipe enabled; PIN enforced</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TA-005</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[Mobile Device — HoT]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Mobile — iOS/Android</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12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Active</w:t>
            </w:r>
          </w:p>
        </w:tc>
        <w:tc>
          <w:tcPr>
            <w:tcW w:type="dxa" w:w="2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Intune MAM; remote wipe enabled; PIN enforced</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TA-006</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Azure Subscription(s)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Cloud — Azure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12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Active</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Defender for Cloud; RBAC; PIM; Azure Policy; private endpoints</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TA-007</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Microsoft 365 Tenant (Org)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Cloud — M365</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12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Active</w:t>
            </w:r>
          </w:p>
        </w:tc>
        <w:tc>
          <w:tcPr>
            <w:tcW w:type="dxa" w:w="2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Conditional Access; Defender for M365; Purview DLP; MFA enforced</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TA-008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Microsoft Sentinel Workspace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Cloud — SIEM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12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Active</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RBAC; log retention 90 days; ISM and HoT access only</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TA-009</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PAM Platform</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Cloud — SaaS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12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Active</w:t>
            </w:r>
          </w:p>
        </w:tc>
        <w:tc>
          <w:tcPr>
            <w:tcW w:type="dxa" w:w="2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MFA; session recording; credential vaulting; access logged</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TA-010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[Contractor device — enrolled]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Managed or BYOD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[Contractor]</w:t>
            </w:r>
          </w:p>
        </w:tc>
        <w:tc>
          <w:tcPr>
            <w:tcW w:type="dxa" w:w="12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2"/>
                <w:szCs w:val="12"/>
              </w:rPr>
              <w:t xml:space="preserve">Active</w:t>
            </w:r>
          </w:p>
        </w:tc>
        <w:tc>
          <w:tcPr>
            <w:tcW w:type="dxa" w:w="2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Intune minimum security baseline; MAM policy</w:t>
            </w:r>
          </w:p>
        </w:tc>
      </w:tr>
    </w:tbl>
    <w:p>
      <w:pPr>
        <w:spacing w:after="60" w:before="60"/>
      </w:pPr>
    </w:p>
    <w:p>
      <w:pPr>
        <w:spacing w:after="80" w:before="80"/>
        <w:jc w:val="left"/>
      </w:pPr>
      <w:r>
        <w:rPr>
          <w:rFonts w:ascii="Arial" w:cs="Arial" w:eastAsia="Arial" w:hAnsi="Arial"/>
          <w:b w:val="false"/>
          <w:bCs w:val="false"/>
          <w:color w:val="595959"/>
          <w:sz w:val="17"/>
          <w:szCs w:val="17"/>
        </w:rPr>
        <w:t xml:space="preserve">Technology asset IDs beginning TA-001 to TA-005 should be updated with device hostnames and serial numbers. Assets are reviewed quarterly by HoT against Intune enrolment list — any device enrolled in Intune that is not in this register must be investigated.</w:t>
      </w:r>
    </w:p>
    <w:p>
      <w:pPr>
        <w:spacing w:after="100" w:before="100"/>
      </w:pPr>
    </w:p>
    <w:p>
      <w:pPr>
        <w:pStyle w:val="Heading2"/>
        <w:spacing w:after="80" w:before="200"/>
      </w:pPr>
      <w:r>
        <w:rPr>
          <w:rFonts w:ascii="Arial" w:cs="Arial" w:eastAsia="Arial" w:hAnsi="Arial"/>
          <w:b/>
          <w:bCs/>
          <w:color w:val="2E75B6"/>
          <w:sz w:val="24"/>
          <w:szCs w:val="24"/>
        </w:rPr>
        <w:t xml:space="preserve">3.3  Software Assets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1400"/>
        <w:gridCol w:w="1400"/>
        <w:gridCol w:w="2160"/>
      </w:tblGrid>
      <w:tr>
        <w:trPr>
          <w:tblHeader/>
        </w:trPr>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SA-ID</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Software / Service</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Licence Type</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Licence Count</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2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SA-001</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Microsoft 365 Business / E3 licences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Subscription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2"/>
                <w:szCs w:val="12"/>
              </w:rPr>
              <w:t xml:space="preserve">[N]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MD</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Annual renewal. Covers M365 apps, Exchange, Teams, SharePoint, Intune.</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SA-002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Microsoft Defender for Endpoint P2</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Subscription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2"/>
                <w:szCs w:val="12"/>
              </w:rPr>
              <w:t xml:space="preserve">Included in M365</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Covered under M365 licence. Verify plan includes Defender P2.</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SA-003</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Microsoft Sentinel</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Consumption-based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2"/>
                <w:szCs w:val="12"/>
              </w:rPr>
              <w:t xml:space="preserve">Pay-per-GB</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Log ingestion costs monitored monthly. Alert on cost anomalies.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SA-004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Microsoft Entra ID P2</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Subscription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2"/>
                <w:szCs w:val="12"/>
              </w:rPr>
              <w:t xml:space="preserve">[N]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Required for PIM (privileged access), Identity Protection, Conditional Access advanced.</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SA-005</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PAM Platform — [TBC]</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Subscription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2"/>
                <w:szCs w:val="12"/>
              </w:rPr>
              <w:t xml:space="preserve">Per-seat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Confirm on selection. Must include session recording capability.</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SA-006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Security Awareness Platform — [TBC]</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Subscription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2"/>
                <w:szCs w:val="12"/>
              </w:rPr>
              <w:t xml:space="preserve">Per-seat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ISM</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Confirm on selection. Must include phishing simulation module.</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SA-007</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Backup Platform — [TBC]</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Subscription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2"/>
                <w:szCs w:val="12"/>
              </w:rPr>
              <w:t xml:space="preserve">Per-TB / Per-seat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Confirm on selection. Must support M365 backup and Azure VM backup.</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SA-008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Microsoft Azure services (various)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Consumption-based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2"/>
                <w:szCs w:val="12"/>
              </w:rPr>
              <w:t xml:space="preserve">N/A</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HoT</w:t>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2"/>
                <w:szCs w:val="12"/>
              </w:rPr>
              <w:t xml:space="preserve">Azure VMs, Key Vault, Log Analytics, Policy, etc.</w:t>
            </w:r>
          </w:p>
        </w:tc>
      </w:tr>
    </w:tbl>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4.  Asset Lifecycle and Review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Lifecycle Event</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Record Update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New asset (onboarding)</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adds to technology/software register within 5 working days of acquisition. ISM adds information assets as they are created.</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New row in this register. Intune enrolment for devices.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Asset disposal</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follows secure disposal procedure (OPS-015): data wiped to NCSC standards, destruction certificate obtained where required.</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Status updated to 'Disposed'. Disposal date and method recorded.</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Ownership change</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updates owner field. Access rights reviewed per ISMS-ACC-001 §7.</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Owner field updated. Access review completed and documented.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Quarterly review</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reconciles technology asset register against Intune enrolment list. ISM reviews information assets for reclassification.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Any discrepancies investigated and resolved. Register updated.</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Annual review</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Full register review at annual management review. MD signs off completeness.</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Version increment. Management review minutes record completion.</w:t>
            </w:r>
          </w:p>
        </w:tc>
      </w:tr>
    </w:tbl>
    <w:p>
      <w:pPr>
        <w:spacing w:after="60" w:before="120"/>
      </w:pPr>
    </w:p>
    <w:p>
      <w:pPr>
        <w:spacing w:after="0" w:before="60"/>
        <w:jc w:val="center"/>
      </w:pPr>
      <w:r>
        <w:rPr>
          <w:rFonts w:ascii="Arial" w:cs="Arial" w:eastAsia="Arial" w:hAnsi="Arial"/>
          <w:color w:val="AAAAAA"/>
          <w:sz w:val="14"/>
          <w:szCs w:val="14"/>
        </w:rPr>
        <w:t xml:space="preserve">END OF DOCUMENT — ISMS-AST-001 v1.0</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00"/>
    </w:pPr>
    <w:r>
      <w:rPr>
        <w:rFonts w:ascii="Arial" w:cs="Arial" w:eastAsia="Arial" w:hAnsi="Arial"/>
        <w:b/>
        <w:bCs/>
        <w:color w:val="2E75B6"/>
        <w:sz w:val="15"/>
        <w:szCs w:val="15"/>
      </w:rPr>
      <w:t xml:space="preserve">INTERNAL</w:t>
    </w:r>
    <w:r>
      <w:rPr>
        <w:rFonts w:ascii="Arial" w:cs="Arial" w:eastAsia="Arial" w:hAnsi="Arial"/>
        <w:color w:val="888888"/>
        <w:sz w:val="15"/>
        <w:szCs w:val="15"/>
      </w:rPr>
      <w:t xml:space="preserve">	Page </w:t>
    </w:r>
    <w:fldSimple w:instr="PAGE">
      <w:r>
        <w:rPr>
          <w:rFonts w:ascii="Arial" w:cs="Arial" w:eastAsia="Arial" w:hAnsi="Arial"/>
          <w:color w:val="888888"/>
          <w:sz w:val="15"/>
          <w:szCs w:val="15"/>
        </w:rPr>
      </w:r>
    </w:fldSimple>
    <w:r>
      <w:rPr>
        <w:rFonts w:ascii="Arial" w:cs="Arial" w:eastAsia="Arial" w:hAnsi="Arial"/>
        <w:color w:val="888888"/>
        <w:sz w:val="15"/>
        <w:szCs w:val="15"/>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pPr>
    <w:r>
      <w:rPr>
        <w:rFonts w:ascii="Arial" w:cs="Arial" w:eastAsia="Arial" w:hAnsi="Arial"/>
        <w:b/>
        <w:bCs/>
        <w:color w:val="1F3864"/>
        <w:sz w:val="17"/>
        <w:szCs w:val="17"/>
      </w:rPr>
      <w:t xml:space="preserve">Apex Managed Services Ltd — Asset Register &amp; Information Classification</w:t>
    </w:r>
    <w:r>
      <w:rPr>
        <w:rFonts w:ascii="Arial" w:cs="Arial" w:eastAsia="Arial" w:hAnsi="Arial"/>
        <w:color w:val="888888"/>
        <w:sz w:val="15"/>
        <w:szCs w:val="15"/>
      </w:rPr>
      <w:t xml:space="preserve">	ISMS-AST-001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2026-04-03T11:22:01.527Z</dcterms:created>
  <dcterms:modified xsi:type="dcterms:W3CDTF">2026-04-03T11:22:01.527Z</dcterms:modified>
</cp:coreProperties>
</file>

<file path=docProps/custom.xml><?xml version="1.0" encoding="utf-8"?>
<Properties xmlns="http://schemas.openxmlformats.org/officeDocument/2006/custom-properties" xmlns:vt="http://schemas.openxmlformats.org/officeDocument/2006/docPropsVTypes"/>
</file>