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pBdr>
          <w:bottom w:val="single" w:color="2E75B6" w:sz="18" w:space="4"/>
        </w:pBdr>
        <w:spacing w:after="160" w:before="0"/>
        <w:jc w:val="center"/>
      </w:pPr>
      <w:r>
        <w:rPr>
          <w:rFonts w:ascii="Arial" w:cs="Arial" w:eastAsia="Arial" w:hAnsi="Arial"/>
          <w:b/>
          <w:bCs/>
          <w:color w:val="1F3864"/>
          <w:sz w:val="44"/>
          <w:szCs w:val="44"/>
        </w:rPr>
        <w:t xml:space="preserve">Apex Managed Services Ltd</w:t>
      </w:r>
    </w:p>
    <w:p>
      <w:pPr>
        <w:spacing w:after="80" w:before="160"/>
        <w:jc w:val="center"/>
      </w:pPr>
      <w:r>
        <w:rPr>
          <w:rFonts w:ascii="Arial" w:cs="Arial" w:eastAsia="Arial" w:hAnsi="Arial"/>
          <w:color w:val="404040"/>
          <w:sz w:val="26"/>
          <w:szCs w:val="26"/>
        </w:rPr>
        <w:t xml:space="preserve">Information Security Management System</w:t>
      </w:r>
    </w:p>
    <w:p>
      <w:pPr>
        <w:spacing w:after="60" w:before="0"/>
        <w:jc w:val="center"/>
      </w:pPr>
      <w:r>
        <w:rPr>
          <w:rFonts w:ascii="Arial" w:cs="Arial" w:eastAsia="Arial" w:hAnsi="Arial"/>
          <w:b/>
          <w:bCs/>
          <w:color w:val="2E75B6"/>
          <w:sz w:val="36"/>
          <w:szCs w:val="36"/>
        </w:rPr>
        <w:t xml:space="preserve">Business Continuity Plan</w:t>
      </w:r>
    </w:p>
    <w:p>
      <w:pPr>
        <w:spacing w:after="300" w:before="0"/>
        <w:jc w:val="center"/>
      </w:pPr>
      <w:r>
        <w:rPr>
          <w:rFonts w:ascii="Arial" w:cs="Arial" w:eastAsia="Arial" w:hAnsi="Arial"/>
          <w:b/>
          <w:bCs/>
          <w:color w:val="2E75B6"/>
          <w:sz w:val="28"/>
          <w:szCs w:val="28"/>
        </w:rPr>
        <w:t xml:space="preserve">and Disaster Recovery Plan</w:t>
      </w:r>
    </w:p>
    <w:p>
      <w:pPr>
        <w:spacing w:after="60" w:before="0"/>
        <w:jc w:val="center"/>
      </w:pPr>
      <w:r>
        <w:rPr>
          <w:rFonts w:ascii="Arial" w:cs="Arial" w:eastAsia="Arial" w:hAnsi="Arial"/>
          <w:color w:val="404040"/>
          <w:sz w:val="18"/>
          <w:szCs w:val="18"/>
        </w:rPr>
        <w:t xml:space="preserve">ISO/IEC 27001:2022 — A.5.29, A.5.30</w:t>
      </w:r>
    </w:p>
    <w:p>
      <w:pPr>
        <w:spacing w:after="300" w:before="0"/>
        <w:jc w:val="center"/>
      </w:pPr>
      <w:r>
        <w:rPr>
          <w:rFonts w:ascii="Arial" w:cs="Arial" w:eastAsia="Arial" w:hAnsi="Arial"/>
          <w:color w:val="888888"/>
          <w:sz w:val="17"/>
          <w:szCs w:val="17"/>
        </w:rPr>
        <w:t xml:space="preserve">ISMS-BCP-001  |  Version 1.0  |  02 April 2026  |  INTERNAL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1800"/>
        <w:gridCol w:w="1900"/>
      </w:tblGrid>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Reference</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ISMS-BCP-001</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Title</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Business Continuity Plan — and Disaster Recovery Plan</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Organisation</w:t>
            </w:r>
          </w:p>
        </w:tc>
        <w:tc>
          <w:tcPr>
            <w:tcW w:type="dxa" w:w="3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Apex Managed Services Ltd</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19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INTERNAL</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Owner</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Head of Technology / ISM</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ISO 27001:2022</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A.5.29, A.5.30</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Approved By</w:t>
            </w:r>
          </w:p>
        </w:tc>
        <w:tc>
          <w:tcPr>
            <w:tcW w:type="dxa" w:w="7260"/>
            <w:gridSpan w:val="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Managing Director — Signature: __________________  Date: __________________</w:t>
            </w:r>
          </w:p>
        </w:tc>
      </w:tr>
    </w:tbl>
    <w:p>
      <w:r>
        <w:br w:type="page"/>
      </w:r>
    </w:p>
    <w:p>
      <w:pPr>
        <w:pStyle w:val="Heading1"/>
        <w:pBdr>
          <w:bottom w:val="single" w:color="2E75B6" w:sz="8" w:space="4"/>
        </w:pBdr>
        <w:spacing w:after="100" w:before="300"/>
      </w:pPr>
      <w:r>
        <w:rPr>
          <w:rFonts w:ascii="Arial" w:cs="Arial" w:eastAsia="Arial" w:hAnsi="Arial"/>
          <w:b/>
          <w:bCs/>
          <w:color w:val="1F3864"/>
          <w:sz w:val="30"/>
          <w:szCs w:val="30"/>
        </w:rPr>
        <w:t xml:space="preserve">1.  Purpose and Scope</w:t>
      </w:r>
    </w:p>
    <w:p>
      <w:pPr>
        <w:spacing w:after="80" w:before="80"/>
        <w:jc w:val="left"/>
      </w:pPr>
      <w:r>
        <w:rPr>
          <w:rFonts w:ascii="Arial" w:cs="Arial" w:eastAsia="Arial" w:hAnsi="Arial"/>
          <w:b w:val="false"/>
          <w:bCs w:val="false"/>
          <w:color w:val="000000"/>
          <w:sz w:val="20"/>
          <w:szCs w:val="20"/>
        </w:rPr>
        <w:t xml:space="preserve">This document is the Business Continuity Plan (BCP) and Disaster Recovery Plan (DRP) for Apex Managed Services Ltd. It defines how the organisation maintains or rapidly restores critical services in the event of a significant disruption, and how IT systems and data are recovered following a failure. It implements OBJ-006 and addresses ISK-005 (service outage) and ISK-006 (key person dependency) treatment controls.</w:t>
      </w:r>
    </w:p>
    <w:p>
      <w:pPr>
        <w:spacing w:after="60" w:before="60"/>
      </w:pPr>
    </w:p>
    <w:p>
      <w:pPr>
        <w:spacing w:after="80" w:before="80"/>
        <w:jc w:val="left"/>
      </w:pPr>
      <w:r>
        <w:rPr>
          <w:rFonts w:ascii="Arial" w:cs="Arial" w:eastAsia="Arial" w:hAnsi="Arial"/>
          <w:b w:val="false"/>
          <w:bCs w:val="false"/>
          <w:color w:val="000000"/>
          <w:sz w:val="20"/>
          <w:szCs w:val="20"/>
        </w:rPr>
        <w:t xml:space="preserve">Disruption scenarios in scope: cloud platform outage (Azure/M365); ransomware or destructive malware (recover per ISMS-IRP-001 Playbook 1); key person unavailability (ISM, HoT, or MD); ISP/connectivity failure at primary working locations; loss of access to critical SaaS tooling.</w:t>
      </w:r>
    </w:p>
    <w:p>
      <w:pPr>
        <w:spacing w:after="100" w:before="100"/>
      </w:pPr>
    </w:p>
    <w:p>
      <w:pPr>
        <w:pStyle w:val="Heading1"/>
        <w:pBdr>
          <w:bottom w:val="single" w:color="2E75B6" w:sz="8" w:space="4"/>
        </w:pBdr>
        <w:spacing w:after="100" w:before="300"/>
      </w:pPr>
      <w:r>
        <w:rPr>
          <w:rFonts w:ascii="Arial" w:cs="Arial" w:eastAsia="Arial" w:hAnsi="Arial"/>
          <w:b/>
          <w:bCs/>
          <w:color w:val="1F3864"/>
          <w:sz w:val="30"/>
          <w:szCs w:val="30"/>
        </w:rPr>
        <w:t xml:space="preserve">2.  Critical Services and RTO/RPO</w:t>
      </w:r>
    </w:p>
    <w:p>
      <w:pPr>
        <w:spacing w:after="80" w:before="80"/>
        <w:jc w:val="left"/>
      </w:pPr>
      <w:r>
        <w:rPr>
          <w:rFonts w:ascii="Arial" w:cs="Arial" w:eastAsia="Arial" w:hAnsi="Arial"/>
          <w:b w:val="false"/>
          <w:bCs w:val="false"/>
          <w:color w:val="000000"/>
          <w:sz w:val="20"/>
          <w:szCs w:val="20"/>
        </w:rPr>
        <w:t xml:space="preserve">The following services are classified as critical to the organisation's ability to deliver managed services and meet client contractual obligations: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1200"/>
        <w:gridCol w:w="2660"/>
      </w:tblGrid>
      <w:tr>
        <w:trPr>
          <w:tblHeader/>
        </w:trP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Critical Service</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Dependency</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RTO</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RPO</w:t>
            </w:r>
          </w:p>
        </w:tc>
        <w:tc>
          <w:tcPr>
            <w:tcW w:type="dxa" w:w="26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Recovery Approach</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6"/>
                <w:szCs w:val="16"/>
              </w:rPr>
              <w:t xml:space="preserve">Managed security monitoring (Sentinel/Defender)</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Microsoft Azure — UK regions</w:t>
            </w:r>
          </w:p>
        </w:tc>
        <w:tc>
          <w:tcPr>
            <w:tcW w:type="dxa" w:w="1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4 hours</w:t>
            </w:r>
          </w:p>
        </w:tc>
        <w:tc>
          <w:tcPr>
            <w:tcW w:type="dxa" w:w="12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1 hour</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5"/>
                <w:szCs w:val="15"/>
              </w:rPr>
              <w:t xml:space="preserve">Azure geo-redundancy. Fail over to secondary workspace if primary region unavailable. Microsoft SLA 99.9%.</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6"/>
                <w:szCs w:val="16"/>
              </w:rPr>
              <w:t xml:space="preserve">Client M365 tenant administration</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Microsoft 365 global service</w:t>
            </w:r>
          </w:p>
        </w:tc>
        <w:tc>
          <w:tcPr>
            <w:tcW w:type="dxa" w:w="1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2 hours</w:t>
            </w:r>
          </w:p>
        </w:tc>
        <w:tc>
          <w:tcPr>
            <w:tcW w:type="dxa" w:w="12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15 min</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5"/>
                <w:szCs w:val="15"/>
              </w:rPr>
              <w:t xml:space="preserve">M365 built-in redundancy. Admin access via backup admin credentials in PAM vault. Escalate to Microsoft support if service-wide outage.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6"/>
                <w:szCs w:val="16"/>
              </w:rPr>
              <w:t xml:space="preserve">Privileged access (PAM tool)</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Cloud-hosted PAM platform</w:t>
            </w:r>
          </w:p>
        </w:tc>
        <w:tc>
          <w:tcPr>
            <w:tcW w:type="dxa" w:w="1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4 hours</w:t>
            </w:r>
          </w:p>
        </w:tc>
        <w:tc>
          <w:tcPr>
            <w:tcW w:type="dxa" w:w="12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1 hour</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5"/>
                <w:szCs w:val="15"/>
              </w:rPr>
              <w:t xml:space="preserve">Break-glass emergency admin credentials held by MD and HoT separately, in sealed envelopes in physically separate locations. Rotate after each use.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6"/>
                <w:szCs w:val="16"/>
              </w:rPr>
              <w:t xml:space="preserve">Internal communication (email/Teams)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Microsoft 365</w:t>
            </w:r>
          </w:p>
        </w:tc>
        <w:tc>
          <w:tcPr>
            <w:tcW w:type="dxa" w:w="1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4 hours</w:t>
            </w:r>
          </w:p>
        </w:tc>
        <w:tc>
          <w:tcPr>
            <w:tcW w:type="dxa" w:w="12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30 min</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5"/>
                <w:szCs w:val="15"/>
              </w:rPr>
              <w:t xml:space="preserve">Out-of-band communication plan: personal mobile, WhatsApp group for IR team, pre-agreed personal email addresses (documented in §5).</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6"/>
                <w:szCs w:val="16"/>
              </w:rPr>
              <w:t xml:space="preserve">ISMS documentation access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Microsoft SharePoint / M365</w:t>
            </w:r>
          </w:p>
        </w:tc>
        <w:tc>
          <w:tcPr>
            <w:tcW w:type="dxa" w:w="1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8 hours</w:t>
            </w:r>
          </w:p>
        </w:tc>
        <w:tc>
          <w:tcPr>
            <w:tcW w:type="dxa" w:w="12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4 hours</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5"/>
                <w:szCs w:val="15"/>
              </w:rPr>
              <w:t xml:space="preserve">Critical ISMS documents (IRP, BCP, contact directory) backed up to encrypted offline storage updated monthly. Printed copies of IRP held by ISM and MD.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6"/>
                <w:szCs w:val="16"/>
              </w:rPr>
              <w:t xml:space="preserve">Backup and restore capability</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Azure Backup / backup platform</w:t>
            </w:r>
          </w:p>
        </w:tc>
        <w:tc>
          <w:tcPr>
            <w:tcW w:type="dxa" w:w="1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8 hours</w:t>
            </w:r>
          </w:p>
        </w:tc>
        <w:tc>
          <w:tcPr>
            <w:tcW w:type="dxa" w:w="12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Per client DPA — typically 24h</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5"/>
                <w:szCs w:val="15"/>
              </w:rPr>
              <w:t xml:space="preserve">Azure geo-redundant backup storage. Restore test procedure documented in §4. Monthly backup success rate monitored (KPI-022).</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6"/>
                <w:szCs w:val="16"/>
              </w:rPr>
              <w:t xml:space="preserve">Client-facing connectivity</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595959"/>
                <w:sz w:val="15"/>
                <w:szCs w:val="15"/>
              </w:rPr>
              <w:t xml:space="preserve">ISP / business broadband</w:t>
            </w:r>
          </w:p>
        </w:tc>
        <w:tc>
          <w:tcPr>
            <w:tcW w:type="dxa" w:w="1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2 hours</w:t>
            </w:r>
          </w:p>
        </w:tc>
        <w:tc>
          <w:tcPr>
            <w:tcW w:type="dxa" w:w="12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N/A</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5"/>
                <w:szCs w:val="15"/>
              </w:rPr>
              <w:t xml:space="preserve">Failover to 4G/5G mobile hotspot (HoT and ISM both maintain capability). Client communications switched to mobile if primary connectivity fails.</w:t>
            </w:r>
          </w:p>
        </w:tc>
      </w:tr>
    </w:tbl>
    <w:p>
      <w:pPr>
        <w:spacing w:after="60" w:before="60"/>
      </w:pPr>
    </w:p>
    <w:p>
      <w:pPr>
        <w:spacing w:after="80" w:before="80"/>
        <w:jc w:val="left"/>
      </w:pPr>
      <w:r>
        <w:rPr>
          <w:rFonts w:ascii="Arial" w:cs="Arial" w:eastAsia="Arial" w:hAnsi="Arial"/>
          <w:b w:val="false"/>
          <w:bCs w:val="false"/>
          <w:color w:val="595959"/>
          <w:sz w:val="17"/>
          <w:szCs w:val="17"/>
        </w:rPr>
        <w:t xml:space="preserve">RTO and RPO figures above are organisational defaults. Client-specific SLA requirements are documented in the relevant client DPA and service schedule, which take precedence where more stringent. The HoT maintains a client SLA register as part of ISMS-AST-001.</w:t>
      </w:r>
    </w:p>
    <w:p>
      <w:pPr>
        <w:spacing w:after="100" w:before="100"/>
      </w:pPr>
    </w:p>
    <w:p>
      <w:pPr>
        <w:pStyle w:val="Heading1"/>
        <w:pBdr>
          <w:bottom w:val="single" w:color="2E75B6" w:sz="8" w:space="4"/>
        </w:pBdr>
        <w:spacing w:after="100" w:before="300"/>
      </w:pPr>
      <w:r>
        <w:rPr>
          <w:rFonts w:ascii="Arial" w:cs="Arial" w:eastAsia="Arial" w:hAnsi="Arial"/>
          <w:b/>
          <w:bCs/>
          <w:color w:val="1F3864"/>
          <w:sz w:val="30"/>
          <w:szCs w:val="30"/>
        </w:rPr>
        <w:t xml:space="preserve">3.  Key Person Dependency — Continuity Arrangements</w:t>
      </w:r>
    </w:p>
    <w:p>
      <w:pPr>
        <w:spacing w:after="80" w:before="80"/>
        <w:jc w:val="left"/>
      </w:pPr>
      <w:r>
        <w:rPr>
          <w:rFonts w:ascii="Arial" w:cs="Arial" w:eastAsia="Arial" w:hAnsi="Arial"/>
          <w:b w:val="false"/>
          <w:bCs w:val="false"/>
          <w:color w:val="000000"/>
          <w:sz w:val="20"/>
          <w:szCs w:val="20"/>
        </w:rPr>
        <w:t xml:space="preserve">The organisation has fewer than 10 personnel. Key person absence is a High-rated risk (ISK-006). The following arrangements ensure continuity:</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260"/>
        <w:gridCol w:w="400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Role</w:t>
            </w:r>
          </w:p>
        </w:tc>
        <w:tc>
          <w:tcPr>
            <w:tcW w:type="dxa" w:w="3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Absence Scenario</w:t>
            </w:r>
          </w:p>
        </w:tc>
        <w:tc>
          <w:tcPr>
            <w:tcW w:type="dxa" w:w="4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Continuity Arrangement</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Information Security Manager</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6"/>
                <w:szCs w:val="16"/>
              </w:rPr>
              <w:t xml:space="preserve">Short absence (≤5 days): illness, holiday. Longer: resignation, incapacitation.</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MD assumes ISM responsibilities for short absences per documented briefing. For longer absence: HoT covers technical ISMS tasks; MD covers governance. External ISMS consultant engaged if absence exceeds 10 days. ISM maintains a handover document updated monthly.</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Head of Technology</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6"/>
                <w:szCs w:val="16"/>
              </w:rPr>
              <w:t xml:space="preserve">Short or extended absence.</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assumes coordination of client technical tasks. MD authorises engagement of a qualified external MSP contractor for technical delivery. Break-glass credentials held by MD. Runbooks for all critical operational procedures documented in ISMS-OPS-001.</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Managing Director</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6"/>
                <w:szCs w:val="16"/>
              </w:rPr>
              <w:t xml:space="preserve">Extended absence or incapacitation.</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assumes operational authority per delegation documented and signed. MD nominates an alternate authorising authority in writing. Legal/financial matters escalated to company solicitor and accountant.</w:t>
            </w:r>
          </w:p>
        </w:tc>
      </w:tr>
    </w:tbl>
    <w:p>
      <w:pPr>
        <w:spacing w:after="100" w:before="100"/>
      </w:pPr>
    </w:p>
    <w:p>
      <w:pPr>
        <w:pStyle w:val="Heading1"/>
        <w:pBdr>
          <w:bottom w:val="single" w:color="2E75B6" w:sz="8" w:space="4"/>
        </w:pBdr>
        <w:spacing w:after="100" w:before="300"/>
      </w:pPr>
      <w:r>
        <w:rPr>
          <w:rFonts w:ascii="Arial" w:cs="Arial" w:eastAsia="Arial" w:hAnsi="Arial"/>
          <w:b/>
          <w:bCs/>
          <w:color w:val="1F3864"/>
          <w:sz w:val="30"/>
          <w:szCs w:val="30"/>
        </w:rPr>
        <w:t xml:space="preserve">4.  Backup and Restoration Procedure</w:t>
      </w:r>
    </w:p>
    <w:p>
      <w:pPr>
        <w:pStyle w:val="Heading2"/>
        <w:spacing w:after="80" w:before="200"/>
      </w:pPr>
      <w:r>
        <w:rPr>
          <w:rFonts w:ascii="Arial" w:cs="Arial" w:eastAsia="Arial" w:hAnsi="Arial"/>
          <w:b/>
          <w:bCs/>
          <w:color w:val="2E75B6"/>
          <w:sz w:val="24"/>
          <w:szCs w:val="24"/>
        </w:rPr>
        <w:t xml:space="preserve">4.1  Backup Configuration</w:t>
      </w:r>
    </w:p>
    <w:p>
      <w:pPr>
        <w:pStyle w:val="ListParagraph"/>
        <w:numPr>
          <w:ilvl w:val="0"/>
          <w:numId w:val="2"/>
        </w:numPr>
        <w:spacing w:after="40" w:before="40"/>
      </w:pPr>
      <w:r>
        <w:rPr>
          <w:rFonts w:ascii="Arial" w:cs="Arial" w:eastAsia="Arial" w:hAnsi="Arial"/>
          <w:sz w:val="20"/>
          <w:szCs w:val="20"/>
        </w:rPr>
        <w:t xml:space="preserve">Azure Backup configured for all production Azure VMs, databases, and file shares — daily backup, 30-day retention, geo-redundant storage.</w:t>
      </w:r>
    </w:p>
    <w:p>
      <w:pPr>
        <w:pStyle w:val="ListParagraph"/>
        <w:numPr>
          <w:ilvl w:val="0"/>
          <w:numId w:val="2"/>
        </w:numPr>
        <w:spacing w:after="40" w:before="40"/>
      </w:pPr>
      <w:r>
        <w:rPr>
          <w:rFonts w:ascii="Arial" w:cs="Arial" w:eastAsia="Arial" w:hAnsi="Arial"/>
          <w:sz w:val="20"/>
          <w:szCs w:val="20"/>
        </w:rPr>
        <w:t xml:space="preserve">Microsoft 365 data (Exchange, SharePoint, OneDrive, Teams): backed up via third-party M365 backup solution. Daily backup, 90-day retention.</w:t>
      </w:r>
    </w:p>
    <w:p>
      <w:pPr>
        <w:pStyle w:val="ListParagraph"/>
        <w:numPr>
          <w:ilvl w:val="0"/>
          <w:numId w:val="2"/>
        </w:numPr>
        <w:spacing w:after="40" w:before="40"/>
      </w:pPr>
      <w:r>
        <w:rPr>
          <w:rFonts w:ascii="Arial" w:cs="Arial" w:eastAsia="Arial" w:hAnsi="Arial"/>
          <w:sz w:val="20"/>
          <w:szCs w:val="20"/>
        </w:rPr>
        <w:t xml:space="preserve">Client data backed up per client DPA terms. Backup schedules, retention, and geo-location confirmed per client engagement.</w:t>
      </w:r>
    </w:p>
    <w:p>
      <w:pPr>
        <w:pStyle w:val="ListParagraph"/>
        <w:numPr>
          <w:ilvl w:val="0"/>
          <w:numId w:val="2"/>
        </w:numPr>
        <w:spacing w:after="40" w:before="40"/>
      </w:pPr>
      <w:r>
        <w:rPr>
          <w:rFonts w:ascii="Arial" w:cs="Arial" w:eastAsia="Arial" w:hAnsi="Arial"/>
          <w:sz w:val="20"/>
          <w:szCs w:val="20"/>
        </w:rPr>
        <w:t xml:space="preserve">Backup success monitored daily via platform alerts (KPI-022 target ≥99.5%). HoT investigates any failed backup job within 4 hours.</w:t>
      </w:r>
    </w:p>
    <w:p>
      <w:pPr>
        <w:spacing w:after="60" w:before="60"/>
      </w:pPr>
    </w:p>
    <w:p>
      <w:pPr>
        <w:pStyle w:val="Heading2"/>
        <w:spacing w:after="80" w:before="200"/>
      </w:pPr>
      <w:r>
        <w:rPr>
          <w:rFonts w:ascii="Arial" w:cs="Arial" w:eastAsia="Arial" w:hAnsi="Arial"/>
          <w:b/>
          <w:bCs/>
          <w:color w:val="2E75B6"/>
          <w:sz w:val="24"/>
          <w:szCs w:val="24"/>
        </w:rPr>
        <w:t xml:space="preserve">4.2  Quarterly Restoration Test Procedure</w:t>
      </w:r>
    </w:p>
    <w:p>
      <w:pPr>
        <w:spacing w:after="80" w:before="80"/>
        <w:jc w:val="left"/>
      </w:pPr>
      <w:r>
        <w:rPr>
          <w:rFonts w:ascii="Arial" w:cs="Arial" w:eastAsia="Arial" w:hAnsi="Arial"/>
          <w:b w:val="false"/>
          <w:bCs w:val="false"/>
          <w:color w:val="000000"/>
          <w:sz w:val="20"/>
          <w:szCs w:val="20"/>
        </w:rPr>
        <w:t xml:space="preserve">KPI-023 requires 4 restoration tests per year (one per quarter). The following procedure governs each test:</w:t>
      </w:r>
    </w:p>
    <w:p>
      <w:pPr>
        <w:spacing w:after="40" w:before="4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0"/>
        <w:gridCol w:w="3860"/>
        <w:gridCol w:w="4800"/>
      </w:tblGrid>
      <w:tr>
        <w:trPr>
          <w:tblHeader/>
        </w:trPr>
        <w:tc>
          <w:tcPr>
            <w:tcW w:type="dxa" w:w="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3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4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1</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Select a non-production restore target (separate resource group or test subscription). Select the backup set to be tested — rotate between Azure VM backup, M365 data, and client data backups across the four quarterly tests.</w:t>
            </w:r>
          </w:p>
        </w:tc>
        <w:tc>
          <w:tcPr>
            <w:tcW w:type="dxa" w:w="4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Test plan document (which backup, which target, which date).</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2</w:t>
            </w:r>
          </w:p>
        </w:tc>
        <w:tc>
          <w:tcPr>
            <w:tcW w:type="dxa" w:w="3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Initiate the restore from the backup platform. Record the start time and any errors during restore initiation.</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Restore initiation log with timestamp.</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3</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Verify restore completion — confirm all files/data are accessible and consistent. For application restores: confirm the application starts and data is readable. Record completion time.</w:t>
            </w:r>
          </w:p>
        </w:tc>
        <w:tc>
          <w:tcPr>
            <w:tcW w:type="dxa" w:w="4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Restore completion log; screenshot of restored data/application.</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4</w:t>
            </w:r>
          </w:p>
        </w:tc>
        <w:tc>
          <w:tcPr>
            <w:tcW w:type="dxa" w:w="3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Calculate actual RTO: time from restore initiation to confirmed usability. Compare to target RTO in §2.</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RTO measurement vs. target.</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5</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Document the test result: what was restored, from what backup date, RTO achieved, any issues encountered.</w:t>
            </w:r>
          </w:p>
        </w:tc>
        <w:tc>
          <w:tcPr>
            <w:tcW w:type="dxa" w:w="4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Restoration Test Report filed in ISMS document management system.</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6</w:t>
            </w:r>
          </w:p>
        </w:tc>
        <w:tc>
          <w:tcPr>
            <w:tcW w:type="dxa" w:w="3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Delete test restore to avoid cost and data sprawl. Confirm deletion.</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Deletion confirmation.</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7</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Report result in ISMS-MR-002 (KPI-023) and at next management review. Raise CAR if RTO target was not met.</w:t>
            </w:r>
          </w:p>
        </w:tc>
        <w:tc>
          <w:tcPr>
            <w:tcW w:type="dxa" w:w="4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ISMS-MR-002 KPI-023 entry; CAR if required.</w:t>
            </w:r>
          </w:p>
        </w:tc>
      </w:tr>
    </w:tbl>
    <w:p>
      <w:pPr>
        <w:spacing w:after="100" w:before="100"/>
      </w:pPr>
    </w:p>
    <w:p>
      <w:pPr>
        <w:pStyle w:val="Heading1"/>
        <w:pBdr>
          <w:bottom w:val="single" w:color="2E75B6" w:sz="8" w:space="4"/>
        </w:pBdr>
        <w:spacing w:after="100" w:before="300"/>
      </w:pPr>
      <w:r>
        <w:rPr>
          <w:rFonts w:ascii="Arial" w:cs="Arial" w:eastAsia="Arial" w:hAnsi="Arial"/>
          <w:b/>
          <w:bCs/>
          <w:color w:val="1F3864"/>
          <w:sz w:val="30"/>
          <w:szCs w:val="30"/>
        </w:rPr>
        <w:t xml:space="preserve">5.  Disruption Scenarios — Response Procedures</w:t>
      </w:r>
    </w:p>
    <w:p>
      <w:pPr>
        <w:pStyle w:val="Heading2"/>
        <w:spacing w:after="80" w:before="200"/>
      </w:pPr>
      <w:r>
        <w:rPr>
          <w:rFonts w:ascii="Arial" w:cs="Arial" w:eastAsia="Arial" w:hAnsi="Arial"/>
          <w:b/>
          <w:bCs/>
          <w:color w:val="2E75B6"/>
          <w:sz w:val="24"/>
          <w:szCs w:val="24"/>
        </w:rPr>
        <w:t xml:space="preserve">5.1  Cloud Platform Outage (Azure / M365)</w:t>
      </w:r>
    </w:p>
    <w:p>
      <w:pPr>
        <w:pStyle w:val="ListParagraph"/>
        <w:numPr>
          <w:ilvl w:val="0"/>
          <w:numId w:val="2"/>
        </w:numPr>
        <w:spacing w:after="40" w:before="40"/>
      </w:pPr>
      <w:r>
        <w:rPr>
          <w:rFonts w:ascii="Arial" w:cs="Arial" w:eastAsia="Arial" w:hAnsi="Arial"/>
          <w:sz w:val="20"/>
          <w:szCs w:val="20"/>
        </w:rPr>
        <w:t xml:space="preserve">Confirm outage scope via Microsoft Service Health Dashboard (admin.microsoft.com → Service Health).</w:t>
      </w:r>
    </w:p>
    <w:p>
      <w:pPr>
        <w:pStyle w:val="ListParagraph"/>
        <w:numPr>
          <w:ilvl w:val="0"/>
          <w:numId w:val="2"/>
        </w:numPr>
        <w:spacing w:after="40" w:before="40"/>
      </w:pPr>
      <w:r>
        <w:rPr>
          <w:rFonts w:ascii="Arial" w:cs="Arial" w:eastAsia="Arial" w:hAnsi="Arial"/>
          <w:sz w:val="20"/>
          <w:szCs w:val="20"/>
        </w:rPr>
        <w:t xml:space="preserve">Notify clients of potential service impact within 2 hours of confirming a significant outage.</w:t>
      </w:r>
    </w:p>
    <w:p>
      <w:pPr>
        <w:pStyle w:val="ListParagraph"/>
        <w:numPr>
          <w:ilvl w:val="0"/>
          <w:numId w:val="2"/>
        </w:numPr>
        <w:spacing w:after="40" w:before="40"/>
      </w:pPr>
      <w:r>
        <w:rPr>
          <w:rFonts w:ascii="Arial" w:cs="Arial" w:eastAsia="Arial" w:hAnsi="Arial"/>
          <w:sz w:val="20"/>
          <w:szCs w:val="20"/>
        </w:rPr>
        <w:t xml:space="preserve">Activate mobile communication plan (personal mobiles, personal email fallback — see contact directory ISMS-IRP-001 §15).</w:t>
      </w:r>
    </w:p>
    <w:p>
      <w:pPr>
        <w:pStyle w:val="ListParagraph"/>
        <w:numPr>
          <w:ilvl w:val="0"/>
          <w:numId w:val="2"/>
        </w:numPr>
        <w:spacing w:after="40" w:before="40"/>
      </w:pPr>
      <w:r>
        <w:rPr>
          <w:rFonts w:ascii="Arial" w:cs="Arial" w:eastAsia="Arial" w:hAnsi="Arial"/>
          <w:sz w:val="20"/>
          <w:szCs w:val="20"/>
        </w:rPr>
        <w:t xml:space="preserve">HoT monitors Service Health for restoration updates. ISM updates clients every 2 hours.</w:t>
      </w:r>
    </w:p>
    <w:p>
      <w:pPr>
        <w:pStyle w:val="ListParagraph"/>
        <w:numPr>
          <w:ilvl w:val="0"/>
          <w:numId w:val="2"/>
        </w:numPr>
        <w:spacing w:after="40" w:before="40"/>
      </w:pPr>
      <w:r>
        <w:rPr>
          <w:rFonts w:ascii="Arial" w:cs="Arial" w:eastAsia="Arial" w:hAnsi="Arial"/>
          <w:sz w:val="20"/>
          <w:szCs w:val="20"/>
        </w:rPr>
        <w:t xml:space="preserve">On service restoration: confirm all monitored client workloads are healthy before declaring recovery complete.</w:t>
      </w:r>
    </w:p>
    <w:p>
      <w:pPr>
        <w:spacing w:after="60" w:before="60"/>
      </w:pPr>
    </w:p>
    <w:p>
      <w:pPr>
        <w:pStyle w:val="Heading2"/>
        <w:spacing w:after="80" w:before="200"/>
      </w:pPr>
      <w:r>
        <w:rPr>
          <w:rFonts w:ascii="Arial" w:cs="Arial" w:eastAsia="Arial" w:hAnsi="Arial"/>
          <w:b/>
          <w:bCs/>
          <w:color w:val="2E75B6"/>
          <w:sz w:val="24"/>
          <w:szCs w:val="24"/>
        </w:rPr>
        <w:t xml:space="preserve">5.2  Ransomware / Destructive Malware</w:t>
      </w:r>
    </w:p>
    <w:p>
      <w:pPr>
        <w:spacing w:after="80" w:before="80"/>
        <w:jc w:val="left"/>
      </w:pPr>
      <w:r>
        <w:rPr>
          <w:rFonts w:ascii="Arial" w:cs="Arial" w:eastAsia="Arial" w:hAnsi="Arial"/>
          <w:b w:val="false"/>
          <w:bCs w:val="false"/>
          <w:color w:val="000000"/>
          <w:sz w:val="20"/>
          <w:szCs w:val="20"/>
        </w:rPr>
        <w:t xml:space="preserve">Invoke ISMS-IRP-001 Playbook 1 (Ransomware). This BCP provides the recovery context:</w:t>
      </w:r>
    </w:p>
    <w:p>
      <w:pPr>
        <w:spacing w:after="40" w:before="40"/>
      </w:pPr>
    </w:p>
    <w:p>
      <w:pPr>
        <w:pStyle w:val="ListParagraph"/>
        <w:numPr>
          <w:ilvl w:val="0"/>
          <w:numId w:val="2"/>
        </w:numPr>
        <w:spacing w:after="40" w:before="40"/>
      </w:pPr>
      <w:r>
        <w:rPr>
          <w:rFonts w:ascii="Arial" w:cs="Arial" w:eastAsia="Arial" w:hAnsi="Arial"/>
          <w:sz w:val="20"/>
          <w:szCs w:val="20"/>
        </w:rPr>
        <w:t xml:space="preserve">DO NOT recover from backup until the infection vector is confirmed and closed.</w:t>
      </w:r>
    </w:p>
    <w:p>
      <w:pPr>
        <w:pStyle w:val="ListParagraph"/>
        <w:numPr>
          <w:ilvl w:val="0"/>
          <w:numId w:val="2"/>
        </w:numPr>
        <w:spacing w:after="40" w:before="40"/>
      </w:pPr>
      <w:r>
        <w:rPr>
          <w:rFonts w:ascii="Arial" w:cs="Arial" w:eastAsia="Arial" w:hAnsi="Arial"/>
          <w:sz w:val="20"/>
          <w:szCs w:val="20"/>
        </w:rPr>
        <w:t xml:space="preserve">Identify most recent clean backup pre-dating the encryption event.</w:t>
      </w:r>
    </w:p>
    <w:p>
      <w:pPr>
        <w:pStyle w:val="ListParagraph"/>
        <w:numPr>
          <w:ilvl w:val="0"/>
          <w:numId w:val="2"/>
        </w:numPr>
        <w:spacing w:after="40" w:before="40"/>
      </w:pPr>
      <w:r>
        <w:rPr>
          <w:rFonts w:ascii="Arial" w:cs="Arial" w:eastAsia="Arial" w:hAnsi="Arial"/>
          <w:sz w:val="20"/>
          <w:szCs w:val="20"/>
        </w:rPr>
        <w:t xml:space="preserve">Verify backup storage has not been compromised (check for encrypted backup files in the backup repository).</w:t>
      </w:r>
    </w:p>
    <w:p>
      <w:pPr>
        <w:pStyle w:val="ListParagraph"/>
        <w:numPr>
          <w:ilvl w:val="0"/>
          <w:numId w:val="2"/>
        </w:numPr>
        <w:spacing w:after="40" w:before="40"/>
      </w:pPr>
      <w:r>
        <w:rPr>
          <w:rFonts w:ascii="Arial" w:cs="Arial" w:eastAsia="Arial" w:hAnsi="Arial"/>
          <w:sz w:val="20"/>
          <w:szCs w:val="20"/>
        </w:rPr>
        <w:t xml:space="preserve">Initiate recovery per §4.2 procedure using clean backup. Apply all patches before reconnecting to production.</w:t>
      </w:r>
    </w:p>
    <w:p>
      <w:pPr>
        <w:pStyle w:val="ListParagraph"/>
        <w:numPr>
          <w:ilvl w:val="0"/>
          <w:numId w:val="2"/>
        </w:numPr>
        <w:spacing w:after="40" w:before="40"/>
      </w:pPr>
      <w:r>
        <w:rPr>
          <w:rFonts w:ascii="Arial" w:cs="Arial" w:eastAsia="Arial" w:hAnsi="Arial"/>
          <w:sz w:val="20"/>
          <w:szCs w:val="20"/>
        </w:rPr>
        <w:t xml:space="preserve">Declare recovery complete only when: all affected systems rebuilt, all credentials rotated, monitoring confirms clean environment for 72 hours.</w:t>
      </w:r>
    </w:p>
    <w:p>
      <w:pPr>
        <w:spacing w:after="60" w:before="60"/>
      </w:pPr>
    </w:p>
    <w:p>
      <w:pPr>
        <w:pStyle w:val="Heading2"/>
        <w:spacing w:after="80" w:before="200"/>
      </w:pPr>
      <w:r>
        <w:rPr>
          <w:rFonts w:ascii="Arial" w:cs="Arial" w:eastAsia="Arial" w:hAnsi="Arial"/>
          <w:b/>
          <w:bCs/>
          <w:color w:val="2E75B6"/>
          <w:sz w:val="24"/>
          <w:szCs w:val="24"/>
        </w:rPr>
        <w:t xml:space="preserve">5.3  ISP / Connectivity Failure</w:t>
      </w:r>
    </w:p>
    <w:p>
      <w:pPr>
        <w:pStyle w:val="ListParagraph"/>
        <w:numPr>
          <w:ilvl w:val="0"/>
          <w:numId w:val="2"/>
        </w:numPr>
        <w:spacing w:after="40" w:before="40"/>
      </w:pPr>
      <w:r>
        <w:rPr>
          <w:rFonts w:ascii="Arial" w:cs="Arial" w:eastAsia="Arial" w:hAnsi="Arial"/>
          <w:sz w:val="20"/>
          <w:szCs w:val="20"/>
        </w:rPr>
        <w:t xml:space="preserve">Each team member activates personal mobile hotspot (4G/5G).</w:t>
      </w:r>
    </w:p>
    <w:p>
      <w:pPr>
        <w:pStyle w:val="ListParagraph"/>
        <w:numPr>
          <w:ilvl w:val="0"/>
          <w:numId w:val="2"/>
        </w:numPr>
        <w:spacing w:after="40" w:before="40"/>
      </w:pPr>
      <w:r>
        <w:rPr>
          <w:rFonts w:ascii="Arial" w:cs="Arial" w:eastAsia="Arial" w:hAnsi="Arial"/>
          <w:sz w:val="20"/>
          <w:szCs w:val="20"/>
        </w:rPr>
        <w:t xml:space="preserve">All cloud services (Azure, M365, PAM) are accessible via any internet connection — no on-premise dependency.</w:t>
      </w:r>
    </w:p>
    <w:p>
      <w:pPr>
        <w:pStyle w:val="ListParagraph"/>
        <w:numPr>
          <w:ilvl w:val="0"/>
          <w:numId w:val="2"/>
        </w:numPr>
        <w:spacing w:after="40" w:before="40"/>
      </w:pPr>
      <w:r>
        <w:rPr>
          <w:rFonts w:ascii="Arial" w:cs="Arial" w:eastAsia="Arial" w:hAnsi="Arial"/>
          <w:sz w:val="20"/>
          <w:szCs w:val="20"/>
        </w:rPr>
        <w:t xml:space="preserve">HoT confirms client monitoring and alerting is unaffected.</w:t>
      </w:r>
    </w:p>
    <w:p>
      <w:pPr>
        <w:pStyle w:val="ListParagraph"/>
        <w:numPr>
          <w:ilvl w:val="0"/>
          <w:numId w:val="2"/>
        </w:numPr>
        <w:spacing w:after="40" w:before="40"/>
      </w:pPr>
      <w:r>
        <w:rPr>
          <w:rFonts w:ascii="Arial" w:cs="Arial" w:eastAsia="Arial" w:hAnsi="Arial"/>
          <w:sz w:val="20"/>
          <w:szCs w:val="20"/>
        </w:rPr>
        <w:t xml:space="preserve">If extended outage (&gt;4 hours): HoT relocates to a location with stable connectivity (client site, co-working space, mobile broadband router).</w:t>
      </w:r>
    </w:p>
    <w:p>
      <w:pPr>
        <w:spacing w:after="100" w:before="100"/>
      </w:pPr>
    </w:p>
    <w:p>
      <w:pPr>
        <w:pStyle w:val="Heading1"/>
        <w:pBdr>
          <w:bottom w:val="single" w:color="2E75B6" w:sz="8" w:space="4"/>
        </w:pBdr>
        <w:spacing w:after="100" w:before="300"/>
      </w:pPr>
      <w:r>
        <w:rPr>
          <w:rFonts w:ascii="Arial" w:cs="Arial" w:eastAsia="Arial" w:hAnsi="Arial"/>
          <w:b/>
          <w:bCs/>
          <w:color w:val="1F3864"/>
          <w:sz w:val="30"/>
          <w:szCs w:val="30"/>
        </w:rPr>
        <w:t xml:space="preserve">6.  BCP Testing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260"/>
        <w:gridCol w:w="400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 Type</w:t>
            </w:r>
          </w:p>
        </w:tc>
        <w:tc>
          <w:tcPr>
            <w:tcW w:type="dxa" w:w="3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Frequency</w:t>
            </w:r>
          </w:p>
        </w:tc>
        <w:tc>
          <w:tcPr>
            <w:tcW w:type="dxa" w:w="4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Backup Restoration Test</w:t>
            </w:r>
          </w:p>
        </w:tc>
        <w:tc>
          <w:tcPr>
            <w:tcW w:type="dxa" w:w="326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Quarterly</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Per §4.2 procedure. KPI-023. Results in ISMS-MR-002.</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Tabletop Exercise — Ransomware Scenario</w:t>
            </w:r>
          </w:p>
        </w:tc>
        <w:tc>
          <w:tcPr>
            <w:tcW w:type="dxa" w:w="32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Annual</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facilitates 2-hour tabletop with MD, HoT, and DPL. Walk through Playbook 1 and this BCP §5.2. Identify gaps. Document lessons learned. Raise CARs where gaps found.</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Key Person Absence Simulation</w:t>
            </w:r>
          </w:p>
        </w:tc>
        <w:tc>
          <w:tcPr>
            <w:tcW w:type="dxa" w:w="32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Annual</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conducts a planned 'day without HoT' exercise to verify runbooks are sufficient and break-glass access works. Document result.</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Communication Plan Check</w:t>
            </w:r>
          </w:p>
        </w:tc>
        <w:tc>
          <w:tcPr>
            <w:tcW w:type="dxa" w:w="326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Quarterly</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verifies out-of-band contact details in ISMS-IRP-001 §15 are current. Confirm personal mobile numbers and fallback email addresses.</w:t>
            </w:r>
          </w:p>
        </w:tc>
      </w:tr>
    </w:tbl>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260"/>
        <w:gridCol w:w="400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w:t>
            </w:r>
          </w:p>
        </w:tc>
        <w:tc>
          <w:tcPr>
            <w:tcW w:type="dxa" w:w="3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Title</w:t>
            </w:r>
          </w:p>
        </w:tc>
        <w:tc>
          <w:tcPr>
            <w:tcW w:type="dxa" w:w="4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Relationship</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ISMS-IRP-001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Incident Response Plan</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Ransomware recovery invokes this BCP. Playbook 1 cross-references BCP §5.2.</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ISMS-PLN-001</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Risk Register</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ISK-005 (BCP failure) and ISK-006 (key person) are treated by this document.</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ISMS-PEV-001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Performance Evaluation</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KPI-022 (backup success) and KPI-023 (restoration test) are measured and reported monthly.</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ISMS-OPS-001</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Operation</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OPS-006 (backup validation) and runbooks for critical processes support key person continuity.</w:t>
            </w:r>
          </w:p>
        </w:tc>
      </w:tr>
    </w:tbl>
    <w:p>
      <w:pPr>
        <w:spacing w:after="60" w:before="120"/>
      </w:pPr>
    </w:p>
    <w:p>
      <w:pPr>
        <w:spacing w:after="0" w:before="60"/>
        <w:jc w:val="center"/>
      </w:pPr>
      <w:r>
        <w:rPr>
          <w:rFonts w:ascii="Arial" w:cs="Arial" w:eastAsia="Arial" w:hAnsi="Arial"/>
          <w:color w:val="AAAAAA"/>
          <w:sz w:val="14"/>
          <w:szCs w:val="14"/>
        </w:rPr>
        <w:t xml:space="preserve">END OF DOCUMENT — ISMS-BCP-001 v1.0</w:t>
      </w:r>
    </w:p>
    <w:sectPr>
      <w:headerReference w:type="default" r:id="rId7"/>
      <w:footerReference w:type="default" r:id="rId8"/>
      <w:pgSz w:w="11906" w:h="16838" w:orient="portrait"/>
      <w:pgMar w:top="1260" w:right="1134" w:bottom="126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 w:val="right" w:pos="9026"/>
      </w:tabs>
      <w:spacing w:before="100"/>
    </w:pPr>
    <w:r>
      <w:rPr>
        <w:rFonts w:ascii="Arial" w:cs="Arial" w:eastAsia="Arial" w:hAnsi="Arial"/>
        <w:b/>
        <w:bCs/>
        <w:color w:val="2E75B6"/>
        <w:sz w:val="15"/>
        <w:szCs w:val="15"/>
      </w:rPr>
      <w:t xml:space="preserve">INTERNAL</w:t>
    </w:r>
    <w:r>
      <w:rPr>
        <w:rFonts w:ascii="Arial" w:cs="Arial" w:eastAsia="Arial" w:hAnsi="Arial"/>
        <w:color w:val="888888"/>
        <w:sz w:val="15"/>
        <w:szCs w:val="15"/>
      </w:rPr>
      <w:t xml:space="preserve">	Page </w:t>
    </w:r>
    <w:fldSimple w:instr="PAGE">
      <w:r>
        <w:rPr>
          <w:rFonts w:ascii="Arial" w:cs="Arial" w:eastAsia="Arial" w:hAnsi="Arial"/>
          <w:color w:val="888888"/>
          <w:sz w:val="15"/>
          <w:szCs w:val="15"/>
        </w:rPr>
      </w:r>
    </w:fldSimple>
    <w:r>
      <w:rPr>
        <w:rFonts w:ascii="Arial" w:cs="Arial" w:eastAsia="Arial" w:hAnsi="Arial"/>
        <w:color w:val="888888"/>
        <w:sz w:val="15"/>
        <w:szCs w:val="15"/>
      </w:rPr>
      <w:t xml:space="preserve">	02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00"/>
    </w:pPr>
    <w:r>
      <w:rPr>
        <w:rFonts w:ascii="Arial" w:cs="Arial" w:eastAsia="Arial" w:hAnsi="Arial"/>
        <w:b/>
        <w:bCs/>
        <w:color w:val="1F3864"/>
        <w:sz w:val="17"/>
        <w:szCs w:val="17"/>
      </w:rPr>
      <w:t xml:space="preserve">Apex Managed Services Ltd — Business Continuity Plan &amp; DRP</w:t>
    </w:r>
    <w:r>
      <w:rPr>
        <w:rFonts w:ascii="Arial" w:cs="Arial" w:eastAsia="Arial" w:hAnsi="Arial"/>
        <w:color w:val="888888"/>
        <w:sz w:val="15"/>
        <w:szCs w:val="15"/>
      </w:rPr>
      <w:t xml:space="preserve">	ISMS-BCP-001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2026-04-03T11:22:00.932Z</dcterms:created>
  <dcterms:modified xsi:type="dcterms:W3CDTF">2026-04-03T11:22:00.933Z</dcterms:modified>
</cp:coreProperties>
</file>

<file path=docProps/custom.xml><?xml version="1.0" encoding="utf-8"?>
<Properties xmlns="http://schemas.openxmlformats.org/officeDocument/2006/custom-properties" xmlns:vt="http://schemas.openxmlformats.org/officeDocument/2006/docPropsVTypes"/>
</file>