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pBdr>
          <w:bottom w:val="single" w:color="2E75B6" w:sz="18" w:space="4"/>
        </w:pBdr>
        <w:spacing w:after="240" w:before="0"/>
        <w:jc w:val="center"/>
      </w:pPr>
      <w:r>
        <w:rPr>
          <w:rFonts w:ascii="Arial" w:cs="Arial" w:eastAsia="Arial" w:hAnsi="Arial"/>
          <w:b/>
          <w:bCs/>
          <w:color w:val="1F3864"/>
          <w:sz w:val="52"/>
          <w:szCs w:val="52"/>
        </w:rPr>
        <w:t xml:space="preserve">Apex Managed Services Ltd</w:t>
      </w:r>
    </w:p>
    <w:p>
      <w:pPr>
        <w:spacing w:after="120" w:before="240"/>
        <w:jc w:val="center"/>
      </w:pPr>
      <w:r>
        <w:rPr>
          <w:rFonts w:ascii="Arial" w:cs="Arial" w:eastAsia="Arial" w:hAnsi="Arial"/>
          <w:color w:val="404040"/>
          <w:sz w:val="32"/>
          <w:szCs w:val="32"/>
        </w:rPr>
        <w:t xml:space="preserve">Information Security Management System</w:t>
      </w:r>
    </w:p>
    <w:p>
      <w:pPr>
        <w:spacing w:after="120" w:before="0"/>
        <w:jc w:val="center"/>
      </w:pPr>
      <w:r>
        <w:rPr>
          <w:rFonts w:ascii="Arial" w:cs="Arial" w:eastAsia="Arial" w:hAnsi="Arial"/>
          <w:b/>
          <w:bCs/>
          <w:color w:val="2E75B6"/>
          <w:sz w:val="36"/>
          <w:szCs w:val="36"/>
        </w:rPr>
        <w:t xml:space="preserve">Corrective Action, Nonconformity</w:t>
      </w:r>
    </w:p>
    <w:p>
      <w:pPr>
        <w:spacing w:after="120" w:before="0"/>
        <w:jc w:val="center"/>
      </w:pPr>
      <w:r>
        <w:rPr>
          <w:rFonts w:ascii="Arial" w:cs="Arial" w:eastAsia="Arial" w:hAnsi="Arial"/>
          <w:b/>
          <w:bCs/>
          <w:color w:val="2E75B6"/>
          <w:sz w:val="36"/>
          <w:szCs w:val="36"/>
        </w:rPr>
        <w:t xml:space="preserve">&amp; Continual Improvement</w:t>
      </w:r>
    </w:p>
    <w:p>
      <w:pPr>
        <w:spacing w:after="480" w:before="0"/>
        <w:jc w:val="center"/>
      </w:pPr>
      <w:r>
        <w:rPr>
          <w:rFonts w:ascii="Arial" w:cs="Arial" w:eastAsia="Arial" w:hAnsi="Arial"/>
          <w:color w:val="404040"/>
          <w:sz w:val="22"/>
          <w:szCs w:val="22"/>
        </w:rPr>
        <w:t xml:space="preserve">ISO/IEC 27001:2022 — Clauses 10.1 and 10.2</w:t>
      </w:r>
    </w:p>
    <w:p>
      <w:pPr>
        <w:spacing w:after="80" w:before="0"/>
        <w:jc w:val="center"/>
      </w:pPr>
      <w:r>
        <w:rPr>
          <w:rFonts w:ascii="Arial" w:cs="Arial" w:eastAsia="Arial" w:hAnsi="Arial"/>
          <w:color w:val="888888"/>
          <w:sz w:val="20"/>
          <w:szCs w:val="20"/>
        </w:rPr>
        <w:t xml:space="preserve">ISMS-CAR-001  |  ISMS-CI-001  |  Version 1.0  |  02 April 2026</w:t>
      </w:r>
    </w:p>
    <w:p>
      <w:pPr>
        <w:spacing w:after="600" w:before="0"/>
        <w:jc w:val="center"/>
      </w:pPr>
      <w:r>
        <w:rPr>
          <w:rFonts w:ascii="Arial" w:cs="Arial" w:eastAsia="Arial" w:hAnsi="Arial"/>
          <w:b/>
          <w:bCs/>
          <w:color w:val="2E75B6"/>
          <w:sz w:val="22"/>
          <w:szCs w:val="22"/>
        </w:rPr>
        <w:t xml:space="preserve">INTERNAL</w:t>
      </w: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Document Control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3860"/>
        <w:gridCol w:w="1800"/>
        <w:gridCol w:w="1200"/>
      </w:tblGrid>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ISMS-CAR-001 / ISMS-CI-001</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Title</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Corrective Action, Nonconformity &amp; Continual Improvement</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Organisation</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Apex Managed Services Ltd</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12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INTERNAL</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Owner</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 Frequency</w:t>
            </w:r>
          </w:p>
        </w:tc>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Annual + triggered</w:t>
            </w:r>
          </w:p>
        </w:tc>
      </w:tr>
      <w:t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ISO 27001:2022 Clauses</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10.1 — Continual Improvement; 10.2 — Nonconformity and Corrective Action</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200"/>
            <w:gridSpan w:val="1"/>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w:t>
            </w:r>
          </w:p>
        </w:tc>
      </w:tr>
    </w:tbl>
    <w:p>
      <w:pPr>
        <w:spacing w:after="120" w:before="120"/>
      </w:pPr>
    </w:p>
    <w:p>
      <w:pPr>
        <w:pStyle w:val="Heading2"/>
        <w:spacing w:after="80" w:before="240"/>
      </w:pPr>
      <w:r>
        <w:rPr>
          <w:rFonts w:ascii="Arial" w:cs="Arial" w:eastAsia="Arial" w:hAnsi="Arial"/>
          <w:b/>
          <w:bCs/>
          <w:color w:val="2E75B6"/>
          <w:sz w:val="26"/>
          <w:szCs w:val="26"/>
        </w:rPr>
        <w:t xml:space="preserve">Document Approval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26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2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Signature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Prepared By</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Reviewed By</w:t>
            </w:r>
          </w:p>
        </w:tc>
        <w:tc>
          <w:tcPr>
            <w:tcW w:type="dxa" w:w="3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Approved By</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120" w:before="120"/>
      </w:pPr>
    </w:p>
    <w:p>
      <w:pPr>
        <w:pStyle w:val="Heading2"/>
        <w:spacing w:after="80" w:before="240"/>
      </w:pPr>
      <w:r>
        <w:rPr>
          <w:rFonts w:ascii="Arial" w:cs="Arial" w:eastAsia="Arial" w:hAnsi="Arial"/>
          <w:b/>
          <w:bCs/>
          <w:color w:val="2E75B6"/>
          <w:sz w:val="26"/>
          <w:szCs w:val="26"/>
        </w:rPr>
        <w:t xml:space="preserve">Version History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260"/>
        <w:gridCol w:w="2300"/>
      </w:tblGrid>
      <w:tr>
        <w:trPr>
          <w:tblHeader/>
        </w:trPr>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4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 Description</w:t>
            </w:r>
          </w:p>
        </w:tc>
        <w:tc>
          <w:tcPr>
            <w:tcW w:type="dxa" w:w="2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r>
      <w:tr>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c>
          <w:tcPr>
            <w:tcW w:type="dxa" w:w="4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Initial release. Covers Clause 10.2 corrective action procedure (including nonconformity classification, root cause analysis, 7-step process, response timelines, and effectiveness evaluation) and Clause 10.1 continual improvement register with improvement source framework.</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r>
    </w:tbl>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Contents</w:t>
      </w:r>
    </w:p>
    <w:p>
      <w:pPr>
        <w:spacing w:after="80" w:before="80"/>
        <w:jc w:val="left"/>
      </w:pPr>
      <w:r>
        <w:rPr>
          <w:rFonts w:ascii="Arial" w:cs="Arial" w:eastAsia="Arial" w:hAnsi="Arial"/>
          <w:b w:val="false"/>
          <w:bCs w:val="false"/>
          <w:color w:val="000000"/>
          <w:sz w:val="20"/>
          <w:szCs w:val="20"/>
        </w:rPr>
        <w:t xml:space="preserve">1.  Purpose and Scope</w:t>
      </w:r>
    </w:p>
    <w:p>
      <w:pPr>
        <w:spacing w:after="80" w:before="80"/>
        <w:jc w:val="left"/>
      </w:pPr>
      <w:r>
        <w:rPr>
          <w:rFonts w:ascii="Arial" w:cs="Arial" w:eastAsia="Arial" w:hAnsi="Arial"/>
          <w:b w:val="false"/>
          <w:bCs w:val="false"/>
          <w:color w:val="000000"/>
          <w:sz w:val="20"/>
          <w:szCs w:val="20"/>
        </w:rPr>
        <w:t xml:space="preserve">2.  Relationship Between Clauses 10.1 and 10.2</w:t>
      </w:r>
    </w:p>
    <w:p>
      <w:pPr>
        <w:spacing w:after="80" w:before="80"/>
        <w:jc w:val="left"/>
      </w:pPr>
      <w:r>
        <w:rPr>
          <w:rFonts w:ascii="Arial" w:cs="Arial" w:eastAsia="Arial" w:hAnsi="Arial"/>
          <w:b w:val="false"/>
          <w:bCs w:val="false"/>
          <w:color w:val="000000"/>
          <w:sz w:val="20"/>
          <w:szCs w:val="20"/>
        </w:rPr>
        <w:t xml:space="preserve">3.  Clause 10.2 — Nonconformity and Corrective Action</w:t>
      </w:r>
    </w:p>
    <w:p>
      <w:pPr>
        <w:spacing w:after="80" w:before="80"/>
        <w:jc w:val="left"/>
      </w:pPr>
      <w:r>
        <w:rPr>
          <w:rFonts w:ascii="Arial" w:cs="Arial" w:eastAsia="Arial" w:hAnsi="Arial"/>
          <w:b w:val="false"/>
          <w:bCs w:val="false"/>
          <w:color w:val="000000"/>
          <w:sz w:val="20"/>
          <w:szCs w:val="20"/>
        </w:rPr>
        <w:t xml:space="preserve">    3.1  Nonconformity Sources</w:t>
      </w:r>
    </w:p>
    <w:p>
      <w:pPr>
        <w:spacing w:after="80" w:before="80"/>
        <w:jc w:val="left"/>
      </w:pPr>
      <w:r>
        <w:rPr>
          <w:rFonts w:ascii="Arial" w:cs="Arial" w:eastAsia="Arial" w:hAnsi="Arial"/>
          <w:b w:val="false"/>
          <w:bCs w:val="false"/>
          <w:color w:val="000000"/>
          <w:sz w:val="20"/>
          <w:szCs w:val="20"/>
        </w:rPr>
        <w:t xml:space="preserve">    3.2  Nonconformity Classification</w:t>
      </w:r>
    </w:p>
    <w:p>
      <w:pPr>
        <w:spacing w:after="80" w:before="80"/>
        <w:jc w:val="left"/>
      </w:pPr>
      <w:r>
        <w:rPr>
          <w:rFonts w:ascii="Arial" w:cs="Arial" w:eastAsia="Arial" w:hAnsi="Arial"/>
          <w:b w:val="false"/>
          <w:bCs w:val="false"/>
          <w:color w:val="000000"/>
          <w:sz w:val="20"/>
          <w:szCs w:val="20"/>
        </w:rPr>
        <w:t xml:space="preserve">    3.3  Corrective Action Process (7 Steps)</w:t>
      </w:r>
    </w:p>
    <w:p>
      <w:pPr>
        <w:spacing w:after="80" w:before="80"/>
        <w:jc w:val="left"/>
      </w:pPr>
      <w:r>
        <w:rPr>
          <w:rFonts w:ascii="Arial" w:cs="Arial" w:eastAsia="Arial" w:hAnsi="Arial"/>
          <w:b w:val="false"/>
          <w:bCs w:val="false"/>
          <w:color w:val="000000"/>
          <w:sz w:val="20"/>
          <w:szCs w:val="20"/>
        </w:rPr>
        <w:t xml:space="preserve">    3.4  Response Timelines by Severity</w:t>
      </w:r>
    </w:p>
    <w:p>
      <w:pPr>
        <w:spacing w:after="80" w:before="80"/>
        <w:jc w:val="left"/>
      </w:pPr>
      <w:r>
        <w:rPr>
          <w:rFonts w:ascii="Arial" w:cs="Arial" w:eastAsia="Arial" w:hAnsi="Arial"/>
          <w:b w:val="false"/>
          <w:bCs w:val="false"/>
          <w:color w:val="000000"/>
          <w:sz w:val="20"/>
          <w:szCs w:val="20"/>
        </w:rPr>
        <w:t xml:space="preserve">    3.5  Root Cause Analysis Methodology</w:t>
      </w:r>
    </w:p>
    <w:p>
      <w:pPr>
        <w:spacing w:after="80" w:before="80"/>
        <w:jc w:val="left"/>
      </w:pPr>
      <w:r>
        <w:rPr>
          <w:rFonts w:ascii="Arial" w:cs="Arial" w:eastAsia="Arial" w:hAnsi="Arial"/>
          <w:b w:val="false"/>
          <w:bCs w:val="false"/>
          <w:color w:val="000000"/>
          <w:sz w:val="20"/>
          <w:szCs w:val="20"/>
        </w:rPr>
        <w:t xml:space="preserve">    3.6  Root Cause Analysis Template</w:t>
      </w:r>
    </w:p>
    <w:p>
      <w:pPr>
        <w:spacing w:after="80" w:before="80"/>
        <w:jc w:val="left"/>
      </w:pPr>
      <w:r>
        <w:rPr>
          <w:rFonts w:ascii="Arial" w:cs="Arial" w:eastAsia="Arial" w:hAnsi="Arial"/>
          <w:b w:val="false"/>
          <w:bCs w:val="false"/>
          <w:color w:val="000000"/>
          <w:sz w:val="20"/>
          <w:szCs w:val="20"/>
        </w:rPr>
        <w:t xml:space="preserve">    3.7  Effectiveness Evaluation</w:t>
      </w:r>
    </w:p>
    <w:p>
      <w:pPr>
        <w:spacing w:after="80" w:before="80"/>
        <w:jc w:val="left"/>
      </w:pPr>
      <w:r>
        <w:rPr>
          <w:rFonts w:ascii="Arial" w:cs="Arial" w:eastAsia="Arial" w:hAnsi="Arial"/>
          <w:b w:val="false"/>
          <w:bCs w:val="false"/>
          <w:color w:val="000000"/>
          <w:sz w:val="20"/>
          <w:szCs w:val="20"/>
        </w:rPr>
        <w:t xml:space="preserve">    3.8  Corrective Action Tracker (ISMS-CAR-001)</w:t>
      </w:r>
    </w:p>
    <w:p>
      <w:pPr>
        <w:spacing w:after="80" w:before="80"/>
        <w:jc w:val="left"/>
      </w:pPr>
      <w:r>
        <w:rPr>
          <w:rFonts w:ascii="Arial" w:cs="Arial" w:eastAsia="Arial" w:hAnsi="Arial"/>
          <w:b w:val="false"/>
          <w:bCs w:val="false"/>
          <w:color w:val="000000"/>
          <w:sz w:val="20"/>
          <w:szCs w:val="20"/>
        </w:rPr>
        <w:t xml:space="preserve">4.  Clause 10.1 — Continual Improvement</w:t>
      </w:r>
    </w:p>
    <w:p>
      <w:pPr>
        <w:spacing w:after="80" w:before="80"/>
        <w:jc w:val="left"/>
      </w:pPr>
      <w:r>
        <w:rPr>
          <w:rFonts w:ascii="Arial" w:cs="Arial" w:eastAsia="Arial" w:hAnsi="Arial"/>
          <w:b w:val="false"/>
          <w:bCs w:val="false"/>
          <w:color w:val="000000"/>
          <w:sz w:val="20"/>
          <w:szCs w:val="20"/>
        </w:rPr>
        <w:t xml:space="preserve">    4.1  Improvement Principle</w:t>
      </w:r>
    </w:p>
    <w:p>
      <w:pPr>
        <w:spacing w:after="80" w:before="80"/>
        <w:jc w:val="left"/>
      </w:pPr>
      <w:r>
        <w:rPr>
          <w:rFonts w:ascii="Arial" w:cs="Arial" w:eastAsia="Arial" w:hAnsi="Arial"/>
          <w:b w:val="false"/>
          <w:bCs w:val="false"/>
          <w:color w:val="000000"/>
          <w:sz w:val="20"/>
          <w:szCs w:val="20"/>
        </w:rPr>
        <w:t xml:space="preserve">    4.2  Sources of Improvement</w:t>
      </w:r>
    </w:p>
    <w:p>
      <w:pPr>
        <w:spacing w:after="80" w:before="80"/>
        <w:jc w:val="left"/>
      </w:pPr>
      <w:r>
        <w:rPr>
          <w:rFonts w:ascii="Arial" w:cs="Arial" w:eastAsia="Arial" w:hAnsi="Arial"/>
          <w:b w:val="false"/>
          <w:bCs w:val="false"/>
          <w:color w:val="000000"/>
          <w:sz w:val="20"/>
          <w:szCs w:val="20"/>
        </w:rPr>
        <w:t xml:space="preserve">    4.3  Improvement Prioritisation</w:t>
      </w:r>
    </w:p>
    <w:p>
      <w:pPr>
        <w:spacing w:after="80" w:before="80"/>
        <w:jc w:val="left"/>
      </w:pPr>
      <w:r>
        <w:rPr>
          <w:rFonts w:ascii="Arial" w:cs="Arial" w:eastAsia="Arial" w:hAnsi="Arial"/>
          <w:b w:val="false"/>
          <w:bCs w:val="false"/>
          <w:color w:val="000000"/>
          <w:sz w:val="20"/>
          <w:szCs w:val="20"/>
        </w:rPr>
        <w:t xml:space="preserve">    4.4  Continual Improvement Register (ISMS-CI-001)</w:t>
      </w:r>
    </w:p>
    <w:p>
      <w:pPr>
        <w:spacing w:after="80" w:before="80"/>
        <w:jc w:val="left"/>
      </w:pPr>
      <w:r>
        <w:rPr>
          <w:rFonts w:ascii="Arial" w:cs="Arial" w:eastAsia="Arial" w:hAnsi="Arial"/>
          <w:b w:val="false"/>
          <w:bCs w:val="false"/>
          <w:color w:val="000000"/>
          <w:sz w:val="20"/>
          <w:szCs w:val="20"/>
        </w:rPr>
        <w:t xml:space="preserve">    4.5  Improvement Effectiveness Review</w:t>
      </w:r>
    </w:p>
    <w:p>
      <w:pPr>
        <w:spacing w:after="80" w:before="80"/>
        <w:jc w:val="left"/>
      </w:pPr>
      <w:r>
        <w:rPr>
          <w:rFonts w:ascii="Arial" w:cs="Arial" w:eastAsia="Arial" w:hAnsi="Arial"/>
          <w:b w:val="false"/>
          <w:bCs w:val="false"/>
          <w:color w:val="000000"/>
          <w:sz w:val="20"/>
          <w:szCs w:val="20"/>
        </w:rPr>
        <w:t xml:space="preserve">5.  Interaction with Other ISMS Processes</w:t>
      </w:r>
    </w:p>
    <w:p>
      <w:pPr>
        <w:spacing w:after="80" w:before="80"/>
        <w:jc w:val="left"/>
      </w:pPr>
      <w:r>
        <w:rPr>
          <w:rFonts w:ascii="Arial" w:cs="Arial" w:eastAsia="Arial" w:hAnsi="Arial"/>
          <w:b w:val="false"/>
          <w:bCs w:val="false"/>
          <w:color w:val="000000"/>
          <w:sz w:val="20"/>
          <w:szCs w:val="20"/>
        </w:rPr>
        <w:t xml:space="preserve">6.  Linkage to Other ISMS Documents</w:t>
      </w:r>
    </w:p>
    <w:p>
      <w:pPr>
        <w:spacing w:after="80" w:before="80"/>
        <w:jc w:val="left"/>
      </w:pPr>
      <w:r>
        <w:rPr>
          <w:rFonts w:ascii="Arial" w:cs="Arial" w:eastAsia="Arial" w:hAnsi="Arial"/>
          <w:b w:val="false"/>
          <w:bCs w:val="false"/>
          <w:color w:val="000000"/>
          <w:sz w:val="20"/>
          <w:szCs w:val="20"/>
        </w:rPr>
        <w:t xml:space="preserve">7.  Review and Maintenance</w:t>
      </w:r>
    </w:p>
    <w:p>
      <w:pPr>
        <w:spacing w:after="80" w:before="80"/>
        <w:jc w:val="left"/>
      </w:pPr>
      <w:r>
        <w:rPr>
          <w:rFonts w:ascii="Arial" w:cs="Arial" w:eastAsia="Arial" w:hAnsi="Arial"/>
          <w:b w:val="false"/>
          <w:bCs w:val="false"/>
          <w:color w:val="000000"/>
          <w:sz w:val="20"/>
          <w:szCs w:val="20"/>
        </w:rPr>
        <w:t xml:space="preserve">8.  References</w:t>
      </w:r>
    </w:p>
    <w:p>
      <w:pPr>
        <w:spacing w:after="60" w:before="60"/>
      </w:pPr>
    </w:p>
    <w:p>
      <w:pPr>
        <w:spacing w:after="80" w:before="80"/>
        <w:jc w:val="left"/>
      </w:pPr>
      <w:r>
        <w:rPr>
          <w:rFonts w:ascii="Arial" w:cs="Arial" w:eastAsia="Arial" w:hAnsi="Arial"/>
          <w:b w:val="false"/>
          <w:bCs w:val="false"/>
          <w:color w:val="888888"/>
          <w:sz w:val="18"/>
          <w:szCs w:val="18"/>
        </w:rPr>
        <w:t xml:space="preserve">Note: Update this page manually or use Word's built-in TOC feature after opening.</w:t>
      </w: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1. Purpose and Scope</w:t>
      </w:r>
    </w:p>
    <w:p>
      <w:pPr>
        <w:spacing w:after="80" w:before="80"/>
        <w:jc w:val="left"/>
      </w:pPr>
      <w:r>
        <w:rPr>
          <w:rFonts w:ascii="Arial" w:cs="Arial" w:eastAsia="Arial" w:hAnsi="Arial"/>
          <w:b w:val="false"/>
          <w:bCs w:val="false"/>
          <w:color w:val="000000"/>
          <w:sz w:val="20"/>
          <w:szCs w:val="20"/>
        </w:rPr>
        <w:t xml:space="preserve">This document serves a dual function within the ISMS of Apex Managed Services Ltd:</w:t>
      </w:r>
    </w:p>
    <w:p>
      <w:pPr>
        <w:spacing w:after="60" w:before="60"/>
      </w:pPr>
    </w:p>
    <w:p>
      <w:pPr>
        <w:pStyle w:val="ListParagraph"/>
        <w:numPr>
          <w:ilvl w:val="0"/>
          <w:numId w:val="2"/>
        </w:numPr>
        <w:spacing w:after="40" w:before="40"/>
      </w:pPr>
      <w:r>
        <w:rPr>
          <w:rFonts w:ascii="Arial" w:cs="Arial" w:eastAsia="Arial" w:hAnsi="Arial"/>
          <w:sz w:val="20"/>
          <w:szCs w:val="20"/>
        </w:rPr>
        <w:t xml:space="preserve">As ISMS-CAR-001 — it constitutes the Nonconformity and Corrective Action Procedure, providing the documented process required by ISO/IEC 27001:2022 Clause 10.2. It covers the identification, classification, containment, root cause analysis, correction, and effectiveness evaluation of all nonconformities arising within the ISMS.</w:t>
      </w:r>
    </w:p>
    <w:p>
      <w:pPr>
        <w:pStyle w:val="ListParagraph"/>
        <w:numPr>
          <w:ilvl w:val="0"/>
          <w:numId w:val="2"/>
        </w:numPr>
        <w:spacing w:after="40" w:before="40"/>
      </w:pPr>
      <w:r>
        <w:rPr>
          <w:rFonts w:ascii="Arial" w:cs="Arial" w:eastAsia="Arial" w:hAnsi="Arial"/>
          <w:sz w:val="20"/>
          <w:szCs w:val="20"/>
        </w:rPr>
        <w:t xml:space="preserve">As ISMS-CI-001 — it constitutes the Continual Improvement Register, providing the documented evidence required by ISO/IEC 27001:2022 Clause 10.1 that the organisation is continually improving the suitability, adequacy, and effectiveness of the ISMS.</w:t>
      </w:r>
    </w:p>
    <w:p>
      <w:pPr>
        <w:spacing w:after="60" w:before="60"/>
      </w:pPr>
    </w:p>
    <w:p>
      <w:pPr>
        <w:spacing w:after="80" w:before="80"/>
        <w:jc w:val="left"/>
      </w:pPr>
      <w:r>
        <w:rPr>
          <w:rFonts w:ascii="Arial" w:cs="Arial" w:eastAsia="Arial" w:hAnsi="Arial"/>
          <w:b w:val="false"/>
          <w:bCs w:val="false"/>
          <w:color w:val="000000"/>
          <w:sz w:val="20"/>
          <w:szCs w:val="20"/>
        </w:rPr>
        <w:t xml:space="preserve">This document applies to all information security nonconformities and improvement opportunities arising within the scope of the ISMS, regardless of their source. All personnel are responsible for reporting potential nonconformities and improvement opportunities. The Information Security Manager is responsible for managing this document and the processes it governs.</w:t>
      </w:r>
    </w:p>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2. Relationship Between Clauses 10.1 and 10.2</w:t>
      </w:r>
    </w:p>
    <w:p>
      <w:pPr>
        <w:spacing w:after="80" w:before="80"/>
        <w:jc w:val="left"/>
      </w:pPr>
      <w:r>
        <w:rPr>
          <w:rFonts w:ascii="Arial" w:cs="Arial" w:eastAsia="Arial" w:hAnsi="Arial"/>
          <w:b w:val="false"/>
          <w:bCs w:val="false"/>
          <w:color w:val="000000"/>
          <w:sz w:val="20"/>
          <w:szCs w:val="20"/>
        </w:rPr>
        <w:t xml:space="preserve">Clauses 10.1 and 10.2 are complementary and should be read together. The distinction is as follows: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060"/>
      </w:tblGrid>
      <w:tr>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Clause 10.2 — Corrective Action</w:t>
            </w:r>
          </w:p>
        </w:tc>
        <w:tc>
          <w:tcPr>
            <w:tcW w:type="dxa" w:w="40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Clause 10.1 — Continual Improvement</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Trigger</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 nonconformity has occurred — a requirement of ISO 27001:2022 or the organisation's own ISMS requirements has not been met.</w:t>
            </w:r>
          </w:p>
        </w:tc>
        <w:tc>
          <w:tcPr>
            <w:tcW w:type="dxa" w:w="4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 opportunity to improve has been identified — no nonconformity need exist. Improvements may arise from ambition, efficiency, or evolving best practice.</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Mandatory?</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 Clause 10.2 is mandatory. Every nonconformity must be documented, root-caused, corrected, and effectiveness-evaluated.</w:t>
            </w:r>
          </w:p>
        </w:tc>
        <w:tc>
          <w:tcPr>
            <w:tcW w:type="dxa" w:w="4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 Clause 10.1 is mandatory but does not prescribe a specific process. The organisation must demonstrate that improvement is occurring.</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Output</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Corrective Action Record in ISMS-CAR-001 tracker. Root cause eliminated. Nonconformity closed with effectiveness evidence.</w:t>
            </w:r>
          </w:p>
        </w:tc>
        <w:tc>
          <w:tcPr>
            <w:tcW w:type="dxa" w:w="40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Improvement entry in ISMS-CI-001 register. Improvement implemented and outcome recorded. Demonstrated at management review.</w:t>
            </w:r>
          </w:p>
        </w:tc>
      </w:tr>
      <w:tr>
        <w:tc>
          <w:tcPr>
            <w:tcW w:type="dxa" w:w="12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Relationship</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Every corrective action is also an improvement act. A closed CAR contributes to the continual improvement evidence base.</w:t>
            </w:r>
          </w:p>
        </w:tc>
        <w:tc>
          <w:tcPr>
            <w:tcW w:type="dxa" w:w="40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 all improvements arise from nonconformities. Proactive improvements raised via CI register do not require a CAR unless a nonconformity exists.</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3. Clause 10.2 — Nonconformity and Corrective Action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10.2</w:t>
            </w:r>
          </w:p>
          <w:p>
            <w:pPr>
              <w:jc w:val="center"/>
            </w:pPr>
            <w:r>
              <w:rPr>
                <w:rFonts w:ascii="Arial" w:cs="Arial" w:eastAsia="Arial" w:hAnsi="Arial"/>
                <w:color w:val="D6E4F0"/>
                <w:sz w:val="14"/>
                <w:szCs w:val="14"/>
              </w:rPr>
              <w:t xml:space="preserve">Corrective Action</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When a nonconformity occurs, the organisation shall: react to it and control/correct it; evaluate the need to eliminate the cause; implement necessary actions; review effectiveness; update the ISMS if necessary; make changes to the ISMS if needed. Corrective actions shall be appropriate to the effects. Documented information shall be retained.</w:t>
            </w:r>
          </w:p>
        </w:tc>
      </w:tr>
    </w:tbl>
    <w:p>
      <w:pPr>
        <w:spacing w:after="120" w:before="120"/>
      </w:pPr>
    </w:p>
    <w:p>
      <w:pPr>
        <w:pStyle w:val="Heading2"/>
        <w:spacing w:after="80" w:before="240"/>
      </w:pPr>
      <w:r>
        <w:rPr>
          <w:rFonts w:ascii="Arial" w:cs="Arial" w:eastAsia="Arial" w:hAnsi="Arial"/>
          <w:b/>
          <w:bCs/>
          <w:color w:val="2E75B6"/>
          <w:sz w:val="26"/>
          <w:szCs w:val="26"/>
        </w:rPr>
        <w:t xml:space="preserve">3.1 Nonconformity Sources</w:t>
      </w:r>
    </w:p>
    <w:p>
      <w:pPr>
        <w:spacing w:after="80" w:before="80"/>
        <w:jc w:val="left"/>
      </w:pPr>
      <w:r>
        <w:rPr>
          <w:rFonts w:ascii="Arial" w:cs="Arial" w:eastAsia="Arial" w:hAnsi="Arial"/>
          <w:b w:val="false"/>
          <w:bCs w:val="false"/>
          <w:color w:val="000000"/>
          <w:sz w:val="20"/>
          <w:szCs w:val="20"/>
        </w:rPr>
        <w:t xml:space="preserve">A nonconformity is any failure to meet a requirement — whether from ISO 27001:2022, the organisation's own ISMS policies and procedures, or applicable legal and regulatory obligations. Nonconformities may be identified through any of the following sources:</w:t>
      </w:r>
    </w:p>
    <w:p>
      <w:pPr>
        <w:spacing w:after="60" w:before="60"/>
      </w:pPr>
    </w:p>
    <w:p>
      <w:pPr>
        <w:pStyle w:val="ListParagraph"/>
        <w:numPr>
          <w:ilvl w:val="0"/>
          <w:numId w:val="2"/>
        </w:numPr>
        <w:spacing w:after="40" w:before="40"/>
      </w:pPr>
      <w:r>
        <w:rPr>
          <w:rFonts w:ascii="Arial" w:cs="Arial" w:eastAsia="Arial" w:hAnsi="Arial"/>
          <w:sz w:val="20"/>
          <w:szCs w:val="20"/>
        </w:rPr>
        <w:t xml:space="preserve">Internal audit findings (Major NC or Minor NC) — ISMS-IAP-001</w:t>
      </w:r>
    </w:p>
    <w:p>
      <w:pPr>
        <w:pStyle w:val="ListParagraph"/>
        <w:numPr>
          <w:ilvl w:val="0"/>
          <w:numId w:val="2"/>
        </w:numPr>
        <w:spacing w:after="40" w:before="40"/>
      </w:pPr>
      <w:r>
        <w:rPr>
          <w:rFonts w:ascii="Arial" w:cs="Arial" w:eastAsia="Arial" w:hAnsi="Arial"/>
          <w:sz w:val="20"/>
          <w:szCs w:val="20"/>
        </w:rPr>
        <w:t xml:space="preserve">External audit or certification body findings</w:t>
      </w:r>
    </w:p>
    <w:p>
      <w:pPr>
        <w:pStyle w:val="ListParagraph"/>
        <w:numPr>
          <w:ilvl w:val="0"/>
          <w:numId w:val="2"/>
        </w:numPr>
        <w:spacing w:after="40" w:before="40"/>
      </w:pPr>
      <w:r>
        <w:rPr>
          <w:rFonts w:ascii="Arial" w:cs="Arial" w:eastAsia="Arial" w:hAnsi="Arial"/>
          <w:sz w:val="20"/>
          <w:szCs w:val="20"/>
        </w:rPr>
        <w:t xml:space="preserve">Management review — identification of failed objectives or control failures</w:t>
      </w:r>
    </w:p>
    <w:p>
      <w:pPr>
        <w:pStyle w:val="ListParagraph"/>
        <w:numPr>
          <w:ilvl w:val="0"/>
          <w:numId w:val="2"/>
        </w:numPr>
        <w:spacing w:after="40" w:before="40"/>
      </w:pPr>
      <w:r>
        <w:rPr>
          <w:rFonts w:ascii="Arial" w:cs="Arial" w:eastAsia="Arial" w:hAnsi="Arial"/>
          <w:sz w:val="20"/>
          <w:szCs w:val="20"/>
        </w:rPr>
        <w:t xml:space="preserve">KPI breach — where a KPI target is missed for two or more consecutive periods</w:t>
      </w:r>
    </w:p>
    <w:p>
      <w:pPr>
        <w:pStyle w:val="ListParagraph"/>
        <w:numPr>
          <w:ilvl w:val="0"/>
          <w:numId w:val="2"/>
        </w:numPr>
        <w:spacing w:after="40" w:before="40"/>
      </w:pPr>
      <w:r>
        <w:rPr>
          <w:rFonts w:ascii="Arial" w:cs="Arial" w:eastAsia="Arial" w:hAnsi="Arial"/>
          <w:sz w:val="20"/>
          <w:szCs w:val="20"/>
        </w:rPr>
        <w:t xml:space="preserve">Security incidents — where a post-incident review identifies a control failure or process gap</w:t>
      </w:r>
    </w:p>
    <w:p>
      <w:pPr>
        <w:pStyle w:val="ListParagraph"/>
        <w:numPr>
          <w:ilvl w:val="0"/>
          <w:numId w:val="2"/>
        </w:numPr>
        <w:spacing w:after="40" w:before="40"/>
      </w:pPr>
      <w:r>
        <w:rPr>
          <w:rFonts w:ascii="Arial" w:cs="Arial" w:eastAsia="Arial" w:hAnsi="Arial"/>
          <w:sz w:val="20"/>
          <w:szCs w:val="20"/>
        </w:rPr>
        <w:t xml:space="preserve">Risk assessment — where a control is found to be missing or ineffective</w:t>
      </w:r>
    </w:p>
    <w:p>
      <w:pPr>
        <w:pStyle w:val="ListParagraph"/>
        <w:numPr>
          <w:ilvl w:val="0"/>
          <w:numId w:val="2"/>
        </w:numPr>
        <w:spacing w:after="40" w:before="40"/>
      </w:pPr>
      <w:r>
        <w:rPr>
          <w:rFonts w:ascii="Arial" w:cs="Arial" w:eastAsia="Arial" w:hAnsi="Arial"/>
          <w:sz w:val="20"/>
          <w:szCs w:val="20"/>
        </w:rPr>
        <w:t xml:space="preserve">Staff observation or reporting — any employee or contractor identifying a process failure</w:t>
      </w:r>
    </w:p>
    <w:p>
      <w:pPr>
        <w:pStyle w:val="ListParagraph"/>
        <w:numPr>
          <w:ilvl w:val="0"/>
          <w:numId w:val="2"/>
        </w:numPr>
        <w:spacing w:after="40" w:before="40"/>
      </w:pPr>
      <w:r>
        <w:rPr>
          <w:rFonts w:ascii="Arial" w:cs="Arial" w:eastAsia="Arial" w:hAnsi="Arial"/>
          <w:sz w:val="20"/>
          <w:szCs w:val="20"/>
        </w:rPr>
        <w:t xml:space="preserve">Supplier or third-party notification — where a supplier's failure creates a nonconformity in the organisation's ISMS</w:t>
      </w:r>
    </w:p>
    <w:p>
      <w:pPr>
        <w:spacing w:after="120" w:before="120"/>
      </w:pPr>
    </w:p>
    <w:p>
      <w:pPr>
        <w:pStyle w:val="Heading2"/>
        <w:spacing w:after="80" w:before="240"/>
      </w:pPr>
      <w:r>
        <w:rPr>
          <w:rFonts w:ascii="Arial" w:cs="Arial" w:eastAsia="Arial" w:hAnsi="Arial"/>
          <w:b/>
          <w:bCs/>
          <w:color w:val="2E75B6"/>
          <w:sz w:val="26"/>
          <w:szCs w:val="26"/>
        </w:rPr>
        <w:t xml:space="preserve">3.2 Nonconformity Classification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3460"/>
        <w:gridCol w:w="2400"/>
        <w:gridCol w:w="2000"/>
      </w:tblGrid>
      <w:tr>
        <w:trPr>
          <w:tblHeader/>
        </w:trPr>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34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 Response Timeline</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Escalation</w:t>
            </w:r>
          </w:p>
        </w:tc>
      </w:tr>
      <w:tr>
        <w:tc>
          <w:tcPr>
            <w:tcW w:type="dxa" w:w="14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Major NC</w:t>
            </w:r>
          </w:p>
        </w:tc>
        <w:tc>
          <w:tcPr>
            <w:tcW w:type="dxa" w:w="3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Complete absence or total failure of a required process or control; creates significant doubt about ISMS intended outcomes; or is a critical regulatory or legal compliance failure.</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Containment: immediate. Root cause analysis: within 10 working days. Corrective action plan: within 30 days. Effectiveness evaluation: within 90 days of action completion.</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Immediate notification to MD; reported to certification body at next contact; may affect certification status.</w:t>
            </w:r>
          </w:p>
        </w:tc>
      </w:tr>
      <w:tr>
        <w:tc>
          <w:tcPr>
            <w:tcW w:type="dxa" w:w="1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Minor NC</w:t>
            </w:r>
          </w:p>
        </w:tc>
        <w:tc>
          <w:tcPr>
            <w:tcW w:type="dxa" w:w="34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Isolated failure of a control or process; partial fulfilment of a requirement where key elements are present; may develop into a Major NC if unaddressed.</w:t>
            </w:r>
          </w:p>
        </w:tc>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Containment: within 5 working days. Root cause analysis: within 15 working days. Corrective action: within 60 days. Effectiveness evaluation: within 90 days of action completion.</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Reported to MD at next quarterly review; included in management review inputs.</w:t>
            </w:r>
          </w:p>
        </w:tc>
      </w:tr>
      <w:tr>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Observation</w:t>
            </w:r>
          </w:p>
        </w:tc>
        <w:tc>
          <w:tcPr>
            <w:tcW w:type="dxa" w:w="3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Not a current nonconformity but may become one; potential improvement area; risk worth monitoring. No mandatory corrective action — entered in CI register if warranted.</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ISM reviews within 10 working days and determines whether a CI entry should be raised. Tracked and reviewed at next audit.</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Included in management review agenda under continual improvement.</w:t>
            </w:r>
          </w:p>
        </w:tc>
      </w:tr>
    </w:tbl>
    <w:p>
      <w:pPr>
        <w:spacing w:after="120" w:before="120"/>
      </w:pPr>
    </w:p>
    <w:p>
      <w:pPr>
        <w:pStyle w:val="Heading2"/>
        <w:spacing w:after="80" w:before="240"/>
      </w:pPr>
      <w:r>
        <w:rPr>
          <w:rFonts w:ascii="Arial" w:cs="Arial" w:eastAsia="Arial" w:hAnsi="Arial"/>
          <w:b/>
          <w:bCs/>
          <w:color w:val="2E75B6"/>
          <w:sz w:val="26"/>
          <w:szCs w:val="26"/>
        </w:rPr>
        <w:t xml:space="preserve">3.3 Corrective Action Process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400"/>
        <w:gridCol w:w="3160"/>
        <w:gridCol w:w="2300"/>
      </w:tblGrid>
      <w:tr>
        <w:trPr>
          <w:tblHeader/>
        </w:trPr>
        <w:tc>
          <w:tcPr>
            <w:tcW w:type="dxa" w:w="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Activity</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Responsible</w:t>
            </w:r>
          </w:p>
        </w:tc>
        <w:tc>
          <w:tcPr>
            <w:tcW w:type="dxa" w:w="31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c>
          <w:tcPr>
            <w:tcW w:type="dxa" w:w="23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 / Evidence</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Identification and Recording</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Any person</w:t>
            </w:r>
          </w:p>
        </w:tc>
        <w:tc>
          <w:tcPr>
            <w:tcW w:type="dxa" w:w="3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Nonconformity identified and reported to ISM. ISM assigns a CAR ID (format: CAR-NNN) and enters the finding in the corrective action tracker within 2 working days of notification. For Major NCs, MD is notified immediately.</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CAR entry created in tracker (§3.8); notification email to MD for Major NC</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Containment Action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 HoT</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Immediate actions taken to limit the impact of the nonconformity and prevent its recurrence or escalation before root cause is addressed. Documented in the CAR record.</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Containment action log in CAR record; evidence of action taken</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Root Cause Analysis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(lead); process owner (input)</w:t>
            </w:r>
          </w:p>
        </w:tc>
        <w:tc>
          <w:tcPr>
            <w:tcW w:type="dxa" w:w="3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Structured root cause analysis using the 5-Why methodology (see §3.5). Systemic factors identified. Assessment of whether other processes or controls may be similarly affected.</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Completed RCA template (§3.6) attached to CAR record</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4</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Corrective Action Planning</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 MD (approval for Major NC)</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Corrective action plan developed addressing the root cause — not just the symptom. Each action assigned to a named owner with a target date. MD approval required for actions affecting scope, policy, or risk appetite.</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Corrective action plan documented in CAR record; MD sign-off for Major NC</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5</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Implementation</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Named action owner</w:t>
            </w:r>
          </w:p>
        </w:tc>
        <w:tc>
          <w:tcPr>
            <w:tcW w:type="dxa" w:w="3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Corrective actions implemented per the plan. Evidence of implementation collected and documented. ISM monitors progress against target dates and escalates delays to MD.</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Implementation evidence (configuration records, documents, training records, etc.)</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6</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Effectiveness Evaluation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Assessment of whether the corrective action has eliminated the root cause and prevented recurrence. Evaluated against the criteria defined in the corrective action plan. Must be based on objective evidence, not assertion.</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Effectiveness evaluation record in CAR; evidence reviewed; CAR status updated to Closed — Effective or Closed — Ineffective</w:t>
            </w:r>
          </w:p>
        </w:tc>
      </w:tr>
      <w:tr>
        <w:tc>
          <w:tcPr>
            <w:tcW w:type="dxa" w:w="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7</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Closure or Escalation</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c>
          <w:tcPr>
            <w:tcW w:type="dxa" w:w="31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If effective: CAR closed with closure date, evaluator name, and evidence reference. If ineffective: CAR re-opened, root cause revisited, new action planned. Repeat nonconformities escalated to management review as a systemic concern.</w:t>
            </w:r>
          </w:p>
        </w:tc>
        <w:tc>
          <w:tcPr>
            <w:tcW w:type="dxa" w:w="23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Closed CAR record; or re-opened CAR with revised action plan</w:t>
            </w:r>
          </w:p>
        </w:tc>
      </w:tr>
    </w:tbl>
    <w:p>
      <w:pPr>
        <w:spacing w:after="120" w:before="120"/>
      </w:pPr>
    </w:p>
    <w:p>
      <w:pPr>
        <w:pStyle w:val="Heading2"/>
        <w:spacing w:after="80" w:before="240"/>
      </w:pPr>
      <w:r>
        <w:rPr>
          <w:rFonts w:ascii="Arial" w:cs="Arial" w:eastAsia="Arial" w:hAnsi="Arial"/>
          <w:b/>
          <w:bCs/>
          <w:color w:val="2E75B6"/>
          <w:sz w:val="26"/>
          <w:szCs w:val="26"/>
        </w:rPr>
        <w:t xml:space="preserve">3.4 Response Timelines by Severity</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260"/>
        <w:gridCol w:w="2000"/>
      </w:tblGrid>
      <w:tr>
        <w:trPr>
          <w:tblHeader/>
        </w:trPr>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Containment</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RCA Complete</w:t>
            </w:r>
          </w:p>
        </w:tc>
        <w:tc>
          <w:tcPr>
            <w:tcW w:type="dxa" w:w="2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 Plan Approved</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Effectiveness Evaluation</w:t>
            </w:r>
          </w:p>
        </w:tc>
      </w:tr>
      <w:tr>
        <w:tc>
          <w:tcPr>
            <w:tcW w:type="dxa" w:w="18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Major NC</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Immediate</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≤10 working days</w:t>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≤30 days (MD approval)</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≤90 days post-implementation</w:t>
            </w:r>
          </w:p>
        </w:tc>
      </w:tr>
      <w:tr>
        <w:tc>
          <w:tcPr>
            <w:tcW w:type="dxa" w:w="1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Minor NC</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≤5 working days</w:t>
            </w:r>
          </w:p>
        </w:tc>
        <w:tc>
          <w:tcPr>
            <w:tcW w:type="dxa" w:w="1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≤15 working days</w:t>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≤60 days (ISM approval)</w:t>
            </w:r>
          </w:p>
        </w:tc>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≤90 days post-implementation</w:t>
            </w:r>
          </w:p>
        </w:tc>
      </w:tr>
      <w:tr>
        <w:tc>
          <w:tcPr>
            <w:tcW w:type="dxa" w:w="18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Observation</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N/A</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N/A</w:t>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At ISM discretion</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7"/>
                <w:szCs w:val="17"/>
              </w:rPr>
              <w:t xml:space="preserve">At next audit cycle</w:t>
            </w:r>
          </w:p>
        </w:tc>
      </w:tr>
    </w:tbl>
    <w:p>
      <w:pPr>
        <w:spacing w:after="120" w:before="120"/>
      </w:pPr>
    </w:p>
    <w:p>
      <w:pPr>
        <w:pStyle w:val="Heading2"/>
        <w:spacing w:after="80" w:before="240"/>
      </w:pPr>
      <w:r>
        <w:rPr>
          <w:rFonts w:ascii="Arial" w:cs="Arial" w:eastAsia="Arial" w:hAnsi="Arial"/>
          <w:b/>
          <w:bCs/>
          <w:color w:val="2E75B6"/>
          <w:sz w:val="26"/>
          <w:szCs w:val="26"/>
        </w:rPr>
        <w:t xml:space="preserve">3.5 Root Cause Analysis Methodology</w:t>
      </w:r>
    </w:p>
    <w:p>
      <w:pPr>
        <w:spacing w:after="80" w:before="80"/>
        <w:jc w:val="left"/>
      </w:pPr>
      <w:r>
        <w:rPr>
          <w:rFonts w:ascii="Arial" w:cs="Arial" w:eastAsia="Arial" w:hAnsi="Arial"/>
          <w:b w:val="false"/>
          <w:bCs w:val="false"/>
          <w:color w:val="000000"/>
          <w:sz w:val="20"/>
          <w:szCs w:val="20"/>
        </w:rPr>
        <w:t xml:space="preserve">The organisation applies the 5-Why methodology for root cause analysis on all Major and Minor NCs. The 5-Why technique involves asking 'Why did this occur?' iteratively until the underlying systemic cause — rather than a symptomatic surface cause — is identified. The goal is to identify a cause that, if eliminated, would prevent recurrence.</w:t>
      </w:r>
    </w:p>
    <w:p>
      <w:pPr>
        <w:spacing w:after="60" w:before="60"/>
      </w:pPr>
    </w:p>
    <w:p>
      <w:pPr>
        <w:spacing w:after="80" w:before="80"/>
        <w:jc w:val="left"/>
      </w:pPr>
      <w:r>
        <w:rPr>
          <w:rFonts w:ascii="Arial" w:cs="Arial" w:eastAsia="Arial" w:hAnsi="Arial"/>
          <w:b w:val="false"/>
          <w:bCs w:val="false"/>
          <w:color w:val="000000"/>
          <w:sz w:val="20"/>
          <w:szCs w:val="20"/>
        </w:rPr>
        <w:t xml:space="preserve">The following principles govern RCA at Apex Managed Services Ltd:</w:t>
      </w:r>
    </w:p>
    <w:p>
      <w:pPr>
        <w:spacing w:after="60" w:before="60"/>
      </w:pPr>
    </w:p>
    <w:p>
      <w:pPr>
        <w:pStyle w:val="ListParagraph"/>
        <w:numPr>
          <w:ilvl w:val="0"/>
          <w:numId w:val="2"/>
        </w:numPr>
        <w:spacing w:after="40" w:before="40"/>
      </w:pPr>
      <w:r>
        <w:rPr>
          <w:rFonts w:ascii="Arial" w:cs="Arial" w:eastAsia="Arial" w:hAnsi="Arial"/>
          <w:sz w:val="20"/>
          <w:szCs w:val="20"/>
        </w:rPr>
        <w:t xml:space="preserve">Symptom vs. root cause: 'The training record was missing' is a symptom. 'No process exists for capturing training completion at onboarding' is a root cause.</w:t>
      </w:r>
    </w:p>
    <w:p>
      <w:pPr>
        <w:pStyle w:val="ListParagraph"/>
        <w:numPr>
          <w:ilvl w:val="0"/>
          <w:numId w:val="2"/>
        </w:numPr>
        <w:spacing w:after="40" w:before="40"/>
      </w:pPr>
      <w:r>
        <w:rPr>
          <w:rFonts w:ascii="Arial" w:cs="Arial" w:eastAsia="Arial" w:hAnsi="Arial"/>
          <w:sz w:val="20"/>
          <w:szCs w:val="20"/>
        </w:rPr>
        <w:t xml:space="preserve">Systemic assessment: always ask whether the root cause affects other processes, not just the one under investigation.</w:t>
      </w:r>
    </w:p>
    <w:p>
      <w:pPr>
        <w:pStyle w:val="ListParagraph"/>
        <w:numPr>
          <w:ilvl w:val="0"/>
          <w:numId w:val="2"/>
        </w:numPr>
        <w:spacing w:after="40" w:before="40"/>
      </w:pPr>
      <w:r>
        <w:rPr>
          <w:rFonts w:ascii="Arial" w:cs="Arial" w:eastAsia="Arial" w:hAnsi="Arial"/>
          <w:sz w:val="20"/>
          <w:szCs w:val="20"/>
        </w:rPr>
        <w:t xml:space="preserve">Evidence-based: root cause must be supported by evidence, not assumption. Interview the relevant process owner.</w:t>
      </w:r>
    </w:p>
    <w:p>
      <w:pPr>
        <w:pStyle w:val="ListParagraph"/>
        <w:numPr>
          <w:ilvl w:val="0"/>
          <w:numId w:val="2"/>
        </w:numPr>
        <w:spacing w:after="40" w:before="40"/>
      </w:pPr>
      <w:r>
        <w:rPr>
          <w:rFonts w:ascii="Arial" w:cs="Arial" w:eastAsia="Arial" w:hAnsi="Arial"/>
          <w:sz w:val="20"/>
          <w:szCs w:val="20"/>
        </w:rPr>
        <w:t xml:space="preserve">Proportionality: RCA depth should be proportionate to severity. A Major NC warrants a thorough written RCA. A Minor NC warrants a concise one. An Observation does not require formal RCA.</w:t>
      </w:r>
    </w:p>
    <w:p>
      <w:pPr>
        <w:pStyle w:val="ListParagraph"/>
        <w:numPr>
          <w:ilvl w:val="0"/>
          <w:numId w:val="2"/>
        </w:numPr>
        <w:spacing w:after="40" w:before="40"/>
      </w:pPr>
      <w:r>
        <w:rPr>
          <w:rFonts w:ascii="Arial" w:cs="Arial" w:eastAsia="Arial" w:hAnsi="Arial"/>
          <w:sz w:val="20"/>
          <w:szCs w:val="20"/>
        </w:rPr>
        <w:t xml:space="preserve">Independent review: where the ISM is the process owner of the nonconforming area, the RCA should be reviewed by the MD or an independent party.</w:t>
      </w:r>
    </w:p>
    <w:p>
      <w:pPr>
        <w:spacing w:after="120" w:before="120"/>
      </w:pPr>
    </w:p>
    <w:p>
      <w:pPr>
        <w:pStyle w:val="Heading2"/>
        <w:spacing w:after="80" w:before="240"/>
      </w:pPr>
      <w:r>
        <w:rPr>
          <w:rFonts w:ascii="Arial" w:cs="Arial" w:eastAsia="Arial" w:hAnsi="Arial"/>
          <w:b/>
          <w:bCs/>
          <w:color w:val="2E75B6"/>
          <w:sz w:val="26"/>
          <w:szCs w:val="26"/>
        </w:rPr>
        <w:t xml:space="preserve">3.6 Root Cause Analysis Template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800"/>
        <w:gridCol w:w="6460"/>
      </w:tblGrid>
      <w:tr>
        <w:tc>
          <w:tcPr>
            <w:tcW w:type="dxa" w:w="9260"/>
            <w:gridSpan w:val="2"/>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pPr>
              <w:jc w:val="center"/>
            </w:pPr>
            <w:r>
              <w:rPr>
                <w:rFonts w:ascii="Arial" w:cs="Arial" w:eastAsia="Arial" w:hAnsi="Arial"/>
                <w:b/>
                <w:bCs/>
                <w:color w:val="FFFFFF"/>
                <w:sz w:val="18"/>
                <w:szCs w:val="18"/>
              </w:rPr>
              <w:t xml:space="preserve">ROOT CAUSE ANALYSIS TEMPLATE — Complete for each Major NC and Significant Incident</w:t>
            </w:r>
          </w:p>
        </w:tc>
      </w:tr>
      <w:tr>
        <w:tc>
          <w:tcPr>
            <w:tcW w:type="dxa" w:w="280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646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Content</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CAR Reference</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17"/>
                <w:szCs w:val="17"/>
              </w:rPr>
              <w:t xml:space="preserve">[CAR-NNN]</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Finding / Problem Statement</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Precise description of what occurred or was found. Avoid vague language — state what specifically was absent, failed, or non-conforming.</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ISO 27001:2022 Clause / Annex A Control</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17"/>
                <w:szCs w:val="17"/>
              </w:rPr>
              <w:t xml:space="preserve">[e.g. Clause 7.2 — Competence; A.6.3 — Awareness training]</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Immediate Containment Action</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Actions taken immediately to limit the impact of the nonconformity before root cause is addressed. Include date and who took action.</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Why 1 — Direct Cause</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What directly caused the nonconformity? (e.g. 'Training records were not retained because no record-keeping process was defined.')</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Why 2 — Contributing Cause</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Why did the direct cause exist? (e.g. 'No record-keeping process was defined because ISMS-TRN-REC was not yet operationalised.')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Why 3 — Root Cause</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The underlying systemic reason. (e.g. 'ISMS-TRN-REC was not operationalised because the document production programme had not prioritised it.')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Systemic Failure? (Y/N)</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Does this root cause indicate a systemic failure likely to affect other processes? If yes, identify which other areas may be affected.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Corrective Action Plan</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Specific, measurable actions to eliminate the root cause. Each action must have a named owner and a target date.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Preventive Measure</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What systemic change will prevent recurrence? (e.g. process update, control enhancement, policy revision, training)</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Effectiveness Evaluation Criteria</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How will you know the corrective action has worked? Define the measurable evidence that will be checked at the effectiveness evaluation date.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Effectiveness Evaluation Date</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7"/>
                <w:szCs w:val="17"/>
              </w:rPr>
              <w:t xml:space="preserve">[Target date — typically 30–90 days after corrective action completion]</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Effectiveness Evaluation Outcome</w:t>
            </w:r>
          </w:p>
        </w:tc>
        <w:tc>
          <w:tcPr>
            <w:tcW w:type="dxa" w:w="6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17"/>
                <w:szCs w:val="17"/>
              </w:rPr>
              <w:t xml:space="preserve">[Completed by ISM at evaluation date: Effective / Ineffective + evidence reviewed + next action if ineffective]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Closed By / Date</w:t>
            </w:r>
          </w:p>
        </w:tc>
        <w:tc>
          <w:tcPr>
            <w:tcW w:type="dxa" w:w="6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7"/>
                <w:szCs w:val="17"/>
              </w:rPr>
              <w:t xml:space="preserve">[ISM name and date of formal closure]</w:t>
            </w:r>
          </w:p>
        </w:tc>
      </w:tr>
    </w:tbl>
    <w:p>
      <w:pPr>
        <w:spacing w:after="120" w:before="120"/>
      </w:pPr>
    </w:p>
    <w:p>
      <w:pPr>
        <w:pStyle w:val="Heading2"/>
        <w:spacing w:after="80" w:before="240"/>
      </w:pPr>
      <w:r>
        <w:rPr>
          <w:rFonts w:ascii="Arial" w:cs="Arial" w:eastAsia="Arial" w:hAnsi="Arial"/>
          <w:b/>
          <w:bCs/>
          <w:color w:val="2E75B6"/>
          <w:sz w:val="26"/>
          <w:szCs w:val="26"/>
        </w:rPr>
        <w:t xml:space="preserve">3.7 Effectiveness Evaluation</w:t>
      </w:r>
    </w:p>
    <w:p>
      <w:pPr>
        <w:spacing w:after="80" w:before="80"/>
        <w:jc w:val="left"/>
      </w:pPr>
      <w:r>
        <w:rPr>
          <w:rFonts w:ascii="Arial" w:cs="Arial" w:eastAsia="Arial" w:hAnsi="Arial"/>
          <w:b w:val="false"/>
          <w:bCs w:val="false"/>
          <w:color w:val="000000"/>
          <w:sz w:val="20"/>
          <w:szCs w:val="20"/>
        </w:rPr>
        <w:t xml:space="preserve">Effectiveness evaluation is a mandatory step for all Major and Minor NCs. An ineffective corrective action is itself a nonconformity and must be treated as such — the CAR is re-opened and a new action plan developed. The following criteria govern effectiveness evaluation:</w:t>
      </w:r>
    </w:p>
    <w:p>
      <w:pPr>
        <w:spacing w:after="60" w:before="60"/>
      </w:pPr>
    </w:p>
    <w:p>
      <w:pPr>
        <w:pStyle w:val="ListParagraph"/>
        <w:numPr>
          <w:ilvl w:val="0"/>
          <w:numId w:val="2"/>
        </w:numPr>
        <w:spacing w:after="40" w:before="40"/>
      </w:pPr>
      <w:r>
        <w:rPr>
          <w:rFonts w:ascii="Arial" w:cs="Arial" w:eastAsia="Arial" w:hAnsi="Arial"/>
          <w:sz w:val="20"/>
          <w:szCs w:val="20"/>
        </w:rPr>
        <w:t xml:space="preserve">Evaluation must be objective — based on measurable evidence, not the assurance of the person who implemented the action.</w:t>
      </w:r>
    </w:p>
    <w:p>
      <w:pPr>
        <w:pStyle w:val="ListParagraph"/>
        <w:numPr>
          <w:ilvl w:val="0"/>
          <w:numId w:val="2"/>
        </w:numPr>
        <w:spacing w:after="40" w:before="40"/>
      </w:pPr>
      <w:r>
        <w:rPr>
          <w:rFonts w:ascii="Arial" w:cs="Arial" w:eastAsia="Arial" w:hAnsi="Arial"/>
          <w:sz w:val="20"/>
          <w:szCs w:val="20"/>
        </w:rPr>
        <w:t xml:space="preserve">The evaluator should ideally be different from the person who implemented the action. For Major NCs, the ISM conducts the evaluation. For Minor NCs, evaluation may be delegated to the process owner with ISM sign-off.</w:t>
      </w:r>
    </w:p>
    <w:p>
      <w:pPr>
        <w:pStyle w:val="ListParagraph"/>
        <w:numPr>
          <w:ilvl w:val="0"/>
          <w:numId w:val="2"/>
        </w:numPr>
        <w:spacing w:after="40" w:before="40"/>
      </w:pPr>
      <w:r>
        <w:rPr>
          <w:rFonts w:ascii="Arial" w:cs="Arial" w:eastAsia="Arial" w:hAnsi="Arial"/>
          <w:sz w:val="20"/>
          <w:szCs w:val="20"/>
        </w:rPr>
        <w:t xml:space="preserve">Where a KPI or metric was the trigger for the NC, the evaluation must include demonstrating that the KPI has returned to target for at least one measurement period.</w:t>
      </w:r>
    </w:p>
    <w:p>
      <w:pPr>
        <w:pStyle w:val="ListParagraph"/>
        <w:numPr>
          <w:ilvl w:val="0"/>
          <w:numId w:val="2"/>
        </w:numPr>
        <w:spacing w:after="40" w:before="40"/>
      </w:pPr>
      <w:r>
        <w:rPr>
          <w:rFonts w:ascii="Arial" w:cs="Arial" w:eastAsia="Arial" w:hAnsi="Arial"/>
          <w:sz w:val="20"/>
          <w:szCs w:val="20"/>
        </w:rPr>
        <w:t xml:space="preserve">Where the NC arose from an audit finding, effectiveness is verified by the internal auditor at the next audit cycle (or by targeted follow-up for Major NCs before the next surveillance audit).</w:t>
      </w:r>
    </w:p>
    <w:p>
      <w:pPr>
        <w:pStyle w:val="ListParagraph"/>
        <w:numPr>
          <w:ilvl w:val="0"/>
          <w:numId w:val="2"/>
        </w:numPr>
        <w:spacing w:after="40" w:before="40"/>
      </w:pPr>
      <w:r>
        <w:rPr>
          <w:rFonts w:ascii="Arial" w:cs="Arial" w:eastAsia="Arial" w:hAnsi="Arial"/>
          <w:sz w:val="20"/>
          <w:szCs w:val="20"/>
        </w:rPr>
        <w:t xml:space="preserve">All effectiveness evaluations are documented in the CAR record with the date, evaluator name, evidence reviewed, and outcome (Effective / Ineffective).</w:t>
      </w:r>
    </w:p>
    <w:p>
      <w:pPr>
        <w:spacing w:after="120" w:before="120"/>
      </w:pPr>
    </w:p>
    <w:p>
      <w:pPr>
        <w:pStyle w:val="Heading2"/>
        <w:spacing w:after="80" w:before="240"/>
      </w:pPr>
      <w:r>
        <w:rPr>
          <w:rFonts w:ascii="Arial" w:cs="Arial" w:eastAsia="Arial" w:hAnsi="Arial"/>
          <w:b/>
          <w:bCs/>
          <w:color w:val="2E75B6"/>
          <w:sz w:val="26"/>
          <w:szCs w:val="26"/>
        </w:rPr>
        <w:t xml:space="preserve">3.8 Corrective Action Tracker</w:t>
      </w:r>
    </w:p>
    <w:p>
      <w:pPr>
        <w:spacing w:after="80" w:before="80"/>
        <w:jc w:val="left"/>
      </w:pPr>
      <w:r>
        <w:rPr>
          <w:rFonts w:ascii="Arial" w:cs="Arial" w:eastAsia="Arial" w:hAnsi="Arial"/>
          <w:b w:val="false"/>
          <w:bCs w:val="false"/>
          <w:color w:val="000000"/>
          <w:sz w:val="20"/>
          <w:szCs w:val="20"/>
        </w:rPr>
        <w:t xml:space="preserve">The following tracker constitutes the live corrective action register (ISMS-CAR-001). It is the documented information retained as evidence of corrective actions per Clause 10.2. New CARs are added as they are raised. The tracker is reviewed at each management review and quarterly KPI cycle.</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760"/>
        <w:gridCol w:w="900"/>
        <w:gridCol w:w="1000"/>
        <w:gridCol w:w="1800"/>
        <w:gridCol w:w="800"/>
        <w:gridCol w:w="1600"/>
        <w:gridCol w:w="1600"/>
        <w:gridCol w:w="800"/>
      </w:tblGrid>
      <w:tr>
        <w:trPr>
          <w:tblHeader/>
        </w:trPr>
        <w:tc>
          <w:tcPr>
            <w:tcW w:type="dxa" w:w="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CAR ID</w:t>
            </w:r>
          </w:p>
        </w:tc>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 Raised</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 / Nonconformity</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Date</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CAR-001</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02 Apr 2026</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Internal Audit</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No documented evidence of completed security awareness training records for 2 of 3 contractors reviewed at time of audit. Policy acknowledgements not on file.</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Minor NC</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Establish ISMS-TRN-REC as live register in SharePoint within 15 working days; retrospectively obtain and file contractor training completion records and policy acknowledgements; update ISMS-HR-001 onboarding checklist to include mandatory training completion gate before access is granted.</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30 Apr 2026</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Open</w:t>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CAR-002</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02 Apr 2026</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Internal Audit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ISMS-SCO-001 (standalone scope statement) and ISMS-POL-001 (standalone policy) referenced in ISMS-CTX-001 and ISMS-LDR-001 but do not exist as discrete documents. CB will expect these as standalone exhibits at Stage 1.</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Minor NC</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Extract and format ISMS-SCO-001 from ISMS-CTX-001 §5 and ISMS-POL-001 from ISMS-LDR-001 §4.1; obtain MD signature on both; add to document management system as controlled documents; update document register (ISMS-REG-001).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16 Apr 2026</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Open</w:t>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CAR-003</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02 Apr 2026</w:t>
            </w:r>
          </w:p>
        </w:tc>
        <w:tc>
          <w:tcPr>
            <w:tcW w:type="dxa" w:w="1000"/>
            <w:tcBorders>
              <w:top w:val="single" w:color="CCCCCC" w:sz="1"/>
              <w:left w:val="single" w:color="CCCCCC" w:sz="1"/>
              <w:bottom w:val="single" w:color="CCCCCC" w:sz="1"/>
              <w:right w:val="single" w:color="CCCCCC" w:sz="1"/>
            </w:tcBorders>
            <w:shd w:fill="BF8F0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Risk Assessment</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ISK-001 (ransomware via privileged credentials) carries a residual risk score of 10 (High). No formal PAM tool has been selected or deployed. Risk owner acceptance for High residual risk has not yet been signed by MD.</w:t>
            </w:r>
          </w:p>
        </w:tc>
        <w:tc>
          <w:tcPr>
            <w:tcW w:type="dxa" w:w="8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Major NC</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Obtain MD written acceptance of ISK-001 residual risk in ISMS-PLN-001 §4.4 within 10 working days. Complete PAM vendor evaluation and present recommendation to MD within 30 days. Deploy selected PAM solution with session recording and MFA enforcement within 60 days of vendor selection.</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02 Jun 2026</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Open</w:t>
            </w:r>
          </w:p>
        </w:tc>
      </w:tr>
      <w:tr>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CAR-004</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02 Apr 2026</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Internal Audit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ISMS-IRP-001 (Incident Response Plan) referenced in 8 Annex A controls in the SoA and in ISMS-OPS-001 but does not yet exist. IR capability is formally undefined and untested.</w:t>
            </w:r>
          </w:p>
        </w:tc>
        <w:tc>
          <w:tcPr>
            <w:tcW w:type="dxa" w:w="8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Major NC</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Draft ISMS-IRP-001 covering at minimum: IR roles, incident classification, response SLAs, communication procedure (internal, client, ICO), and playbooks for ransomware and data breach. Obtain ISM and MD approval. Schedule tabletop exercise (TRN-008) within 60 days of plan approval.</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31 May 2026</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Open</w:t>
            </w:r>
          </w:p>
        </w:tc>
      </w:tr>
      <w:tr>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6"/>
                <w:szCs w:val="16"/>
              </w:rPr>
              <w:t xml:space="preserve">CAR-005</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02 Apr 2026</w:t>
            </w:r>
          </w:p>
        </w:tc>
        <w:tc>
          <w:tcPr>
            <w:tcW w:type="dxa" w:w="10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KPI Breach</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KPI-013 (annual security awareness training completion) and KPI-024 (internal audit programme completion) cannot be measured — neither the awareness training platform nor the internal audit programme (ISMS-IAP-001) have been operationalised.</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Minor NC</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Deploy security awareness training platform and configure first training cohort (OBJ-004 target: Q2 2026). Finalise ISMS-IAP-001 and confirm auditor appointment. Record first KPI measurements in ISMS-MR-002 for May 2026 reporting period.</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31 May 2026</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Open</w:t>
            </w:r>
          </w:p>
        </w:tc>
      </w:tr>
    </w:tbl>
    <w:p>
      <w:pPr>
        <w:spacing w:after="60" w:before="60"/>
      </w:pPr>
    </w:p>
    <w:p>
      <w:pPr>
        <w:spacing w:after="80" w:before="80"/>
        <w:jc w:val="left"/>
      </w:pPr>
      <w:r>
        <w:rPr>
          <w:rFonts w:ascii="Arial" w:cs="Arial" w:eastAsia="Arial" w:hAnsi="Arial"/>
          <w:b w:val="false"/>
          <w:bCs w:val="false"/>
          <w:color w:val="888888"/>
          <w:sz w:val="18"/>
          <w:szCs w:val="18"/>
        </w:rPr>
        <w:t xml:space="preserve">Detailed RCA records, corrective action plans, and effectiveness evaluation evidence for each CAR are stored in the document management system under the relevant CAR ID reference. The tracker above provides the summary view.</w:t>
      </w:r>
    </w:p>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4. Clause 10.1 — Continual Improvement</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7860"/>
      </w:tblGrid>
      <w:tr>
        <w:tc>
          <w:tcPr>
            <w:tcW w:type="dxa" w:w="14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10.1</w:t>
            </w:r>
          </w:p>
          <w:p>
            <w:pPr>
              <w:jc w:val="center"/>
            </w:pPr>
            <w:r>
              <w:rPr>
                <w:rFonts w:ascii="Arial" w:cs="Arial" w:eastAsia="Arial" w:hAnsi="Arial"/>
                <w:color w:val="D6E4F0"/>
                <w:sz w:val="14"/>
                <w:szCs w:val="14"/>
              </w:rPr>
              <w:t xml:space="preserve">Continual Improvement</w:t>
            </w:r>
          </w:p>
        </w:tc>
        <w:tc>
          <w:tcPr>
            <w:tcW w:type="dxa" w:w="78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color w:val="1F3864"/>
                <w:sz w:val="18"/>
                <w:szCs w:val="18"/>
              </w:rPr>
              <w:t xml:space="preserve">The organisation shall continually improve the suitability, adequacy and effectiveness of the information security management system.</w:t>
            </w:r>
          </w:p>
        </w:tc>
      </w:tr>
    </w:tbl>
    <w:p>
      <w:pPr>
        <w:spacing w:after="120" w:before="120"/>
      </w:pPr>
    </w:p>
    <w:p>
      <w:pPr>
        <w:pStyle w:val="Heading2"/>
        <w:spacing w:after="80" w:before="240"/>
      </w:pPr>
      <w:r>
        <w:rPr>
          <w:rFonts w:ascii="Arial" w:cs="Arial" w:eastAsia="Arial" w:hAnsi="Arial"/>
          <w:b/>
          <w:bCs/>
          <w:color w:val="2E75B6"/>
          <w:sz w:val="26"/>
          <w:szCs w:val="26"/>
        </w:rPr>
        <w:t xml:space="preserve">4.1 Improvement Principle</w:t>
      </w:r>
    </w:p>
    <w:p>
      <w:pPr>
        <w:spacing w:after="80" w:before="80"/>
        <w:jc w:val="left"/>
      </w:pPr>
      <w:r>
        <w:rPr>
          <w:rFonts w:ascii="Arial" w:cs="Arial" w:eastAsia="Arial" w:hAnsi="Arial"/>
          <w:b w:val="false"/>
          <w:bCs w:val="false"/>
          <w:color w:val="000000"/>
          <w:sz w:val="20"/>
          <w:szCs w:val="20"/>
        </w:rPr>
        <w:t xml:space="preserve">Clause 10.1 requires that the ISMS does not merely maintain its current level of performance — it must demonstrably improve over time. Improvement is evaluated across three dimensions:</w:t>
      </w:r>
    </w:p>
    <w:p>
      <w:pPr>
        <w:spacing w:after="60" w:before="60"/>
      </w:pPr>
    </w:p>
    <w:p>
      <w:pPr>
        <w:pStyle w:val="ListParagraph"/>
        <w:numPr>
          <w:ilvl w:val="0"/>
          <w:numId w:val="2"/>
        </w:numPr>
        <w:spacing w:after="40" w:before="40"/>
      </w:pPr>
      <w:r>
        <w:rPr>
          <w:rFonts w:ascii="Arial" w:cs="Arial" w:eastAsia="Arial" w:hAnsi="Arial"/>
          <w:sz w:val="20"/>
          <w:szCs w:val="20"/>
        </w:rPr>
        <w:t xml:space="preserve">Suitability — does the ISMS remain appropriate for the organisation's purpose, size, risk profile, and operating context? Assessed at management review in light of any context changes.</w:t>
      </w:r>
    </w:p>
    <w:p>
      <w:pPr>
        <w:pStyle w:val="ListParagraph"/>
        <w:numPr>
          <w:ilvl w:val="0"/>
          <w:numId w:val="2"/>
        </w:numPr>
        <w:spacing w:after="40" w:before="40"/>
      </w:pPr>
      <w:r>
        <w:rPr>
          <w:rFonts w:ascii="Arial" w:cs="Arial" w:eastAsia="Arial" w:hAnsi="Arial"/>
          <w:sz w:val="20"/>
          <w:szCs w:val="20"/>
        </w:rPr>
        <w:t xml:space="preserve">Adequacy — does the ISMS address all relevant risks, legal obligations, and interested party requirements? Assessed through risk assessment and audit results.</w:t>
      </w:r>
    </w:p>
    <w:p>
      <w:pPr>
        <w:pStyle w:val="ListParagraph"/>
        <w:numPr>
          <w:ilvl w:val="0"/>
          <w:numId w:val="2"/>
        </w:numPr>
        <w:spacing w:after="40" w:before="40"/>
      </w:pPr>
      <w:r>
        <w:rPr>
          <w:rFonts w:ascii="Arial" w:cs="Arial" w:eastAsia="Arial" w:hAnsi="Arial"/>
          <w:sz w:val="20"/>
          <w:szCs w:val="20"/>
        </w:rPr>
        <w:t xml:space="preserve">Effectiveness — is the ISMS achieving its intended outcomes? Assessed through KPI trends, objective achievement, and reduction in nonconformity recurrence.</w:t>
      </w:r>
    </w:p>
    <w:p>
      <w:pPr>
        <w:spacing w:after="60" w:before="60"/>
      </w:pPr>
    </w:p>
    <w:p>
      <w:pPr>
        <w:spacing w:after="80" w:before="80"/>
        <w:jc w:val="left"/>
      </w:pPr>
      <w:r>
        <w:rPr>
          <w:rFonts w:ascii="Arial" w:cs="Arial" w:eastAsia="Arial" w:hAnsi="Arial"/>
          <w:b w:val="false"/>
          <w:bCs w:val="false"/>
          <w:color w:val="000000"/>
          <w:sz w:val="20"/>
          <w:szCs w:val="20"/>
        </w:rPr>
        <w:t xml:space="preserve">Continual improvement does not require the ISMS to be perfect — it requires that it be better. Evidence of improvement is presented at every management review (ISMS-MR-001) and is a standing input to the certification body at surveillance audits.</w:t>
      </w:r>
    </w:p>
    <w:p>
      <w:pPr>
        <w:spacing w:after="120" w:before="120"/>
      </w:pPr>
    </w:p>
    <w:p>
      <w:pPr>
        <w:pStyle w:val="Heading2"/>
        <w:spacing w:after="80" w:before="240"/>
      </w:pPr>
      <w:r>
        <w:rPr>
          <w:rFonts w:ascii="Arial" w:cs="Arial" w:eastAsia="Arial" w:hAnsi="Arial"/>
          <w:b/>
          <w:bCs/>
          <w:color w:val="2E75B6"/>
          <w:sz w:val="26"/>
          <w:szCs w:val="26"/>
        </w:rPr>
        <w:t xml:space="preserve">4.2 Sources of Improvement</w:t>
      </w:r>
    </w:p>
    <w:p>
      <w:pPr>
        <w:spacing w:after="80" w:before="80"/>
        <w:jc w:val="left"/>
      </w:pPr>
      <w:r>
        <w:rPr>
          <w:rFonts w:ascii="Arial" w:cs="Arial" w:eastAsia="Arial" w:hAnsi="Arial"/>
          <w:b w:val="false"/>
          <w:bCs w:val="false"/>
          <w:color w:val="000000"/>
          <w:sz w:val="20"/>
          <w:szCs w:val="20"/>
        </w:rPr>
        <w:t xml:space="preserve">Improvement opportunities are identified from multiple sources, ensuring the improvement process is systematic rather than reactive. The following framework governs how opportunities are captured:</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3560"/>
        <w:gridCol w:w="1400"/>
        <w:gridCol w:w="1600"/>
        <w:gridCol w:w="1100"/>
      </w:tblGrid>
      <w:tr>
        <w:trPr>
          <w:tblHeader/>
        </w:trPr>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35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Who Identifies</w:t>
            </w:r>
          </w:p>
        </w:tc>
        <w:tc>
          <w:tcPr>
            <w:tcW w:type="dxa" w:w="1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When Captured</w:t>
            </w:r>
          </w:p>
        </w:tc>
        <w:tc>
          <w:tcPr>
            <w:tcW w:type="dxa" w:w="11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Frequency</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Internal Audit</w:t>
            </w:r>
          </w:p>
        </w:tc>
        <w:tc>
          <w:tcPr>
            <w:tcW w:type="dxa" w:w="3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Findings, observations, and recommended improvements from the annual internal audit programme (ISMS-IAP-001). Observations that do not constitute nonconformities are captured as improvement opportunities rather than corrective actions.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 Auditor</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Within 10 working days of audit report</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Per audit cycle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Management Review</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Strategic improvement opportunities identified by top management during annual and quarterly reviews (ISMS-MR-001). Includes resource decisions, scope changes, and objective revisions.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MD / ISM</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At each management review</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Annual / Quarterly</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KPI Breach or Trend</w:t>
            </w:r>
          </w:p>
        </w:tc>
        <w:tc>
          <w:tcPr>
            <w:tcW w:type="dxa" w:w="3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Where a KPI falls below target or shows a sustained declining trend for two or more consecutive periods, an improvement action is raised regardless of whether a formal nonconformity exists.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Monthly KPI analysis (ISMS-MR-002)</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Monthly</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Security Incident / PIR</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Lessons learned from post-incident reviews (ISMS-IRP-001) that identify process gaps, control weaknesses, or opportunities to reduce dwell time, improve detection, or strengthen response.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Within 10 working days of PIR completion</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Event-triggered</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Risk Assessment</w:t>
            </w:r>
          </w:p>
        </w:tc>
        <w:tc>
          <w:tcPr>
            <w:tcW w:type="dxa" w:w="3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Where a risk is re-scored and treatment controls are found to be less effective than planned, or where a new risk is identified, an improvement action is raised to address the gap.</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At each risk assessment cycle or triggered review</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Annual / triggered</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Staff Suggestion</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Any employee or contractor may submit an improvement suggestion through the documented channel (email to ISM). The ISM reviews all suggestions and decides within 10 working days whether to raise a CI entry.</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Any staff → ISM</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Ongoing</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Continuous</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External Audit / CB Feedback</w:t>
            </w:r>
          </w:p>
        </w:tc>
        <w:tc>
          <w:tcPr>
            <w:tcW w:type="dxa" w:w="3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Observations and recommendations from the ISO 27001:2022 certification body at Stage 1, Stage 2, or surveillance audits that do not constitute nonconformities but represent improvement opportunities.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Within 5 working days of CB feedback</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Per audit</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Supplier / Third-Party</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Security improvement opportunities identified through supplier risk assessments, supplier security incidents, or third-party audit findings that affect the organisation's ISMS.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At each supplier review</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Annual / event-triggered</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Regulatory / Legal Change</w:t>
            </w:r>
          </w:p>
        </w:tc>
        <w:tc>
          <w:tcPr>
            <w:tcW w:type="dxa" w:w="3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Changes to applicable legislation, regulation, or industry standards (UK GDPR, NIS Regulations, ISO standard revisions) that require ISMS updates or enhancements.</w:t>
            </w:r>
          </w:p>
        </w:tc>
        <w:tc>
          <w:tcPr>
            <w:tcW w:type="dxa" w:w="1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 Legal</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On publication of material change</w:t>
            </w:r>
          </w:p>
        </w:tc>
        <w:tc>
          <w:tcPr>
            <w:tcW w:type="dxa" w:w="11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Event-triggered</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Benchmarking / Best Practice</w:t>
            </w:r>
          </w:p>
        </w:tc>
        <w:tc>
          <w:tcPr>
            <w:tcW w:type="dxa" w:w="3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Improvements identified through comparison with ISO 27002:2022 guidance, NCSC frameworks, CIS benchmarks, or sector peer benchmarking.</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Ongoing CPD and monitoring</w:t>
            </w:r>
          </w:p>
        </w:tc>
        <w:tc>
          <w:tcPr>
            <w:tcW w:type="dxa" w:w="11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Ad hoc</w:t>
            </w:r>
          </w:p>
        </w:tc>
      </w:tr>
    </w:tbl>
    <w:p>
      <w:pPr>
        <w:spacing w:after="120" w:before="120"/>
      </w:pPr>
    </w:p>
    <w:p>
      <w:pPr>
        <w:pStyle w:val="Heading2"/>
        <w:spacing w:after="80" w:before="240"/>
      </w:pPr>
      <w:r>
        <w:rPr>
          <w:rFonts w:ascii="Arial" w:cs="Arial" w:eastAsia="Arial" w:hAnsi="Arial"/>
          <w:b/>
          <w:bCs/>
          <w:color w:val="2E75B6"/>
          <w:sz w:val="26"/>
          <w:szCs w:val="26"/>
        </w:rPr>
        <w:t xml:space="preserve">4.3 Improvement Prioritisation</w:t>
      </w:r>
    </w:p>
    <w:p>
      <w:pPr>
        <w:spacing w:after="80" w:before="80"/>
        <w:jc w:val="left"/>
      </w:pPr>
      <w:r>
        <w:rPr>
          <w:rFonts w:ascii="Arial" w:cs="Arial" w:eastAsia="Arial" w:hAnsi="Arial"/>
          <w:b w:val="false"/>
          <w:bCs w:val="false"/>
          <w:color w:val="000000"/>
          <w:sz w:val="20"/>
          <w:szCs w:val="20"/>
        </w:rPr>
        <w:t xml:space="preserve">Not all improvement opportunities can be pursued simultaneously, particularly in a small organisation with limited resource. Improvements are prioritised using the following framework:</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3860"/>
        <w:gridCol w:w="4000"/>
      </w:tblGrid>
      <w:tr>
        <w:trPr>
          <w:tblHeader/>
        </w:trPr>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3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Criteria</w:t>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Typical Examples</w:t>
            </w:r>
          </w:p>
        </w:tc>
      </w:tr>
      <w:tr>
        <w:tc>
          <w:tcPr>
            <w:tcW w:type="dxa" w:w="14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Critical</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Improvement is required to avoid a Major NC at certification audit; addresses a Critical risk in the risk register; or is needed to fulfil a legal or contractual obligation.</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Completing missing mandatory documents; deploying a control treating a Critical residual risk; ICO breach notification readiness.</w:t>
            </w:r>
          </w:p>
        </w:tc>
      </w:tr>
      <w:tr>
        <w:tc>
          <w:tcPr>
            <w:tcW w:type="dxa" w:w="1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High</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Improvement materially reduces a High-rated risk; addresses a Minor NC that could develop into a Major NC; or achieves a named ISMS objective.</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PAM deployment; IR plan completion; MFA enforcement reaching 100%; JML SLA achievement.</w:t>
            </w:r>
          </w:p>
        </w:tc>
      </w:tr>
      <w:tr>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Medium</w:t>
            </w:r>
          </w:p>
        </w:tc>
        <w:tc>
          <w:tcPr>
            <w:tcW w:type="dxa" w:w="3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Improvement enhances ISMS effectiveness or efficiency; addresses a Medium risk; or improves KPI performance without being objective-critical.</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Sentinel detection rule tuning; quarterly staff briefings; penetration testing programme establishment.</w:t>
            </w:r>
          </w:p>
        </w:tc>
      </w:tr>
      <w:tr>
        <w:tc>
          <w:tcPr>
            <w:tcW w:type="dxa" w:w="14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Low</w:t>
            </w:r>
          </w:p>
        </w:tc>
        <w:tc>
          <w:tcPr>
            <w:tcW w:type="dxa" w:w="3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Improvement is desirable but has no material impact on risk posture or certification readiness. Deferred if resource is constrained.</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Documentation formatting improvements; minor policy clarifications; process efficiency enhancements.</w:t>
            </w:r>
          </w:p>
        </w:tc>
      </w:tr>
    </w:tbl>
    <w:p>
      <w:pPr>
        <w:spacing w:after="60" w:before="60"/>
      </w:pPr>
    </w:p>
    <w:p>
      <w:pPr>
        <w:spacing w:after="80" w:before="80"/>
        <w:jc w:val="left"/>
      </w:pPr>
      <w:r>
        <w:rPr>
          <w:rFonts w:ascii="Arial" w:cs="Arial" w:eastAsia="Arial" w:hAnsi="Arial"/>
          <w:b w:val="false"/>
          <w:bCs w:val="false"/>
          <w:color w:val="000000"/>
          <w:sz w:val="20"/>
          <w:szCs w:val="20"/>
        </w:rPr>
        <w:t xml:space="preserve">Priority is assigned by the ISM and reviewed at management review. MD may override priority in either direction where strategic considerations apply.</w:t>
      </w:r>
    </w:p>
    <w:p>
      <w:pPr>
        <w:spacing w:after="120" w:before="120"/>
      </w:pPr>
    </w:p>
    <w:p>
      <w:pPr>
        <w:pStyle w:val="Heading2"/>
        <w:spacing w:after="80" w:before="240"/>
      </w:pPr>
      <w:r>
        <w:rPr>
          <w:rFonts w:ascii="Arial" w:cs="Arial" w:eastAsia="Arial" w:hAnsi="Arial"/>
          <w:b/>
          <w:bCs/>
          <w:color w:val="2E75B6"/>
          <w:sz w:val="26"/>
          <w:szCs w:val="26"/>
        </w:rPr>
        <w:t xml:space="preserve">4.4 Continual Improvement Register</w:t>
      </w:r>
    </w:p>
    <w:p>
      <w:pPr>
        <w:spacing w:after="80" w:before="80"/>
        <w:jc w:val="left"/>
      </w:pPr>
      <w:r>
        <w:rPr>
          <w:rFonts w:ascii="Arial" w:cs="Arial" w:eastAsia="Arial" w:hAnsi="Arial"/>
          <w:b w:val="false"/>
          <w:bCs w:val="false"/>
          <w:color w:val="000000"/>
          <w:sz w:val="20"/>
          <w:szCs w:val="20"/>
        </w:rPr>
        <w:t xml:space="preserve">The following register constitutes the live continual improvement record (ISMS-CI-001). It is the documented evidence of Clause 10.1 compliance — demonstrating that the organisation is actively identifying and acting on improvement opportunities. The register is reviewed at each management review as a standing agenda item (MRI-010).</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680"/>
        <w:gridCol w:w="900"/>
        <w:gridCol w:w="1000"/>
        <w:gridCol w:w="2000"/>
        <w:gridCol w:w="1000"/>
        <w:gridCol w:w="760"/>
        <w:gridCol w:w="800"/>
        <w:gridCol w:w="1120"/>
      </w:tblGrid>
      <w:tr>
        <w:trPr>
          <w:tblHeader/>
        </w:trPr>
        <w:tc>
          <w:tcPr>
            <w:tcW w:type="dxa" w:w="68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CI ID</w:t>
            </w:r>
          </w:p>
        </w:tc>
        <w:tc>
          <w:tcPr>
            <w:tcW w:type="dxa" w:w="9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Improvement Description</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Expected Benefit</w:t>
            </w:r>
          </w:p>
        </w:tc>
        <w:tc>
          <w:tcPr>
            <w:tcW w:type="dxa" w:w="7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c>
          <w:tcPr>
            <w:tcW w:type="dxa" w:w="112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7D8C"/>
                <w:sz w:val="16"/>
                <w:szCs w:val="16"/>
              </w:rPr>
              <w:t xml:space="preserve">CI-001</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02 Apr 2026</w:t>
            </w:r>
          </w:p>
        </w:tc>
        <w:tc>
          <w:tcPr>
            <w:tcW w:type="dxa" w:w="10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Management Review</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Establish the ISMS document production programme to complete all 22 outstanding documents identified in ISMS-REG-001, prioritised by criticality rating.</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Achieves ISO 27001:2022 certification readiness by Q4 2026; eliminates document-gap nonconformity risk at Stage 1 audit.</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 / MD</w:t>
            </w:r>
          </w:p>
        </w:tc>
        <w:tc>
          <w:tcPr>
            <w:tcW w:type="dxa" w:w="8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Critical</w:t>
            </w:r>
          </w:p>
        </w:tc>
        <w:tc>
          <w:tcPr>
            <w:tcW w:type="dxa" w:w="112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31 Oct 2026</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7D8C"/>
                <w:sz w:val="16"/>
                <w:szCs w:val="16"/>
              </w:rPr>
              <w:t xml:space="preserve">CI-002</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02 Apr 2026</w:t>
            </w:r>
          </w:p>
        </w:tc>
        <w:tc>
          <w:tcPr>
            <w:tcW w:type="dxa" w:w="1000"/>
            <w:tcBorders>
              <w:top w:val="single" w:color="CCCCCC" w:sz="1"/>
              <w:left w:val="single" w:color="CCCCCC" w:sz="1"/>
              <w:bottom w:val="single" w:color="CCCCCC" w:sz="1"/>
              <w:right w:val="single" w:color="CCCCCC" w:sz="1"/>
            </w:tcBorders>
            <w:shd w:fill="BF8F0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Risk Assessment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Deploy PAM tooling with session recording, JIT provisioning, and MFA enforcement for all privileged access to client environments, reducing ISK-001 residual risk from High (score 10) to Medium.</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Addresses highest-rated residual risk in the register; reduces ransomware attack surface; provides forensic audit trail for client environment access; satisfies KPI-002 target.</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HoT</w:t>
            </w:r>
          </w:p>
        </w:tc>
        <w:tc>
          <w:tcPr>
            <w:tcW w:type="dxa" w:w="8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Critical</w:t>
            </w:r>
          </w:p>
        </w:tc>
        <w:tc>
          <w:tcPr>
            <w:tcW w:type="dxa" w:w="112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30 Jun 2026</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7D8C"/>
                <w:sz w:val="16"/>
                <w:szCs w:val="16"/>
              </w:rPr>
              <w:t xml:space="preserve">CI-003</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02 Apr 2026</w:t>
            </w:r>
          </w:p>
        </w:tc>
        <w:tc>
          <w:tcPr>
            <w:tcW w:type="dxa" w:w="10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KPI Analysis</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Implement security awareness training platform with simulated phishing capability to operationalise the awareness programme defined in ISMS-SPT-001 §4 and achieve KPI-013 (≥95% completion) and KPI-014 (≤10% click rate).</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Reduces ISK-015 (staff awareness) and ISK-002 (phishing) risk scores; demonstrates Clause 7.3 compliance; provides continuous KPI evidence for Clause 9.1.</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High</w:t>
            </w:r>
          </w:p>
        </w:tc>
        <w:tc>
          <w:tcPr>
            <w:tcW w:type="dxa" w:w="112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31 May 2026</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7D8C"/>
                <w:sz w:val="16"/>
                <w:szCs w:val="16"/>
              </w:rPr>
              <w:t xml:space="preserve">CI-004</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02 Apr 2026</w:t>
            </w:r>
          </w:p>
        </w:tc>
        <w:tc>
          <w:tcPr>
            <w:tcW w:type="dxa" w:w="10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Internal Audit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Formalise the joiner/mover/leaver (JML) process by completing ISMS-HR-001 and implementing same-day leaver deprovisioning SLA with automated Sentinel alert for accounts active &gt;4 hours post-departure.</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Reduces ISK-007 (insider threat) residual risk; achieves KPI-003 (leaver SLA) target; addresses Minor NC in CAR-001 root cause.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 / HoT</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High</w:t>
            </w:r>
          </w:p>
        </w:tc>
        <w:tc>
          <w:tcPr>
            <w:tcW w:type="dxa" w:w="112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30 Apr 2026</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7D8C"/>
                <w:sz w:val="16"/>
                <w:szCs w:val="16"/>
              </w:rPr>
              <w:t xml:space="preserve">CI-005</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02 Apr 2026</w:t>
            </w:r>
          </w:p>
        </w:tc>
        <w:tc>
          <w:tcPr>
            <w:tcW w:type="dxa" w:w="10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Management Review</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Implement Microsoft Defender Vulnerability Management (or equivalent) as the primary vulnerability scanning platform, establish weekly scan cadence, and configure remediation SLA tracking dashboard aligned to ISMS-VUL-001 criteria.</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Operationalises OPS-003; achieves KPI-005/006/007 targets; satisfies OBJ-005 (vulnerability management programme) by Q3 2026.</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HoT</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High</w:t>
            </w:r>
          </w:p>
        </w:tc>
        <w:tc>
          <w:tcPr>
            <w:tcW w:type="dxa" w:w="112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30 Jun 2026</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7D8C"/>
                <w:sz w:val="16"/>
                <w:szCs w:val="16"/>
              </w:rPr>
              <w:t xml:space="preserve">CI-006</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02 Apr 2026</w:t>
            </w:r>
          </w:p>
        </w:tc>
        <w:tc>
          <w:tcPr>
            <w:tcW w:type="dxa" w:w="1000"/>
            <w:tcBorders>
              <w:top w:val="single" w:color="CCCCCC" w:sz="1"/>
              <w:left w:val="single" w:color="CCCCCC" w:sz="1"/>
              <w:bottom w:val="single" w:color="CCCCCC" w:sz="1"/>
              <w:right w:val="single" w:color="CCCCCC" w:sz="1"/>
            </w:tcBorders>
            <w:shd w:fill="BF8F0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Risk Assessment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Complete BCP and DRP documentation (ISMS-BCP-001) including RTO/RPO per client SLA, backup restoration procedure, and out-of-hours escalation. Schedule first BCP test for Q4 2026.</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Addresses ISK-005 (service outage) treatment plan; achieves OBJ-006; satisfies A.5.29 and A.5.30 SoA control implementation requirements.</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HoT / MD</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High</w:t>
            </w:r>
          </w:p>
        </w:tc>
        <w:tc>
          <w:tcPr>
            <w:tcW w:type="dxa" w:w="112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30 Sep 2026</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7D8C"/>
                <w:sz w:val="16"/>
                <w:szCs w:val="16"/>
              </w:rPr>
              <w:t xml:space="preserve">CI-007</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02 Apr 2026</w:t>
            </w:r>
          </w:p>
        </w:tc>
        <w:tc>
          <w:tcPr>
            <w:tcW w:type="dxa" w:w="10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Audit Observation</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Develop a PRISM-style threat intelligence integration: automate ingestion of NCSC Early Warning Service advisories and Microsoft Defender Threat Intelligence into a structured threat briefing process, with weekly ISM review and monthly HoT/MD briefing.</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Improves A.5.7 (threat intelligence) implementation from Partially Implemented to Implemented; provides structured input to triggered risk assessments; reduces mean time to awareness of emerging threats.</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8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Medium</w:t>
            </w:r>
          </w:p>
        </w:tc>
        <w:tc>
          <w:tcPr>
            <w:tcW w:type="dxa" w:w="112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31 Jul 2026</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7D8C"/>
                <w:sz w:val="16"/>
                <w:szCs w:val="16"/>
              </w:rPr>
              <w:t xml:space="preserve">CI-008</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02 Apr 2026</w:t>
            </w:r>
          </w:p>
        </w:tc>
        <w:tc>
          <w:tcPr>
            <w:tcW w:type="dxa" w:w="10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Management Review</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Configure Microsoft Sentinel with a defined alert triage procedure and documented detection rules covering: account compromise, impossible travel, privileged escalation, large data exfiltration, and ransomware indicators. Define triage SLA (High alerts acknowledged ≤1 hour).</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Improves A.8.15 (logging) and A.8.16 (monitoring) from Partially Implemented to Implemented; reduces ISK-011 (incident detection) residual risk; achieves KPI-009/010 targets.</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HoT / ISM</w:t>
            </w:r>
          </w:p>
        </w:tc>
        <w:tc>
          <w:tcPr>
            <w:tcW w:type="dxa" w:w="8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High</w:t>
            </w:r>
          </w:p>
        </w:tc>
        <w:tc>
          <w:tcPr>
            <w:tcW w:type="dxa" w:w="112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31 May 2026</w:t>
            </w:r>
          </w:p>
        </w:tc>
      </w:tr>
      <w:tr>
        <w:tc>
          <w:tcPr>
            <w:tcW w:type="dxa" w:w="68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7D8C"/>
                <w:sz w:val="16"/>
                <w:szCs w:val="16"/>
              </w:rPr>
              <w:t xml:space="preserve">CI-009</w:t>
            </w:r>
          </w:p>
        </w:tc>
        <w:tc>
          <w:tcPr>
            <w:tcW w:type="dxa" w:w="9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02 Apr 2026</w:t>
            </w:r>
          </w:p>
        </w:tc>
        <w:tc>
          <w:tcPr>
            <w:tcW w:type="dxa" w:w="10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Staff Suggestion</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Implement quarterly internal security briefings for all staff covering: current threat landscape relevant to MSP sector, near-miss lessons from the period, and any policy or procedure updates. Delivered by ISM as a 30-minute session.</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Supplements annual awareness training with timely, context-specific content; reinforces security culture; supports Clause 7.3(b) (contribution awareness) beyond the annual training cycle.</w:t>
            </w:r>
          </w:p>
        </w:tc>
        <w:tc>
          <w:tcPr>
            <w:tcW w:type="dxa" w:w="7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w:t>
            </w:r>
          </w:p>
        </w:tc>
        <w:tc>
          <w:tcPr>
            <w:tcW w:type="dxa" w:w="8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Medium</w:t>
            </w:r>
          </w:p>
        </w:tc>
        <w:tc>
          <w:tcPr>
            <w:tcW w:type="dxa" w:w="112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30 Jun 2026</w:t>
            </w:r>
          </w:p>
        </w:tc>
      </w:tr>
      <w:tr>
        <w:tc>
          <w:tcPr>
            <w:tcW w:type="dxa" w:w="6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7D8C"/>
                <w:sz w:val="16"/>
                <w:szCs w:val="16"/>
              </w:rPr>
              <w:t xml:space="preserve">CI-010</w:t>
            </w:r>
          </w:p>
        </w:tc>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02 Apr 2026</w:t>
            </w:r>
          </w:p>
        </w:tc>
        <w:tc>
          <w:tcPr>
            <w:tcW w:type="dxa" w:w="100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Management Review</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5"/>
                <w:szCs w:val="15"/>
              </w:rPr>
              <w:t xml:space="preserve">Establish formal annual penetration testing programme for the organisation's external attack surface and cloud environment, with findings tracked in ISMS-CAR-001 and risk register updated post-test.</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Provides independent technical validation of control effectiveness (A.8 Theme controls); reduces ISK-009 and ISK-014 residual risk; demonstrates continual improvement to certification body at surveillance.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4"/>
                <w:szCs w:val="14"/>
              </w:rPr>
              <w:t xml:space="preserve">ISM / HoT</w:t>
            </w:r>
          </w:p>
        </w:tc>
        <w:tc>
          <w:tcPr>
            <w:tcW w:type="dxa" w:w="8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Medium</w:t>
            </w:r>
          </w:p>
        </w:tc>
        <w:tc>
          <w:tcPr>
            <w:tcW w:type="dxa" w:w="1120"/>
            <w:tcBorders>
              <w:top w:val="single" w:color="CCCCCC" w:sz="1"/>
              <w:left w:val="single" w:color="CCCCCC" w:sz="1"/>
              <w:bottom w:val="single" w:color="CCCCCC" w:sz="1"/>
              <w:right w:val="single" w:color="CCCCCC" w:sz="1"/>
            </w:tcBorders>
            <w:shd w:fill="40404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31 Oct 2026</w:t>
            </w:r>
          </w:p>
        </w:tc>
      </w:tr>
    </w:tbl>
    <w:p>
      <w:pPr>
        <w:spacing w:after="60" w:before="60"/>
      </w:pPr>
    </w:p>
    <w:p>
      <w:pPr>
        <w:spacing w:after="80" w:before="80"/>
        <w:jc w:val="left"/>
      </w:pPr>
      <w:r>
        <w:rPr>
          <w:rFonts w:ascii="Arial" w:cs="Arial" w:eastAsia="Arial" w:hAnsi="Arial"/>
          <w:b w:val="false"/>
          <w:bCs w:val="false"/>
          <w:color w:val="888888"/>
          <w:sz w:val="18"/>
          <w:szCs w:val="18"/>
        </w:rPr>
        <w:t xml:space="preserve">The CI register captures improvements beyond what is required by corrective action alone — proactive improvements driven by ambition, threat intelligence, and best practice adoption. All CARs also feed into the improvement evidence base.</w:t>
      </w:r>
    </w:p>
    <w:p>
      <w:pPr>
        <w:spacing w:after="120" w:before="120"/>
      </w:pPr>
    </w:p>
    <w:p>
      <w:pPr>
        <w:pStyle w:val="Heading2"/>
        <w:spacing w:after="80" w:before="240"/>
      </w:pPr>
      <w:r>
        <w:rPr>
          <w:rFonts w:ascii="Arial" w:cs="Arial" w:eastAsia="Arial" w:hAnsi="Arial"/>
          <w:b/>
          <w:bCs/>
          <w:color w:val="2E75B6"/>
          <w:sz w:val="26"/>
          <w:szCs w:val="26"/>
        </w:rPr>
        <w:t xml:space="preserve">4.5 Improvement Effectiveness Review</w:t>
      </w:r>
    </w:p>
    <w:p>
      <w:pPr>
        <w:spacing w:after="80" w:before="80"/>
        <w:jc w:val="left"/>
      </w:pPr>
      <w:r>
        <w:rPr>
          <w:rFonts w:ascii="Arial" w:cs="Arial" w:eastAsia="Arial" w:hAnsi="Arial"/>
          <w:b w:val="false"/>
          <w:bCs w:val="false"/>
          <w:color w:val="000000"/>
          <w:sz w:val="20"/>
          <w:szCs w:val="20"/>
        </w:rPr>
        <w:t xml:space="preserve">The effectiveness of the continual improvement programme as a whole — rather than individual improvement actions — is evaluated at the annual management review using the following indicators: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3260"/>
        <w:gridCol w:w="3400"/>
      </w:tblGrid>
      <w:tr>
        <w:trPr>
          <w:tblHeader/>
        </w:trPr>
        <w:tc>
          <w:tcPr>
            <w:tcW w:type="dxa" w:w="2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Effectiveness Indicator</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How Measured</w:t>
            </w:r>
          </w:p>
        </w:tc>
        <w:tc>
          <w:tcPr>
            <w:tcW w:type="dxa" w:w="3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Expected Trajectory</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Reduction in nonconformity recurrence</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Comparison of CAR types year-on-year: fewer repeat nonconformities in the same control area indicates effective root cause elimination.</w:t>
            </w:r>
          </w:p>
        </w:tc>
        <w:tc>
          <w:tcPr>
            <w:tcW w:type="dxa" w:w="3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Year-on-year reduction in repeat NCs in the same process area.</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KPI trend across the portfolio</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12-month KPI trend analysis from ISMS-MR-002: percentage of KPIs showing improving trend vs. stable or declining.</w:t>
            </w:r>
          </w:p>
        </w:tc>
        <w:tc>
          <w:tcPr>
            <w:tcW w:type="dxa" w:w="3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Increasing proportion of KPIs showing improving or stable trend; no sustained KPI decline.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SoA implementation status progression</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Count of controls progressing from Not Implemented → Partially Implemented → Implemented in ISMS-SoA-001 year-on-year.</w:t>
            </w:r>
          </w:p>
        </w:tc>
        <w:tc>
          <w:tcPr>
            <w:tcW w:type="dxa" w:w="3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Increasing count of Implemented controls; zero regression from Implemented to lower status.</w:t>
            </w:r>
          </w:p>
        </w:tc>
      </w:tr>
      <w:tr>
        <w:tc>
          <w:tcPr>
            <w:tcW w:type="dxa" w:w="2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 objective achievement rate</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Percentage of annual ISMS objectives achieved by target date (ISMS-PLN-001 §5).</w:t>
            </w:r>
          </w:p>
        </w:tc>
        <w:tc>
          <w:tcPr>
            <w:tcW w:type="dxa" w:w="3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≥90% of annual objectives achieved by year-end; unachieved objectives carried forward with revised targets.</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CI register throughput</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Number of CI items raised, progressed, and completed within the year. Zero CI activity is a concern — it suggests the organisation is not proactively identifying improvements.</w:t>
            </w:r>
          </w:p>
        </w:tc>
        <w:tc>
          <w:tcPr>
            <w:tcW w:type="dxa" w:w="3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Minimum 6–8 CI items raised per year from diverse sources; ≥50% progressed to Complete within the year.</w:t>
            </w:r>
          </w:p>
        </w:tc>
      </w:tr>
    </w:tbl>
    <w:p>
      <w:pPr>
        <w:spacing w:after="120" w:before="120"/>
      </w:pPr>
    </w:p>
    <w:p>
      <w:r>
        <w:br w:type="page"/>
      </w:r>
    </w:p>
    <w:p>
      <w:pPr>
        <w:pStyle w:val="Heading1"/>
        <w:pBdr>
          <w:bottom w:val="single" w:color="2E75B6" w:sz="8" w:space="4"/>
        </w:pBdr>
        <w:spacing w:after="120" w:before="360"/>
      </w:pPr>
      <w:r>
        <w:rPr>
          <w:rFonts w:ascii="Arial" w:cs="Arial" w:eastAsia="Arial" w:hAnsi="Arial"/>
          <w:b/>
          <w:bCs/>
          <w:color w:val="1F3864"/>
          <w:sz w:val="34"/>
          <w:szCs w:val="34"/>
        </w:rPr>
        <w:t xml:space="preserve">5. Interaction with Other ISMS Processes</w:t>
      </w:r>
    </w:p>
    <w:p>
      <w:pPr>
        <w:spacing w:after="80" w:before="80"/>
        <w:jc w:val="left"/>
      </w:pPr>
      <w:r>
        <w:rPr>
          <w:rFonts w:ascii="Arial" w:cs="Arial" w:eastAsia="Arial" w:hAnsi="Arial"/>
          <w:b w:val="false"/>
          <w:bCs w:val="false"/>
          <w:color w:val="000000"/>
          <w:sz w:val="20"/>
          <w:szCs w:val="20"/>
        </w:rPr>
        <w:t xml:space="preserve">The corrective action and continual improvement processes sit at the centre of the ISMS PDCA cycle. The following diagram summarises the key process interactions: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260"/>
        <w:gridCol w:w="40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Feeding Process</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Provides</w:t>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How CAR/CI Responds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9.2 Internal Audit</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Major and Minor NCs; Observations.</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NCs → CAR raised within 5 working days. Observations → ISM assesses for CI register. Corrective actions verified at next audit.</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9.1 Monitoring / KPIs</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KPI breaches and declining trends.</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Sustained breach (2+ periods) → CAR raised. Single breach → CI entry raised. KPI recovery used as effectiveness criterion.</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9.3 Management Review</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 and CI status is a mandatory input (MRI-006, MRI-010). MR outputs generate improvement decisions.</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Management decisions create new CI entries. Resource decisions enable pending CARs to progress. MR minutes capture CI commitments.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8.2/8.3 Risk Assessment &amp; Treatment</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Control effectiveness gaps; residual risks above acceptance threshold.</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Control gaps → CAR if a control is required but absent. New risks → CI entry for proactive treatment enhancement. Risk register updated after CAR closure.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8.1 Incident Management (PIR)</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Post-incident review findings — control failures, detection gaps, response weaknesses.</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Control failure confirmed → CAR raised. Process improvement opportunity → CI entry. PIR findings feed risk register review.</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6.2 Objectives</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Failed or at-risk security objectives.</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Failed objective → CAR raised where objective was a Clause requirement. At-risk objective → CI entry to get back on track. Achieved objective → evidence for improvement effectiveness.</w:t>
            </w:r>
          </w:p>
        </w:tc>
      </w:tr>
    </w:tbl>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6. Linkage to Other ISMS Documents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260"/>
        <w:gridCol w:w="40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Relationship</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ISMS-PEV-001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Performance Evaluation (Clause 9)</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Primary feeder: internal audit NCs (9.2) and KPI breaches (9.1) are the largest sources of CARs. Management review (9.3) drives CI register activity.</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ISMS-PLN-001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Planning — Risk &amp; Objectives (Clause 6)</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Risk register updates follow CAR closure. Objectives and their achievement status feed CI prioritisation. Objective failures may trigger CARs.</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ISMS-OPS-001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Operation (Clause 8)</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Unplanned operational changes with adverse effects are escalated to ISMS-CAR-001. PIR findings generate CARs and CI entries.</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ISMS-IRP-001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Incident Response Plan</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Post-Incident Review findings feed both CAR (control failures) and CI (improvement opportunities identified through incident learning).</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ISMS-MR-001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Management Review Minutes</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CAR status (MRI-006) and CI progress (MRI-010) are mandatory management review inputs. MR outputs generate new CI entries (MRO-001).</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ISMS-SoA-001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Statement of Applicability</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SoA implementation status improvements driven by CI register. Control gaps identified in SoA may generate CARs if the control is a required inclusion.</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ISMS-IAP-001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 Audit Programme</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Primary source of formal NCs and observations. Auditor verifies CAR effectiveness at follow-up or next audit cycle.</w:t>
            </w:r>
          </w:p>
        </w:tc>
      </w:tr>
      <w:tr>
        <w:tc>
          <w:tcPr>
            <w:tcW w:type="dxa" w:w="2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ISMS-REG-001</w:t>
            </w:r>
          </w:p>
        </w:tc>
        <w:tc>
          <w:tcPr>
            <w:tcW w:type="dxa" w:w="3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ISMS Document Register</w:t>
            </w:r>
          </w:p>
        </w:tc>
        <w:tc>
          <w:tcPr>
            <w:tcW w:type="dxa" w:w="40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Missing documents identified in ISMS-REG-001 generate CARs (where mandatory) and CI entries (where organisationally determined).</w:t>
            </w:r>
          </w:p>
        </w:tc>
      </w:tr>
    </w:tbl>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7. Review and Maintenance</w:t>
      </w:r>
    </w:p>
    <w:p>
      <w:pPr>
        <w:spacing w:after="80" w:before="80"/>
        <w:jc w:val="left"/>
      </w:pPr>
      <w:r>
        <w:rPr>
          <w:rFonts w:ascii="Arial" w:cs="Arial" w:eastAsia="Arial" w:hAnsi="Arial"/>
          <w:b w:val="false"/>
          <w:bCs w:val="false"/>
          <w:color w:val="000000"/>
          <w:sz w:val="20"/>
          <w:szCs w:val="20"/>
        </w:rPr>
        <w:t xml:space="preserve">This document shall be reviewed and updated under the following conditions:</w:t>
      </w:r>
    </w:p>
    <w:p>
      <w:pPr>
        <w:spacing w:after="60" w:before="60"/>
      </w:pPr>
    </w:p>
    <w:p>
      <w:pPr>
        <w:pStyle w:val="ListParagraph"/>
        <w:numPr>
          <w:ilvl w:val="0"/>
          <w:numId w:val="2"/>
        </w:numPr>
        <w:spacing w:after="40" w:before="40"/>
      </w:pPr>
      <w:r>
        <w:rPr>
          <w:rFonts w:ascii="Arial" w:cs="Arial" w:eastAsia="Arial" w:hAnsi="Arial"/>
          <w:sz w:val="20"/>
          <w:szCs w:val="20"/>
        </w:rPr>
        <w:t xml:space="preserve">Annually as part of the ISMS Management Review cycle (mandatory trigger)</w:t>
      </w:r>
    </w:p>
    <w:p>
      <w:pPr>
        <w:pStyle w:val="ListParagraph"/>
        <w:numPr>
          <w:ilvl w:val="0"/>
          <w:numId w:val="2"/>
        </w:numPr>
        <w:spacing w:after="40" w:before="40"/>
      </w:pPr>
      <w:r>
        <w:rPr>
          <w:rFonts w:ascii="Arial" w:cs="Arial" w:eastAsia="Arial" w:hAnsi="Arial"/>
          <w:sz w:val="20"/>
          <w:szCs w:val="20"/>
        </w:rPr>
        <w:t xml:space="preserve">When a new CAR is raised or an existing CAR changes status — the tracker (§3.8) is updated immediately; full document revision is not required for tracker updates</w:t>
      </w:r>
    </w:p>
    <w:p>
      <w:pPr>
        <w:pStyle w:val="ListParagraph"/>
        <w:numPr>
          <w:ilvl w:val="0"/>
          <w:numId w:val="2"/>
        </w:numPr>
        <w:spacing w:after="40" w:before="40"/>
      </w:pPr>
      <w:r>
        <w:rPr>
          <w:rFonts w:ascii="Arial" w:cs="Arial" w:eastAsia="Arial" w:hAnsi="Arial"/>
          <w:sz w:val="20"/>
          <w:szCs w:val="20"/>
        </w:rPr>
        <w:t xml:space="preserve">When a new CI entry is raised or an existing entry progresses — the register (§4.4) is updated immediately; full document revision is not required for register updates</w:t>
      </w:r>
    </w:p>
    <w:p>
      <w:pPr>
        <w:pStyle w:val="ListParagraph"/>
        <w:numPr>
          <w:ilvl w:val="0"/>
          <w:numId w:val="2"/>
        </w:numPr>
        <w:spacing w:after="40" w:before="40"/>
      </w:pPr>
      <w:r>
        <w:rPr>
          <w:rFonts w:ascii="Arial" w:cs="Arial" w:eastAsia="Arial" w:hAnsi="Arial"/>
          <w:sz w:val="20"/>
          <w:szCs w:val="20"/>
        </w:rPr>
        <w:t xml:space="preserve">When the corrective action process or classification criteria are revised — full ISM review and MD approval required</w:t>
      </w:r>
    </w:p>
    <w:p>
      <w:pPr>
        <w:pStyle w:val="ListParagraph"/>
        <w:numPr>
          <w:ilvl w:val="0"/>
          <w:numId w:val="2"/>
        </w:numPr>
        <w:spacing w:after="40" w:before="40"/>
      </w:pPr>
      <w:r>
        <w:rPr>
          <w:rFonts w:ascii="Arial" w:cs="Arial" w:eastAsia="Arial" w:hAnsi="Arial"/>
          <w:sz w:val="20"/>
          <w:szCs w:val="20"/>
        </w:rPr>
        <w:t xml:space="preserve">Following a certification body finding that the corrective action or improvement processes are inadequate</w:t>
      </w:r>
    </w:p>
    <w:p>
      <w:pPr>
        <w:pStyle w:val="ListParagraph"/>
        <w:numPr>
          <w:ilvl w:val="0"/>
          <w:numId w:val="2"/>
        </w:numPr>
        <w:spacing w:after="40" w:before="40"/>
      </w:pPr>
      <w:r>
        <w:rPr>
          <w:rFonts w:ascii="Arial" w:cs="Arial" w:eastAsia="Arial" w:hAnsi="Arial"/>
          <w:sz w:val="20"/>
          <w:szCs w:val="20"/>
        </w:rPr>
        <w:t xml:space="preserve">At the discretion of the Information Security Manager</w:t>
      </w:r>
    </w:p>
    <w:p>
      <w:pPr>
        <w:spacing w:after="60" w:before="60"/>
      </w:pPr>
    </w:p>
    <w:p>
      <w:pPr>
        <w:spacing w:after="80" w:before="80"/>
        <w:jc w:val="left"/>
      </w:pPr>
      <w:r>
        <w:rPr>
          <w:rFonts w:ascii="Arial" w:cs="Arial" w:eastAsia="Arial" w:hAnsi="Arial"/>
          <w:b w:val="false"/>
          <w:bCs w:val="false"/>
          <w:color w:val="000000"/>
          <w:sz w:val="20"/>
          <w:szCs w:val="20"/>
        </w:rPr>
        <w:t xml:space="preserve">The CAR tracker and CI register are living records and are updated on each applicable event. All other changes to procedural content (Sections 3.1–3.7 and 4.1–4.3) require ISM review and MD sign-off, with a version increment and entry in the version history table.</w:t>
      </w:r>
    </w:p>
    <w:p>
      <w:pPr>
        <w:spacing w:after="120" w:before="120"/>
      </w:pPr>
    </w:p>
    <w:p>
      <w:pPr>
        <w:pStyle w:val="Heading1"/>
        <w:pBdr>
          <w:bottom w:val="single" w:color="2E75B6" w:sz="8" w:space="4"/>
        </w:pBdr>
        <w:spacing w:after="120" w:before="360"/>
      </w:pPr>
      <w:r>
        <w:rPr>
          <w:rFonts w:ascii="Arial" w:cs="Arial" w:eastAsia="Arial" w:hAnsi="Arial"/>
          <w:b/>
          <w:bCs/>
          <w:color w:val="1F3864"/>
          <w:sz w:val="34"/>
          <w:szCs w:val="34"/>
        </w:rPr>
        <w:t xml:space="preserve">8. References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400"/>
        <w:gridCol w:w="6860"/>
      </w:tblGrid>
      <w:tr>
        <w:trPr>
          <w:tblHeader/>
        </w:trPr>
        <w:tc>
          <w:tcPr>
            <w:tcW w:type="dxa" w:w="2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Reference</w:t>
            </w:r>
          </w:p>
        </w:tc>
        <w:tc>
          <w:tcPr>
            <w:tcW w:type="dxa" w:w="68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 Standard</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ISO/IEC 27001:2022</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Clause 10.1 — Continual Improvement; Clause 10.2 — Nonconformity and Corrective Action.</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ISO 9001:2015</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Clause 10.2 — Nonconformity and corrective action. Provides broader quality management context for RCA methodology and effectiveness evaluation principles.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ISMS-PEV-001</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Performance Evaluation (Clause 9) — primary source of nonconformities (internal audit) and KPI data feeding this process.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ISMS-PLN-001</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Planning (Clause 6) — risk register updated following CAR closure; objectives feed CI prioritisation.</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ISMS-OPS-001</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Operation (Clause 8) — PIR findings and operational control failures feed CAR and CI registers.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ISMS-MR-001</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Management Review Minutes — CAR and CI status are mandatory review inputs; MR outputs generate CI entries.</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ISMS-IAP-001</w:t>
            </w:r>
          </w:p>
        </w:tc>
        <w:tc>
          <w:tcPr>
            <w:tcW w:type="dxa" w:w="68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Internal Audit Programme — primary source of formal nonconformity findings.</w:t>
            </w:r>
          </w:p>
        </w:tc>
      </w:tr>
      <w:tr>
        <w:tc>
          <w:tcPr>
            <w:tcW w:type="dxa" w:w="24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ISMS-REG-001</w:t>
            </w:r>
          </w:p>
        </w:tc>
        <w:tc>
          <w:tcPr>
            <w:tcW w:type="dxa" w:w="68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 Document Register — missing mandatory documents generate CARs.</w:t>
            </w:r>
          </w:p>
        </w:tc>
      </w:tr>
    </w:tbl>
    <w:p>
      <w:pPr>
        <w:spacing w:after="0" w:before="240"/>
      </w:pPr>
    </w:p>
    <w:p>
      <w:pPr>
        <w:spacing w:after="0" w:before="240"/>
      </w:pPr>
      <w:r>
        <w:rPr>
          <w:rFonts w:ascii="Arial" w:cs="Arial" w:eastAsia="Arial" w:hAnsi="Arial"/>
          <w:color w:val="AAAAAA"/>
          <w:sz w:val="16"/>
          <w:szCs w:val="16"/>
        </w:rPr>
        <w:t xml:space="preserve">END OF DOCUMENT — ISMS-CAR-001 / ISMS-CI-001  v1.0</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before="120"/>
    </w:pPr>
    <w:r>
      <w:rPr>
        <w:rFonts w:ascii="Arial" w:cs="Arial" w:eastAsia="Arial" w:hAnsi="Arial"/>
        <w:b/>
        <w:bCs/>
        <w:color w:val="2E75B6"/>
        <w:sz w:val="16"/>
        <w:szCs w:val="16"/>
      </w:rPr>
      <w:t xml:space="preserve">INTERNAL</w:t>
    </w:r>
    <w:r>
      <w:rPr>
        <w:rFonts w:ascii="Arial" w:cs="Arial" w:eastAsia="Arial" w:hAnsi="Arial"/>
        <w:color w:val="888888"/>
        <w:sz w:val="16"/>
        <w:szCs w:val="16"/>
      </w:rPr>
      <w:t xml:space="preserve">	Page </w:t>
    </w:r>
    <w:fldSimple w:instr="PAGE">
      <w:r>
        <w:rPr>
          <w:rFonts w:ascii="Arial" w:cs="Arial" w:eastAsia="Arial" w:hAnsi="Arial"/>
          <w:color w:val="888888"/>
          <w:sz w:val="16"/>
          <w:szCs w:val="16"/>
        </w:rPr>
      </w:r>
    </w:fldSimple>
    <w:r>
      <w:rPr>
        <w:rFonts w:ascii="Arial" w:cs="Arial" w:eastAsia="Arial" w:hAnsi="Arial"/>
        <w:color w:val="888888"/>
        <w:sz w:val="16"/>
        <w:szCs w:val="16"/>
      </w:rPr>
      <w:t xml:space="preserve">	02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20"/>
    </w:pPr>
    <w:r>
      <w:rPr>
        <w:rFonts w:ascii="Arial" w:cs="Arial" w:eastAsia="Arial" w:hAnsi="Arial"/>
        <w:b/>
        <w:bCs/>
        <w:color w:val="1F3864"/>
        <w:sz w:val="18"/>
        <w:szCs w:val="18"/>
      </w:rPr>
      <w:t xml:space="preserve">Apex Managed Services Ltd — Corrective Action &amp; Continual Improvement</w:t>
    </w:r>
    <w:r>
      <w:rPr>
        <w:rFonts w:ascii="Arial" w:cs="Arial" w:eastAsia="Arial" w:hAnsi="Arial"/>
        <w:color w:val="888888"/>
        <w:sz w:val="16"/>
        <w:szCs w:val="16"/>
      </w:rPr>
      <w:t xml:space="preserve">	ISMS-CAR-001 / ISMS-CI-001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2026-04-03T07:17:14.049Z</dcterms:created>
  <dcterms:modified xsi:type="dcterms:W3CDTF">2026-04-03T07:17:14.050Z</dcterms:modified>
</cp:coreProperties>
</file>

<file path=docProps/custom.xml><?xml version="1.0" encoding="utf-8"?>
<Properties xmlns="http://schemas.openxmlformats.org/officeDocument/2006/custom-properties" xmlns:vt="http://schemas.openxmlformats.org/officeDocument/2006/docPropsVTypes"/>
</file>