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</w:p>
    <w:p>
      <w:pPr>
        <w:pBdr>
          <w:bottom w:val="single" w:color="2E75B6" w:sz="18" w:space="4"/>
        </w:pBd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Apex Managed Services Ltd</w:t>
      </w:r>
    </w:p>
    <w:p>
      <w:pPr>
        <w:spacing w:after="80" w:before="160"/>
        <w:jc w:val="center"/>
      </w:pPr>
      <w:r>
        <w:rPr>
          <w:rFonts w:ascii="Arial" w:cs="Arial" w:eastAsia="Arial" w:hAnsi="Arial"/>
          <w:color w:val="404040"/>
          <w:sz w:val="26"/>
          <w:szCs w:val="26"/>
        </w:rPr>
        <w:t xml:space="preserve">Information Security Management System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Change Management</w:t>
      </w:r>
    </w:p>
    <w:p>
      <w:pPr>
        <w:spacing w:after="280" w:before="0"/>
        <w:jc w:val="center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Procedure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ISO/IEC 27001:2022 — 6.3, 8.1</w:t>
      </w:r>
    </w:p>
    <w:p>
      <w:pPr>
        <w:spacing w:after="280" w:before="0"/>
        <w:jc w:val="center"/>
      </w:pPr>
      <w:r>
        <w:rPr>
          <w:rFonts w:ascii="Arial" w:cs="Arial" w:eastAsia="Arial" w:hAnsi="Arial"/>
          <w:color w:val="888888"/>
          <w:sz w:val="17"/>
          <w:szCs w:val="17"/>
        </w:rPr>
        <w:t xml:space="preserve">ISMS-CHG-001  |  Version 1.0  |  02 April 2026  |  INTERNAL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60"/>
        <w:gridCol w:w="1800"/>
        <w:gridCol w:w="1900"/>
      </w:tblGrid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 Reference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ISMS-CHG-001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Change Management — Procedure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02 April 2026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Organisation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Apex Managed Services Ltd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INTERNAL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 Owner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Information Security Manager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ISO 27001:2022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6.3, 8.1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72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Managing Director — Signature: __________________  Date: __________________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0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 Purpose and Scope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This procedure governs how changes to the ISMS, its information assets, and IT systems are planned, assessed, approved, implemented, and reviewed. It expands on the change planning framework in ISMS-PLN-001 §6.3 and operationalises OPS-003.3 (operational change management). It applies to all changes within the ISMS scope, including: cloud infrastructure configuration; security control settings; ISMS documented information; software deployments; and client environment changes made under managed service agreements.</w:t>
      </w:r>
    </w:p>
    <w:p>
      <w:pPr>
        <w:spacing w:after="100" w:before="100"/>
      </w:pPr>
    </w:p>
    <w:p>
      <w:pPr>
        <w:pStyle w:val="Heading1"/>
        <w:pBdr>
          <w:bottom w:val="single" w:color="2E75B6" w:sz="8" w:space="4"/>
        </w:pBdr>
        <w:spacing w:after="10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 Change Types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860"/>
      </w:tblGrid>
      <w:tr>
        <w:trPr>
          <w:tblHeader/>
        </w:trP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  <w:tc>
          <w:tcPr>
            <w:tcW w:type="dxa" w:w="5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Standard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Pre-approved, low-risk, well-understood changes that follow a defined procedure. No individual approval required per change.</w:t>
            </w:r>
          </w:p>
        </w:tc>
        <w:tc>
          <w:tcPr>
            <w:tcW w:type="dxa" w:w="5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Applying monthly Patch Tuesday updates via Intune; rotating credentials on a quarterly schedule; adding a user to an existing RBAC group per the standard provisioning process; updating ISMS living records (ISMS-CAR-001, ISMS-MR-002) per their documented procedure.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Normal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Planned changes requiring risk assessment and explicit approval before implementation. The majority of changes will be Normal.</w:t>
            </w:r>
          </w:p>
        </w:tc>
        <w:tc>
          <w:tcPr>
            <w:tcW w:type="dxa" w:w="5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Deploying a new security tool or SaaS platform; modifying Conditional Access policies; changing network security group rules in Azure; adding a new sub-processor; significant updates to ISMS policies or procedures; onboarding a new client environment.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Emergency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Urgent changes required to resolve a critical incident or vulnerability, where normal approval timescales would cause unacceptable risk.</w:t>
            </w:r>
          </w:p>
        </w:tc>
        <w:tc>
          <w:tcPr>
            <w:tcW w:type="dxa" w:w="5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Isolating a device following ransomware detection (ISMS-IRP-001 Playbook 1); applying an emergency patch for a Critical CVE under active exploitation; blocking a compromised account immediately; emergency access rule change to stop an active attack.</w:t>
            </w:r>
          </w:p>
        </w:tc>
      </w:tr>
    </w:tbl>
    <w:p>
      <w:pPr>
        <w:spacing w:after="100" w:before="100"/>
      </w:pPr>
    </w:p>
    <w:p>
      <w:pPr>
        <w:pStyle w:val="Heading1"/>
        <w:pBdr>
          <w:bottom w:val="single" w:color="2E75B6" w:sz="8" w:space="4"/>
        </w:pBdr>
        <w:spacing w:after="10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 Change Management Workflow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1400"/>
        <w:gridCol w:w="4060"/>
        <w:gridCol w:w="1600"/>
      </w:tblGrid>
      <w:tr>
        <w:trPr>
          <w:tblHeader/>
        </w:trP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4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Change Request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Requestor (any personnel)</w:t>
            </w:r>
          </w:p>
        </w:tc>
        <w:tc>
          <w:tcPr>
            <w:tcW w:type="dxa" w:w="4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Raise a change request by completing the change log entry (ISMS-OPS-001 change log). Record: what is changing, why, what systems are affected, what the risk is if the change goes wrong, and the proposed rollback plan.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3"/>
                <w:szCs w:val="13"/>
              </w:rPr>
              <w:t xml:space="preserve">Change log entry created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Risk Assessment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HoT (technical) / ISM (ISMS impact)</w:t>
            </w:r>
          </w:p>
        </w:tc>
        <w:tc>
          <w:tcPr>
            <w:tcW w:type="dxa" w:w="4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Assess the change for: security impact (does it affect controls in ISMS-SoA-001?); availability risk (could it cause downtime?); data risk (could it affect data integrity or confidentiality?); compliance impact (does it affect regulatory obligations?). Assign risk level: Low / Medium / High.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3"/>
                <w:szCs w:val="13"/>
              </w:rPr>
              <w:t xml:space="preserve">Risk assessment in change log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Approval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Per approval authority matrix (§4)</w:t>
            </w:r>
          </w:p>
        </w:tc>
        <w:tc>
          <w:tcPr>
            <w:tcW w:type="dxa" w:w="4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Standard changes: pre-approved — proceed. Normal changes: ISM approval (Low/Medium risk) or MD approval (High risk). Emergency changes: ISM + MD verbal approval; written confirmation within 24 hours.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3"/>
                <w:szCs w:val="13"/>
              </w:rPr>
              <w:t xml:space="preserve">Approval record in change log; email or signature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Implementation Planning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HoT (technical changes) / ISM (ISMS changes)</w:t>
            </w:r>
          </w:p>
        </w:tc>
        <w:tc>
          <w:tcPr>
            <w:tcW w:type="dxa" w:w="4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Document: implementation steps; rollback steps; test criteria to confirm success; maintenance window (where applicable); client notification (if client-impacting). For client environment changes: client written consent required before implementation.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3"/>
                <w:szCs w:val="13"/>
              </w:rPr>
              <w:t xml:space="preserve">Implementation plan in change log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Implementation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HoT / ISM (per change type)</w:t>
            </w:r>
          </w:p>
        </w:tc>
        <w:tc>
          <w:tcPr>
            <w:tcW w:type="dxa" w:w="4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Implement per plan. Record start time, each step taken, any deviations from plan, and completion time. If implementation fails: invoke rollback immediately. Do not attempt to resolve implementation problems without reverting first.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3"/>
                <w:szCs w:val="13"/>
              </w:rPr>
              <w:t xml:space="preserve">Implementation record with timestamps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Post-Implementation Review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HoT / ISM</w:t>
            </w:r>
          </w:p>
        </w:tc>
        <w:tc>
          <w:tcPr>
            <w:tcW w:type="dxa" w:w="4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Within 24 hours of implementation: confirm change achieved its objective; confirm no unintended side-effects; confirm security controls are operating correctly. For High-risk changes: ISM conducts verification check independently.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3"/>
                <w:szCs w:val="13"/>
              </w:rPr>
              <w:t xml:space="preserve">PIR record in change log; verification confirmation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Change Log Update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ISM</w:t>
            </w:r>
          </w:p>
        </w:tc>
        <w:tc>
          <w:tcPr>
            <w:tcW w:type="dxa" w:w="4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Mark change as Closed (Successful) or Closed (Rolled Back) in the change log. If rolled back: raise a CAR in ISMS-CAR-001 to address the underlying issue.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3"/>
                <w:szCs w:val="13"/>
              </w:rPr>
              <w:t xml:space="preserve">Change log closed; CAR raised if needed</w:t>
            </w:r>
          </w:p>
        </w:tc>
      </w:tr>
    </w:tbl>
    <w:p>
      <w:pPr>
        <w:spacing w:after="100" w:before="100"/>
      </w:pPr>
    </w:p>
    <w:p>
      <w:pPr>
        <w:pStyle w:val="Heading1"/>
        <w:pBdr>
          <w:bottom w:val="single" w:color="2E75B6" w:sz="8" w:space="4"/>
        </w:pBdr>
        <w:spacing w:after="10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 Approval Authority Matrix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60"/>
        <w:gridCol w:w="2500"/>
        <w:gridCol w:w="250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 Type × Risk</w:t>
            </w:r>
          </w:p>
        </w:tc>
        <w:tc>
          <w:tcPr>
            <w:tcW w:type="dxa" w:w="2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Examples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Approval Authority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Timescale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Standard (any risk)</w:t>
            </w:r>
          </w:p>
        </w:tc>
        <w:tc>
          <w:tcPr>
            <w:tcW w:type="dxa" w:w="2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Routine patching; standard provisioning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Pre-approved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 additional approval needed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Normal — Low risk</w:t>
            </w:r>
          </w:p>
        </w:tc>
        <w:tc>
          <w:tcPr>
            <w:tcW w:type="dxa" w:w="2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Minor config update; ISMS record 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ISM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Within 2 working days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Normal — Medium risk</w:t>
            </w:r>
          </w:p>
        </w:tc>
        <w:tc>
          <w:tcPr>
            <w:tcW w:type="dxa" w:w="2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New SaaS tool; CA policy change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ISM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Within 2 working days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Normal — High risk</w:t>
            </w:r>
          </w:p>
        </w:tc>
        <w:tc>
          <w:tcPr>
            <w:tcW w:type="dxa" w:w="2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New client onboarding; major architecture change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ISM + MD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Within 3 working days; scheduled maintenance window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Emergency (any risk)</w:t>
            </w:r>
          </w:p>
        </w:tc>
        <w:tc>
          <w:tcPr>
            <w:tcW w:type="dxa" w:w="2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Incident response containment; critical CVE patch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ISM + MD verbal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Immediate. Written confirmation within 24h.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ISMS scope change</w:t>
            </w:r>
          </w:p>
        </w:tc>
        <w:tc>
          <w:tcPr>
            <w:tcW w:type="dxa" w:w="2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New service line; premises acquired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ISM + MD + CB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As required; CB notification mandatory</w:t>
            </w:r>
          </w:p>
        </w:tc>
      </w:tr>
    </w:tbl>
    <w:p>
      <w:pPr>
        <w:spacing w:after="100" w:before="100"/>
      </w:pPr>
    </w:p>
    <w:p>
      <w:pPr>
        <w:pStyle w:val="Heading1"/>
        <w:pBdr>
          <w:bottom w:val="single" w:color="2E75B6" w:sz="8" w:space="4"/>
        </w:pBdr>
        <w:spacing w:after="10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 Client Environment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changes to client environments require explicit client written consent before implementation, unless the change is an emergency response to an active security incident affecting that client (in which case: implement to contain, notify client immediately after).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Client changes are logged in the change log with the client reference, the consent record reference, and the client contact who provided consent.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Post-implementation, the client is notified of the completed change and any residual actions required on their side.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Changes that affect client security posture (e.g. Conditional Access policy changes, firewall rule changes) are communicated to the client security contact with a brief description of the change and its security purpose.</w:t>
      </w:r>
    </w:p>
    <w:p>
      <w:pPr>
        <w:spacing w:after="100" w:before="100"/>
      </w:pPr>
    </w:p>
    <w:p>
      <w:pPr>
        <w:pStyle w:val="Heading1"/>
        <w:pBdr>
          <w:bottom w:val="single" w:color="2E75B6" w:sz="8" w:space="4"/>
        </w:pBdr>
        <w:spacing w:after="10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 Change Log Template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6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Change ID</w:t>
            </w:r>
          </w:p>
        </w:tc>
        <w:tc>
          <w:tcPr>
            <w:tcW w:type="dxa" w:w="6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6"/>
                <w:szCs w:val="16"/>
              </w:rPr>
              <w:t xml:space="preserve">[CHG-YYYY-NNN — sequential]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Date Requested</w:t>
            </w:r>
          </w:p>
        </w:tc>
        <w:tc>
          <w:tcPr>
            <w:tcW w:type="dxa" w:w="6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Requestor</w:t>
            </w:r>
          </w:p>
        </w:tc>
        <w:tc>
          <w:tcPr>
            <w:tcW w:type="dxa" w:w="6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Change Type</w:t>
            </w:r>
          </w:p>
        </w:tc>
        <w:tc>
          <w:tcPr>
            <w:tcW w:type="dxa" w:w="6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6"/>
                <w:szCs w:val="16"/>
              </w:rPr>
              <w:t xml:space="preserve">[Standard / Normal / Emergency]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Change Title / Brief Description</w:t>
            </w:r>
          </w:p>
        </w:tc>
        <w:tc>
          <w:tcPr>
            <w:tcW w:type="dxa" w:w="6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Systems / Assets Affected</w:t>
            </w:r>
          </w:p>
        </w:tc>
        <w:tc>
          <w:tcPr>
            <w:tcW w:type="dxa" w:w="6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Reason for Change</w:t>
            </w:r>
          </w:p>
        </w:tc>
        <w:tc>
          <w:tcPr>
            <w:tcW w:type="dxa" w:w="6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Security Risk Assessment</w:t>
            </w:r>
          </w:p>
        </w:tc>
        <w:tc>
          <w:tcPr>
            <w:tcW w:type="dxa" w:w="6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Risk level: [Low / Medium / High]. Key risks if change goes wrong: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Rollback Plan</w:t>
            </w:r>
          </w:p>
        </w:tc>
        <w:tc>
          <w:tcPr>
            <w:tcW w:type="dxa" w:w="6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Steps to reverse the change if it fails or causes unintended effects: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Approval</w:t>
            </w:r>
          </w:p>
        </w:tc>
        <w:tc>
          <w:tcPr>
            <w:tcW w:type="dxa" w:w="6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Approved by: ______  Date: ______  Method: [Email / Signature / Verbal + written follow-up]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Client Consent (if applicable)</w:t>
            </w:r>
          </w:p>
        </w:tc>
        <w:tc>
          <w:tcPr>
            <w:tcW w:type="dxa" w:w="6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Client: ______  Consent provided by: ______  Date: ______  Method: ______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Implementation Date / Window</w:t>
            </w:r>
          </w:p>
        </w:tc>
        <w:tc>
          <w:tcPr>
            <w:tcW w:type="dxa" w:w="6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Implementation Steps Taken</w:t>
            </w:r>
          </w:p>
        </w:tc>
        <w:tc>
          <w:tcPr>
            <w:tcW w:type="dxa" w:w="6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Record each step with timestamp: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Post-Implementation Review</w:t>
            </w:r>
          </w:p>
        </w:tc>
        <w:tc>
          <w:tcPr>
            <w:tcW w:type="dxa" w:w="6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Objective achieved: ☐ Yes  ☐ No. Side effects observed: ☐ None  ☐ Yes — detail: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Status</w:t>
            </w:r>
          </w:p>
        </w:tc>
        <w:tc>
          <w:tcPr>
            <w:tcW w:type="dxa" w:w="6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☐ Closed — Successful  ☐ Closed — Rolled Back  ☐ Open (in progress)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CAR Reference (if rollback or incident)</w:t>
            </w:r>
          </w:p>
        </w:tc>
        <w:tc>
          <w:tcPr>
            <w:tcW w:type="dxa" w:w="6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spacing w:after="60" w:before="60"/>
      </w:pP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60"/>
        <w:gridCol w:w="400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3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Relationship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ISMS-PLN-001</w:t>
            </w:r>
          </w:p>
        </w:tc>
        <w:tc>
          <w:tcPr>
            <w:tcW w:type="dxa" w:w="3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Planning — Clause 6.3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Change planning requirements from which this procedure derives.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ISMS-OPS-001</w:t>
            </w:r>
          </w:p>
        </w:tc>
        <w:tc>
          <w:tcPr>
            <w:tcW w:type="dxa" w:w="3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Operation — §3.3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Change log maintained as part of operational evidence (OPS-003.3).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ISMS-SoA-001</w:t>
            </w:r>
          </w:p>
        </w:tc>
        <w:tc>
          <w:tcPr>
            <w:tcW w:type="dxa" w:w="3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Statement of Applicability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Changes affecting implemented controls must be assessed against SoA before implementation.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ISMS-CAR-001</w:t>
            </w:r>
          </w:p>
        </w:tc>
        <w:tc>
          <w:tcPr>
            <w:tcW w:type="dxa" w:w="3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Corrective Action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Failed changes and rolled-back implementations raise CARs.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ISMS-IRP-001</w:t>
            </w:r>
          </w:p>
        </w:tc>
        <w:tc>
          <w:tcPr>
            <w:tcW w:type="dxa" w:w="3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Incident Response Plan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Emergency changes during incident response are authorised by the IR Lead. Documented in this log post-incident.</w:t>
            </w:r>
          </w:p>
        </w:tc>
      </w:tr>
    </w:tbl>
    <w:p>
      <w:pPr>
        <w:spacing w:after="60" w:before="120"/>
      </w:pPr>
    </w:p>
    <w:p>
      <w:pPr>
        <w:spacing w:after="0" w:before="60"/>
        <w:jc w:val="center"/>
      </w:pPr>
      <w:r>
        <w:rPr>
          <w:rFonts w:ascii="Arial" w:cs="Arial" w:eastAsia="Arial" w:hAnsi="Arial"/>
          <w:color w:val="AAAAAA"/>
          <w:sz w:val="14"/>
          <w:szCs w:val="14"/>
        </w:rPr>
        <w:t xml:space="preserve">END OF DOCUMENT — ISMS-CHG-001 v1.0</w:t>
      </w:r>
    </w:p>
    <w:sectPr>
      <w:headerReference w:type="default" r:id="rId7"/>
      <w:footerReference w:type="default" r:id="rId8"/>
      <w:pgSz w:w="11906" w:h="16838" w:orient="portrait"/>
      <w:pgMar w:top="1260" w:right="1134" w:bottom="126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tabs>
        <w:tab w:val="center" w:pos="4680"/>
        <w:tab w:val="right" w:pos="9026"/>
      </w:tabs>
      <w:spacing w:before="100"/>
    </w:pPr>
    <w:r>
      <w:rPr>
        <w:rFonts w:ascii="Arial" w:cs="Arial" w:eastAsia="Arial" w:hAnsi="Arial"/>
        <w:b/>
        <w:bCs/>
        <w:color w:val="2E75B6"/>
        <w:sz w:val="15"/>
        <w:szCs w:val="15"/>
      </w:rPr>
      <w:t xml:space="preserve">INTERNAL</w:t>
    </w:r>
    <w:r>
      <w:rPr>
        <w:rFonts w:ascii="Arial" w:cs="Arial" w:eastAsia="Arial" w:hAnsi="Arial"/>
        <w:color w:val="888888"/>
        <w:sz w:val="15"/>
        <w:szCs w:val="15"/>
      </w:rPr>
      <w:t xml:space="preserve">	Page </w:t>
    </w:r>
    <w:fldSimple w:instr="PAGE">
      <w:r>
        <w:rPr>
          <w:rFonts w:ascii="Arial" w:cs="Arial" w:eastAsia="Arial" w:hAnsi="Arial"/>
          <w:color w:val="888888"/>
          <w:sz w:val="15"/>
          <w:szCs w:val="15"/>
        </w:rPr>
      </w:r>
    </w:fldSimple>
    <w:r>
      <w:rPr>
        <w:rFonts w:ascii="Arial" w:cs="Arial" w:eastAsia="Arial" w:hAnsi="Arial"/>
        <w:color w:val="888888"/>
        <w:sz w:val="15"/>
        <w:szCs w:val="15"/>
      </w:rPr>
      <w:t xml:space="preserve">	02 April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026"/>
      </w:tabs>
      <w:spacing w:after="100"/>
    </w:pPr>
    <w:r>
      <w:rPr>
        <w:rFonts w:ascii="Arial" w:cs="Arial" w:eastAsia="Arial" w:hAnsi="Arial"/>
        <w:b/>
        <w:bCs/>
        <w:color w:val="1F3864"/>
        <w:sz w:val="17"/>
        <w:szCs w:val="17"/>
      </w:rPr>
      <w:t xml:space="preserve">Apex Managed Services Ltd — Change Management Procedure</w:t>
    </w:r>
    <w:r>
      <w:rPr>
        <w:rFonts w:ascii="Arial" w:cs="Arial" w:eastAsia="Arial" w:hAnsi="Arial"/>
        <w:color w:val="888888"/>
        <w:sz w:val="15"/>
        <w:szCs w:val="15"/>
      </w:rPr>
      <w:t xml:space="preserve">	ISMS-CHG-001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3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2026-04-03T11:22:02.199Z</dcterms:created>
  <dcterms:modified xsi:type="dcterms:W3CDTF">2026-04-03T11:22:02.199Z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