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600"/>
      </w:pPr>
    </w:p>
    <w:p>
      <w:pPr>
        <w:pBdr>
          <w:bottom w:val="single" w:color="2E75B6" w:sz="18" w:space="4"/>
        </w:pBdr>
        <w:spacing w:after="240" w:before="0"/>
        <w:jc w:val="center"/>
      </w:pPr>
      <w:r>
        <w:rPr>
          <w:rFonts w:ascii="Arial" w:cs="Arial" w:eastAsia="Arial" w:hAnsi="Arial"/>
          <w:b/>
          <w:bCs/>
          <w:color w:val="1F3864"/>
          <w:sz w:val="52"/>
          <w:szCs w:val="52"/>
        </w:rPr>
        <w:t xml:space="preserve">Apex Managed Services Ltd</w:t>
      </w:r>
    </w:p>
    <w:p>
      <w:pPr>
        <w:spacing w:after="120" w:before="240"/>
        <w:jc w:val="center"/>
      </w:pPr>
      <w:r>
        <w:rPr>
          <w:rFonts w:ascii="Arial" w:cs="Arial" w:eastAsia="Arial" w:hAnsi="Arial"/>
          <w:color w:val="404040"/>
          <w:sz w:val="32"/>
          <w:szCs w:val="32"/>
        </w:rPr>
        <w:t xml:space="preserve">Information Security Management System</w:t>
      </w:r>
    </w:p>
    <w:p>
      <w:pPr>
        <w:spacing w:after="120" w:before="0"/>
        <w:jc w:val="center"/>
      </w:pPr>
      <w:r>
        <w:rPr>
          <w:rFonts w:ascii="Arial" w:cs="Arial" w:eastAsia="Arial" w:hAnsi="Arial"/>
          <w:b/>
          <w:bCs/>
          <w:color w:val="2E75B6"/>
          <w:sz w:val="42"/>
          <w:szCs w:val="42"/>
        </w:rPr>
        <w:t xml:space="preserve">Context Document</w:t>
      </w:r>
    </w:p>
    <w:p>
      <w:pPr>
        <w:spacing w:after="480" w:before="0"/>
        <w:jc w:val="center"/>
      </w:pPr>
      <w:r>
        <w:rPr>
          <w:rFonts w:ascii="Arial" w:cs="Arial" w:eastAsia="Arial" w:hAnsi="Arial"/>
          <w:color w:val="404040"/>
          <w:sz w:val="24"/>
          <w:szCs w:val="24"/>
        </w:rPr>
        <w:t xml:space="preserve">ISO/IEC 27001:2022 — Clauses 4.1, 4.2, 4.3, and 4.4</w:t>
      </w:r>
    </w:p>
    <w:p>
      <w:pPr>
        <w:spacing w:after="80" w:before="0"/>
        <w:jc w:val="center"/>
      </w:pPr>
      <w:r>
        <w:rPr>
          <w:rFonts w:ascii="Arial" w:cs="Arial" w:eastAsia="Arial" w:hAnsi="Arial"/>
          <w:color w:val="888888"/>
          <w:sz w:val="20"/>
          <w:szCs w:val="20"/>
        </w:rPr>
        <w:t xml:space="preserve">ISMS-CTX-001  |  Version 2.0  |  02 April 2026</w:t>
      </w:r>
    </w:p>
    <w:p>
      <w:pPr>
        <w:spacing w:after="600" w:before="0"/>
        <w:jc w:val="center"/>
      </w:pPr>
      <w:r>
        <w:rPr>
          <w:rFonts w:ascii="Arial" w:cs="Arial" w:eastAsia="Arial" w:hAnsi="Arial"/>
          <w:b/>
          <w:bCs/>
          <w:color w:val="2E75B6"/>
          <w:sz w:val="22"/>
          <w:szCs w:val="22"/>
        </w:rPr>
        <w:t xml:space="preserve">INTERNAL</w:t>
      </w:r>
    </w:p>
    <w:p>
      <w:r>
        <w:br w:type="page"/>
      </w:r>
    </w:p>
    <w:p>
      <w:pPr>
        <w:pStyle w:val="Heading1"/>
        <w:pBdr>
          <w:bottom w:val="single" w:color="2E75B6" w:sz="8" w:space="4"/>
        </w:pBdr>
        <w:spacing w:after="120" w:before="360"/>
      </w:pPr>
      <w:r>
        <w:rPr>
          <w:rFonts w:ascii="Arial" w:cs="Arial" w:eastAsia="Arial" w:hAnsi="Arial"/>
          <w:b/>
          <w:bCs/>
          <w:color w:val="1F3864"/>
          <w:sz w:val="34"/>
          <w:szCs w:val="34"/>
        </w:rPr>
        <w:t xml:space="preserve">Document Control</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2400"/>
        <w:gridCol w:w="3860"/>
        <w:gridCol w:w="1800"/>
        <w:gridCol w:w="1200"/>
      </w:tblGrid>
      <w:tr>
        <w:tc>
          <w:tcPr>
            <w:tcW w:type="dxa" w:w="24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Document Reference</w:t>
            </w:r>
          </w:p>
        </w:tc>
        <w:tc>
          <w:tcPr>
            <w:tcW w:type="dxa" w:w="38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ISMS-CTX-001</w:t>
            </w:r>
          </w:p>
        </w:tc>
        <w:tc>
          <w:tcPr>
            <w:tcW w:type="dxa" w:w="18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Version</w:t>
            </w:r>
          </w:p>
        </w:tc>
        <w:tc>
          <w:tcPr>
            <w:tcW w:type="dxa" w:w="1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2.0</w:t>
            </w:r>
          </w:p>
        </w:tc>
      </w:tr>
      <w:tr>
        <w:tc>
          <w:tcPr>
            <w:tcW w:type="dxa" w:w="24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Document Title</w:t>
            </w:r>
          </w:p>
        </w:tc>
        <w:tc>
          <w:tcPr>
            <w:tcW w:type="dxa" w:w="38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ISMS Context Document — Clauses 4.1 to 4.4</w:t>
            </w:r>
          </w:p>
        </w:tc>
        <w:tc>
          <w:tcPr>
            <w:tcW w:type="dxa" w:w="18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Date</w:t>
            </w:r>
          </w:p>
        </w:tc>
        <w:tc>
          <w:tcPr>
            <w:tcW w:type="dxa" w:w="1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02 April 2026</w:t>
            </w:r>
          </w:p>
        </w:tc>
      </w:tr>
      <w:tr>
        <w:tc>
          <w:tcPr>
            <w:tcW w:type="dxa" w:w="24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Organisation</w:t>
            </w:r>
          </w:p>
        </w:tc>
        <w:tc>
          <w:tcPr>
            <w:tcW w:type="dxa" w:w="38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Apex Managed Services Ltd</w:t>
            </w:r>
          </w:p>
        </w:tc>
        <w:tc>
          <w:tcPr>
            <w:tcW w:type="dxa" w:w="18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Classification</w:t>
            </w:r>
          </w:p>
        </w:tc>
        <w:tc>
          <w:tcPr>
            <w:tcW w:type="dxa" w:w="1200"/>
            <w:gridSpan w:val="1"/>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INTERNAL</w:t>
            </w:r>
          </w:p>
        </w:tc>
      </w:tr>
      <w:tr>
        <w:tc>
          <w:tcPr>
            <w:tcW w:type="dxa" w:w="24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Document Owner</w:t>
            </w:r>
          </w:p>
        </w:tc>
        <w:tc>
          <w:tcPr>
            <w:tcW w:type="dxa" w:w="38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Information Security Manager</w:t>
            </w:r>
          </w:p>
        </w:tc>
        <w:tc>
          <w:tcPr>
            <w:tcW w:type="dxa" w:w="18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Review Frequency</w:t>
            </w:r>
          </w:p>
        </w:tc>
        <w:tc>
          <w:tcPr>
            <w:tcW w:type="dxa" w:w="1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Annual / triggered</w:t>
            </w:r>
          </w:p>
        </w:tc>
      </w:tr>
      <w:tr>
        <w:tc>
          <w:tcPr>
            <w:tcW w:type="dxa" w:w="24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ISO 27001:2022 Clauses</w:t>
            </w:r>
          </w:p>
        </w:tc>
        <w:tc>
          <w:tcPr>
            <w:tcW w:type="dxa" w:w="38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4.1, 4.2, 4.3, 4.4</w:t>
            </w:r>
          </w:p>
        </w:tc>
        <w:tc>
          <w:tcPr>
            <w:tcW w:type="dxa" w:w="18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Status</w:t>
            </w:r>
          </w:p>
        </w:tc>
        <w:tc>
          <w:tcPr>
            <w:tcW w:type="dxa" w:w="1200"/>
            <w:gridSpan w:val="1"/>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Approved</w:t>
            </w:r>
          </w:p>
        </w:tc>
      </w:tr>
    </w:tbl>
    <w:p>
      <w:pPr>
        <w:spacing w:after="120" w:before="120"/>
      </w:pPr>
    </w:p>
    <w:p>
      <w:pPr>
        <w:pStyle w:val="Heading2"/>
        <w:spacing w:after="80" w:before="240"/>
      </w:pPr>
      <w:r>
        <w:rPr>
          <w:rFonts w:ascii="Arial" w:cs="Arial" w:eastAsia="Arial" w:hAnsi="Arial"/>
          <w:b/>
          <w:bCs/>
          <w:color w:val="2E75B6"/>
          <w:sz w:val="26"/>
          <w:szCs w:val="26"/>
        </w:rPr>
        <w:t xml:space="preserve">Document Approval</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2000"/>
        <w:gridCol w:w="2260"/>
      </w:tblGrid>
      <w:tr>
        <w:trPr>
          <w:tblHeader/>
        </w:trPr>
        <w:tc>
          <w:tcPr>
            <w:tcW w:type="dxa" w:w="20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Role</w:t>
            </w:r>
          </w:p>
        </w:tc>
        <w:tc>
          <w:tcPr>
            <w:tcW w:type="dxa" w:w="30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Name</w:t>
            </w:r>
          </w:p>
        </w:tc>
        <w:tc>
          <w:tcPr>
            <w:tcW w:type="dxa" w:w="20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Date</w:t>
            </w:r>
          </w:p>
        </w:tc>
        <w:tc>
          <w:tcPr>
            <w:tcW w:type="dxa" w:w="226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Signature</w:t>
            </w:r>
          </w:p>
        </w:tc>
      </w:tr>
      <w:tr>
        <w:tc>
          <w:tcPr>
            <w:tcW w:type="dxa" w:w="2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Prepared By</w:t>
            </w:r>
          </w:p>
        </w:tc>
        <w:tc>
          <w:tcPr>
            <w:tcW w:type="dxa" w:w="3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w:r>
          </w:p>
        </w:tc>
        <w:tc>
          <w:tcPr>
            <w:tcW w:type="dxa" w:w="2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w:r>
          </w:p>
        </w:tc>
        <w:tc>
          <w:tcPr>
            <w:tcW w:type="dxa" w:w="22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w:r>
          </w:p>
        </w:tc>
      </w:tr>
      <w:tr>
        <w:tc>
          <w:tcPr>
            <w:tcW w:type="dxa" w:w="2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Reviewed By</w:t>
            </w:r>
          </w:p>
        </w:tc>
        <w:tc>
          <w:tcPr>
            <w:tcW w:type="dxa" w:w="3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w:r>
          </w:p>
        </w:tc>
        <w:tc>
          <w:tcPr>
            <w:tcW w:type="dxa" w:w="2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w:r>
          </w:p>
        </w:tc>
        <w:tc>
          <w:tcPr>
            <w:tcW w:type="dxa" w:w="22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w:r>
          </w:p>
        </w:tc>
      </w:tr>
      <w:tr>
        <w:tc>
          <w:tcPr>
            <w:tcW w:type="dxa" w:w="2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Approved By</w:t>
            </w:r>
          </w:p>
        </w:tc>
        <w:tc>
          <w:tcPr>
            <w:tcW w:type="dxa" w:w="3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w:r>
          </w:p>
        </w:tc>
        <w:tc>
          <w:tcPr>
            <w:tcW w:type="dxa" w:w="2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w:r>
          </w:p>
        </w:tc>
        <w:tc>
          <w:tcPr>
            <w:tcW w:type="dxa" w:w="22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w:r>
          </w:p>
        </w:tc>
      </w:tr>
    </w:tbl>
    <w:p>
      <w:pPr>
        <w:spacing w:after="120" w:before="120"/>
      </w:pPr>
    </w:p>
    <w:p>
      <w:pPr>
        <w:pStyle w:val="Heading2"/>
        <w:spacing w:after="80" w:before="240"/>
      </w:pPr>
      <w:r>
        <w:rPr>
          <w:rFonts w:ascii="Arial" w:cs="Arial" w:eastAsia="Arial" w:hAnsi="Arial"/>
          <w:b/>
          <w:bCs/>
          <w:color w:val="2E75B6"/>
          <w:sz w:val="26"/>
          <w:szCs w:val="26"/>
        </w:rPr>
        <w:t xml:space="preserve">Version History</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900"/>
        <w:gridCol w:w="1800"/>
        <w:gridCol w:w="4260"/>
        <w:gridCol w:w="2300"/>
      </w:tblGrid>
      <w:tr>
        <w:trPr>
          <w:tblHeader/>
        </w:trPr>
        <w:tc>
          <w:tcPr>
            <w:tcW w:type="dxa" w:w="9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Ver.</w:t>
            </w:r>
          </w:p>
        </w:tc>
        <w:tc>
          <w:tcPr>
            <w:tcW w:type="dxa" w:w="18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Date</w:t>
            </w:r>
          </w:p>
        </w:tc>
        <w:tc>
          <w:tcPr>
            <w:tcW w:type="dxa" w:w="426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Change Description</w:t>
            </w:r>
          </w:p>
        </w:tc>
        <w:tc>
          <w:tcPr>
            <w:tcW w:type="dxa" w:w="23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Author</w:t>
            </w:r>
          </w:p>
        </w:tc>
      </w:tr>
      <w:tr>
        <w:tc>
          <w:tcPr>
            <w:tcW w:type="dxa" w:w="9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1.0</w:t>
            </w:r>
          </w:p>
        </w:tc>
        <w:tc>
          <w:tcPr>
            <w:tcW w:type="dxa" w:w="18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02 April 2026</w:t>
            </w:r>
          </w:p>
        </w:tc>
        <w:tc>
          <w:tcPr>
            <w:tcW w:type="dxa" w:w="42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Initial release covering Clause 4.1 only.</w:t>
            </w:r>
          </w:p>
        </w:tc>
        <w:tc>
          <w:tcPr>
            <w:tcW w:type="dxa" w:w="23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Information Security Manager</w:t>
            </w:r>
          </w:p>
        </w:tc>
      </w:tr>
      <w:tr>
        <w:tc>
          <w:tcPr>
            <w:tcW w:type="dxa" w:w="9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2.0</w:t>
            </w:r>
          </w:p>
        </w:tc>
        <w:tc>
          <w:tcPr>
            <w:tcW w:type="dxa" w:w="1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02 April 2026</w:t>
            </w:r>
          </w:p>
        </w:tc>
        <w:tc>
          <w:tcPr>
            <w:tcW w:type="dxa" w:w="42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Expanded to full Clause 4 coverage: 4.1 Context, 4.2 Interested Parties, 4.3 Scope, 4.4 ISMS Establishment.</w:t>
            </w:r>
          </w:p>
        </w:tc>
        <w:tc>
          <w:tcPr>
            <w:tcW w:type="dxa" w:w="23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Information Security Manager</w:t>
            </w:r>
          </w:p>
        </w:tc>
      </w:tr>
    </w:tbl>
    <w:p>
      <w:r>
        <w:br w:type="page"/>
      </w:r>
    </w:p>
    <w:p>
      <w:pPr>
        <w:pStyle w:val="Heading1"/>
        <w:pBdr>
          <w:bottom w:val="single" w:color="2E75B6" w:sz="8" w:space="4"/>
        </w:pBdr>
        <w:spacing w:after="120" w:before="360"/>
      </w:pPr>
      <w:r>
        <w:rPr>
          <w:rFonts w:ascii="Arial" w:cs="Arial" w:eastAsia="Arial" w:hAnsi="Arial"/>
          <w:b/>
          <w:bCs/>
          <w:color w:val="1F3864"/>
          <w:sz w:val="34"/>
          <w:szCs w:val="34"/>
        </w:rPr>
        <w:t xml:space="preserve">Contents</w:t>
      </w:r>
    </w:p>
    <w:p>
      <w:pPr>
        <w:spacing w:after="80" w:before="80"/>
        <w:jc w:val="left"/>
      </w:pPr>
      <w:r>
        <w:rPr>
          <w:rFonts w:ascii="Arial" w:cs="Arial" w:eastAsia="Arial" w:hAnsi="Arial"/>
          <w:b w:val="false"/>
          <w:bCs w:val="false"/>
          <w:color w:val="000000"/>
          <w:sz w:val="20"/>
          <w:szCs w:val="20"/>
        </w:rPr>
        <w:t xml:space="preserve">1.  Purpose and Scope of This Document</w:t>
      </w:r>
    </w:p>
    <w:p>
      <w:pPr>
        <w:spacing w:after="80" w:before="80"/>
        <w:jc w:val="left"/>
      </w:pPr>
      <w:r>
        <w:rPr>
          <w:rFonts w:ascii="Arial" w:cs="Arial" w:eastAsia="Arial" w:hAnsi="Arial"/>
          <w:b w:val="false"/>
          <w:bCs w:val="false"/>
          <w:color w:val="000000"/>
          <w:sz w:val="20"/>
          <w:szCs w:val="20"/>
        </w:rPr>
        <w:t xml:space="preserve">2.  Methodology</w:t>
      </w:r>
    </w:p>
    <w:p>
      <w:pPr>
        <w:spacing w:after="80" w:before="80"/>
        <w:jc w:val="left"/>
      </w:pPr>
      <w:r>
        <w:rPr>
          <w:rFonts w:ascii="Arial" w:cs="Arial" w:eastAsia="Arial" w:hAnsi="Arial"/>
          <w:b w:val="false"/>
          <w:bCs w:val="false"/>
          <w:color w:val="000000"/>
          <w:sz w:val="20"/>
          <w:szCs w:val="20"/>
        </w:rPr>
        <w:t xml:space="preserve">3.  Clause 4.1 — Understanding the Organisation and Its Context</w:t>
      </w:r>
    </w:p>
    <w:p>
      <w:pPr>
        <w:spacing w:after="80" w:before="80"/>
        <w:jc w:val="left"/>
      </w:pPr>
      <w:r>
        <w:rPr>
          <w:rFonts w:ascii="Arial" w:cs="Arial" w:eastAsia="Arial" w:hAnsi="Arial"/>
          <w:b w:val="false"/>
          <w:bCs w:val="false"/>
          <w:color w:val="000000"/>
          <w:sz w:val="20"/>
          <w:szCs w:val="20"/>
        </w:rPr>
        <w:t xml:space="preserve">    3.1  Organisational Overview</w:t>
      </w:r>
    </w:p>
    <w:p>
      <w:pPr>
        <w:spacing w:after="80" w:before="80"/>
        <w:jc w:val="left"/>
      </w:pPr>
      <w:r>
        <w:rPr>
          <w:rFonts w:ascii="Arial" w:cs="Arial" w:eastAsia="Arial" w:hAnsi="Arial"/>
          <w:b w:val="false"/>
          <w:bCs w:val="false"/>
          <w:color w:val="000000"/>
          <w:sz w:val="20"/>
          <w:szCs w:val="20"/>
        </w:rPr>
        <w:t xml:space="preserve">    3.2  SWOT Analysis</w:t>
      </w:r>
    </w:p>
    <w:p>
      <w:pPr>
        <w:spacing w:after="80" w:before="80"/>
        <w:jc w:val="left"/>
      </w:pPr>
      <w:r>
        <w:rPr>
          <w:rFonts w:ascii="Arial" w:cs="Arial" w:eastAsia="Arial" w:hAnsi="Arial"/>
          <w:b w:val="false"/>
          <w:bCs w:val="false"/>
          <w:color w:val="000000"/>
          <w:sz w:val="20"/>
          <w:szCs w:val="20"/>
        </w:rPr>
        <w:t xml:space="preserve">    3.3  External Issues Register</w:t>
      </w:r>
    </w:p>
    <w:p>
      <w:pPr>
        <w:spacing w:after="80" w:before="80"/>
        <w:jc w:val="left"/>
      </w:pPr>
      <w:r>
        <w:rPr>
          <w:rFonts w:ascii="Arial" w:cs="Arial" w:eastAsia="Arial" w:hAnsi="Arial"/>
          <w:b w:val="false"/>
          <w:bCs w:val="false"/>
          <w:color w:val="000000"/>
          <w:sz w:val="20"/>
          <w:szCs w:val="20"/>
        </w:rPr>
        <w:t xml:space="preserve">    3.4  Internal Issues Register</w:t>
      </w:r>
    </w:p>
    <w:p>
      <w:pPr>
        <w:spacing w:after="80" w:before="80"/>
        <w:jc w:val="left"/>
      </w:pPr>
      <w:r>
        <w:rPr>
          <w:rFonts w:ascii="Arial" w:cs="Arial" w:eastAsia="Arial" w:hAnsi="Arial"/>
          <w:b w:val="false"/>
          <w:bCs w:val="false"/>
          <w:color w:val="000000"/>
          <w:sz w:val="20"/>
          <w:szCs w:val="20"/>
        </w:rPr>
        <w:t xml:space="preserve">4.  Clause 4.2 — Understanding the Needs and Expectations of Interested Parties</w:t>
      </w:r>
    </w:p>
    <w:p>
      <w:pPr>
        <w:spacing w:after="80" w:before="80"/>
        <w:jc w:val="left"/>
      </w:pPr>
      <w:r>
        <w:rPr>
          <w:rFonts w:ascii="Arial" w:cs="Arial" w:eastAsia="Arial" w:hAnsi="Arial"/>
          <w:b w:val="false"/>
          <w:bCs w:val="false"/>
          <w:color w:val="000000"/>
          <w:sz w:val="20"/>
          <w:szCs w:val="20"/>
        </w:rPr>
        <w:t xml:space="preserve">    4.1  Interested Parties Register</w:t>
      </w:r>
    </w:p>
    <w:p>
      <w:pPr>
        <w:spacing w:after="80" w:before="80"/>
        <w:jc w:val="left"/>
      </w:pPr>
      <w:r>
        <w:rPr>
          <w:rFonts w:ascii="Arial" w:cs="Arial" w:eastAsia="Arial" w:hAnsi="Arial"/>
          <w:b w:val="false"/>
          <w:bCs w:val="false"/>
          <w:color w:val="000000"/>
          <w:sz w:val="20"/>
          <w:szCs w:val="20"/>
        </w:rPr>
        <w:t xml:space="preserve">5.  Clause 4.3 — Determining the Scope of the ISMS</w:t>
      </w:r>
    </w:p>
    <w:p>
      <w:pPr>
        <w:spacing w:after="80" w:before="80"/>
        <w:jc w:val="left"/>
      </w:pPr>
      <w:r>
        <w:rPr>
          <w:rFonts w:ascii="Arial" w:cs="Arial" w:eastAsia="Arial" w:hAnsi="Arial"/>
          <w:b w:val="false"/>
          <w:bCs w:val="false"/>
          <w:color w:val="000000"/>
          <w:sz w:val="20"/>
          <w:szCs w:val="20"/>
        </w:rPr>
        <w:t xml:space="preserve">    5.1  Scope Statement</w:t>
      </w:r>
    </w:p>
    <w:p>
      <w:pPr>
        <w:spacing w:after="80" w:before="80"/>
        <w:jc w:val="left"/>
      </w:pPr>
      <w:r>
        <w:rPr>
          <w:rFonts w:ascii="Arial" w:cs="Arial" w:eastAsia="Arial" w:hAnsi="Arial"/>
          <w:b w:val="false"/>
          <w:bCs w:val="false"/>
          <w:color w:val="000000"/>
          <w:sz w:val="20"/>
          <w:szCs w:val="20"/>
        </w:rPr>
        <w:t xml:space="preserve">    5.2  Scope Boundary and Applicability Table</w:t>
      </w:r>
    </w:p>
    <w:p>
      <w:pPr>
        <w:spacing w:after="80" w:before="80"/>
        <w:jc w:val="left"/>
      </w:pPr>
      <w:r>
        <w:rPr>
          <w:rFonts w:ascii="Arial" w:cs="Arial" w:eastAsia="Arial" w:hAnsi="Arial"/>
          <w:b w:val="false"/>
          <w:bCs w:val="false"/>
          <w:color w:val="000000"/>
          <w:sz w:val="20"/>
          <w:szCs w:val="20"/>
        </w:rPr>
        <w:t xml:space="preserve">    5.3  Interfaces and Dependencies</w:t>
      </w:r>
    </w:p>
    <w:p>
      <w:pPr>
        <w:spacing w:after="80" w:before="80"/>
        <w:jc w:val="left"/>
      </w:pPr>
      <w:r>
        <w:rPr>
          <w:rFonts w:ascii="Arial" w:cs="Arial" w:eastAsia="Arial" w:hAnsi="Arial"/>
          <w:b w:val="false"/>
          <w:bCs w:val="false"/>
          <w:color w:val="000000"/>
          <w:sz w:val="20"/>
          <w:szCs w:val="20"/>
        </w:rPr>
        <w:t xml:space="preserve">6.  Clause 4.4 — Information Security Management System</w:t>
      </w:r>
    </w:p>
    <w:p>
      <w:pPr>
        <w:spacing w:after="80" w:before="80"/>
        <w:jc w:val="left"/>
      </w:pPr>
      <w:r>
        <w:rPr>
          <w:rFonts w:ascii="Arial" w:cs="Arial" w:eastAsia="Arial" w:hAnsi="Arial"/>
          <w:b w:val="false"/>
          <w:bCs w:val="false"/>
          <w:color w:val="000000"/>
          <w:sz w:val="20"/>
          <w:szCs w:val="20"/>
        </w:rPr>
        <w:t xml:space="preserve">    6.1  ISMS Establishment Statement</w:t>
      </w:r>
    </w:p>
    <w:p>
      <w:pPr>
        <w:spacing w:after="80" w:before="80"/>
        <w:jc w:val="left"/>
      </w:pPr>
      <w:r>
        <w:rPr>
          <w:rFonts w:ascii="Arial" w:cs="Arial" w:eastAsia="Arial" w:hAnsi="Arial"/>
          <w:b w:val="false"/>
          <w:bCs w:val="false"/>
          <w:color w:val="000000"/>
          <w:sz w:val="20"/>
          <w:szCs w:val="20"/>
        </w:rPr>
        <w:t xml:space="preserve">    6.2  ISMS Process Inventory</w:t>
      </w:r>
    </w:p>
    <w:p>
      <w:pPr>
        <w:spacing w:after="80" w:before="80"/>
        <w:jc w:val="left"/>
      </w:pPr>
      <w:r>
        <w:rPr>
          <w:rFonts w:ascii="Arial" w:cs="Arial" w:eastAsia="Arial" w:hAnsi="Arial"/>
          <w:b w:val="false"/>
          <w:bCs w:val="false"/>
          <w:color w:val="000000"/>
          <w:sz w:val="20"/>
          <w:szCs w:val="20"/>
        </w:rPr>
        <w:t xml:space="preserve">7.  Linkage Between Clauses</w:t>
      </w:r>
    </w:p>
    <w:p>
      <w:pPr>
        <w:spacing w:after="80" w:before="80"/>
        <w:jc w:val="left"/>
      </w:pPr>
      <w:r>
        <w:rPr>
          <w:rFonts w:ascii="Arial" w:cs="Arial" w:eastAsia="Arial" w:hAnsi="Arial"/>
          <w:b w:val="false"/>
          <w:bCs w:val="false"/>
          <w:color w:val="000000"/>
          <w:sz w:val="20"/>
          <w:szCs w:val="20"/>
        </w:rPr>
        <w:t xml:space="preserve">8.  Review and Maintenance</w:t>
      </w:r>
    </w:p>
    <w:p>
      <w:pPr>
        <w:spacing w:after="80" w:before="80"/>
        <w:jc w:val="left"/>
      </w:pPr>
      <w:r>
        <w:rPr>
          <w:rFonts w:ascii="Arial" w:cs="Arial" w:eastAsia="Arial" w:hAnsi="Arial"/>
          <w:b w:val="false"/>
          <w:bCs w:val="false"/>
          <w:color w:val="000000"/>
          <w:sz w:val="20"/>
          <w:szCs w:val="20"/>
        </w:rPr>
        <w:t xml:space="preserve">9.  References</w:t>
      </w:r>
    </w:p>
    <w:p>
      <w:pPr>
        <w:spacing w:after="0" w:before="0"/>
        <w:jc w:val="left"/>
      </w:pPr>
      <w:r>
        <w:rPr>
          <w:rFonts w:ascii="Arial" w:cs="Arial" w:eastAsia="Arial" w:hAnsi="Arial"/>
          <w:b w:val="false"/>
          <w:bCs w:val="false"/>
          <w:color w:val="000000"/>
          <w:sz w:val="20"/>
          <w:szCs w:val="20"/>
        </w:rPr>
        <w:t xml:space="preserve"/>
      </w:r>
    </w:p>
    <w:p>
      <w:pPr>
        <w:spacing w:after="80" w:before="80"/>
        <w:jc w:val="left"/>
      </w:pPr>
      <w:r>
        <w:rPr>
          <w:rFonts w:ascii="Arial" w:cs="Arial" w:eastAsia="Arial" w:hAnsi="Arial"/>
          <w:b w:val="false"/>
          <w:bCs w:val="false"/>
          <w:color w:val="888888"/>
          <w:sz w:val="18"/>
          <w:szCs w:val="18"/>
        </w:rPr>
        <w:t xml:space="preserve">Note: Update this page manually or use Word's built-in TOC feature after opening the document.</w:t>
      </w:r>
    </w:p>
    <w:p>
      <w:r>
        <w:br w:type="page"/>
      </w:r>
    </w:p>
    <w:p>
      <w:pPr>
        <w:pStyle w:val="Heading1"/>
        <w:pBdr>
          <w:bottom w:val="single" w:color="2E75B6" w:sz="8" w:space="4"/>
        </w:pBdr>
        <w:spacing w:after="120" w:before="360"/>
      </w:pPr>
      <w:r>
        <w:rPr>
          <w:rFonts w:ascii="Arial" w:cs="Arial" w:eastAsia="Arial" w:hAnsi="Arial"/>
          <w:b/>
          <w:bCs/>
          <w:color w:val="1F3864"/>
          <w:sz w:val="34"/>
          <w:szCs w:val="34"/>
        </w:rPr>
        <w:t xml:space="preserve">1. Purpose and Scope of This Document</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1400"/>
        <w:gridCol w:w="7860"/>
      </w:tblGrid>
      <w:tr>
        <w:tc>
          <w:tcPr>
            <w:tcW w:type="dxa" w:w="1400"/>
            <w:tcBorders>
              <w:top w:val="single" w:color="CCCCCC" w:sz="1"/>
              <w:left w:val="single" w:color="CCCCCC" w:sz="1"/>
              <w:bottom w:val="single" w:color="CCCCCC" w:sz="1"/>
              <w:right w:val="single" w:color="CCCCCC" w:sz="1"/>
            </w:tcBorders>
            <w:shd w:fill="1F3864" w:val="clear"/>
            <w:tcMar>
              <w:top w:type="dxa" w:w="120"/>
              <w:left w:type="dxa" w:w="160"/>
              <w:bottom w:type="dxa" w:w="120"/>
              <w:right w:type="dxa" w:w="160"/>
            </w:tcMar>
            <w:vAlign w:val="center"/>
          </w:tcPr>
          <w:p>
            <w:pPr>
              <w:jc w:val="center"/>
            </w:pPr>
            <w:r>
              <w:rPr>
                <w:rFonts w:ascii="Arial" w:cs="Arial" w:eastAsia="Arial" w:hAnsi="Arial"/>
                <w:b/>
                <w:bCs/>
                <w:color w:val="FFFFFF"/>
                <w:sz w:val="18"/>
                <w:szCs w:val="18"/>
              </w:rPr>
              <w:t xml:space="preserve">ISO 27001:2022</w:t>
            </w:r>
          </w:p>
          <w:p>
            <w:pPr>
              <w:jc w:val="center"/>
            </w:pPr>
            <w:r>
              <w:rPr>
                <w:rFonts w:ascii="Arial" w:cs="Arial" w:eastAsia="Arial" w:hAnsi="Arial"/>
                <w:color w:val="D6E4F0"/>
                <w:sz w:val="14"/>
                <w:szCs w:val="14"/>
              </w:rPr>
              <w:t xml:space="preserve">Clause 4</w:t>
            </w:r>
          </w:p>
        </w:tc>
        <w:tc>
          <w:tcPr>
            <w:tcW w:type="dxa" w:w="7860"/>
            <w:tcBorders>
              <w:top w:val="single" w:color="CCCCCC" w:sz="1"/>
              <w:left w:val="single" w:color="CCCCCC" w:sz="1"/>
              <w:bottom w:val="single" w:color="CCCCCC" w:sz="1"/>
              <w:right w:val="single" w:color="CCCCCC" w:sz="1"/>
            </w:tcBorders>
            <w:shd w:fill="D6E4F0" w:val="clear"/>
            <w:tcMar>
              <w:top w:type="dxa" w:w="120"/>
              <w:left w:type="dxa" w:w="160"/>
              <w:bottom w:type="dxa" w:w="120"/>
              <w:right w:type="dxa" w:w="160"/>
            </w:tcMar>
          </w:tcPr>
          <w:p>
            <w:r>
              <w:rPr>
                <w:rFonts w:ascii="Arial" w:cs="Arial" w:eastAsia="Arial" w:hAnsi="Arial"/>
                <w:color w:val="1F3864"/>
                <w:sz w:val="18"/>
                <w:szCs w:val="18"/>
              </w:rPr>
              <w:t xml:space="preserve">The organisation shall determine external and internal issues, interested parties, the ISMS scope, and shall establish the ISMS.</w:t>
            </w:r>
          </w:p>
        </w:tc>
      </w:tr>
    </w:tbl>
    <w:p>
      <w:pPr>
        <w:spacing w:after="120" w:before="120"/>
      </w:pPr>
    </w:p>
    <w:p>
      <w:pPr>
        <w:spacing w:after="80" w:before="80"/>
        <w:jc w:val="left"/>
      </w:pPr>
      <w:r>
        <w:rPr>
          <w:rFonts w:ascii="Arial" w:cs="Arial" w:eastAsia="Arial" w:hAnsi="Arial"/>
          <w:b w:val="false"/>
          <w:bCs w:val="false"/>
          <w:color w:val="000000"/>
          <w:sz w:val="20"/>
          <w:szCs w:val="20"/>
        </w:rPr>
        <w:t xml:space="preserve">This document constitutes the ISMS Context Document for Apex Managed Services Ltd and provides the consolidated documented evidence required by ISO/IEC 27001:2022 Clauses 4.1 through 4.4. It is a mandatory element of the ISMS documentation framework and serves as the foundational input to risk assessment, scope definition, and ISMS planning.</w:t>
      </w:r>
    </w:p>
    <w:p>
      <w:pPr>
        <w:spacing w:after="60" w:before="60"/>
      </w:pPr>
    </w:p>
    <w:p>
      <w:pPr>
        <w:spacing w:after="80" w:before="80"/>
        <w:jc w:val="left"/>
      </w:pPr>
      <w:r>
        <w:rPr>
          <w:rFonts w:ascii="Arial" w:cs="Arial" w:eastAsia="Arial" w:hAnsi="Arial"/>
          <w:b w:val="false"/>
          <w:bCs w:val="false"/>
          <w:color w:val="000000"/>
          <w:sz w:val="20"/>
          <w:szCs w:val="20"/>
        </w:rPr>
        <w:t xml:space="preserve">The document is structured to address each sub-clause of Clause 4 in sequence:</w:t>
      </w:r>
    </w:p>
    <w:p>
      <w:pPr>
        <w:spacing w:after="60" w:before="60"/>
      </w:pPr>
    </w:p>
    <w:p>
      <w:pPr>
        <w:pStyle w:val="ListParagraph"/>
        <w:numPr>
          <w:ilvl w:val="0"/>
          <w:numId w:val="2"/>
        </w:numPr>
        <w:spacing w:after="40" w:before="40"/>
      </w:pPr>
      <w:r>
        <w:rPr>
          <w:rFonts w:ascii="Arial" w:cs="Arial" w:eastAsia="Arial" w:hAnsi="Arial"/>
          <w:sz w:val="20"/>
          <w:szCs w:val="20"/>
        </w:rPr>
        <w:t xml:space="preserve">Clause 4.1 — Identifies and records the external and internal issues relevant to the organisation's purpose that affect the ISMS's ability to achieve its intended outcomes.</w:t>
      </w:r>
    </w:p>
    <w:p>
      <w:pPr>
        <w:pStyle w:val="ListParagraph"/>
        <w:numPr>
          <w:ilvl w:val="0"/>
          <w:numId w:val="2"/>
        </w:numPr>
        <w:spacing w:after="40" w:before="40"/>
      </w:pPr>
      <w:r>
        <w:rPr>
          <w:rFonts w:ascii="Arial" w:cs="Arial" w:eastAsia="Arial" w:hAnsi="Arial"/>
          <w:sz w:val="20"/>
          <w:szCs w:val="20"/>
        </w:rPr>
        <w:t xml:space="preserve">Clause 4.2 — Identifies interested parties relevant to the ISMS, their relevant requirements, and which requirements are addressed through the ISMS.</w:t>
      </w:r>
    </w:p>
    <w:p>
      <w:pPr>
        <w:pStyle w:val="ListParagraph"/>
        <w:numPr>
          <w:ilvl w:val="0"/>
          <w:numId w:val="2"/>
        </w:numPr>
        <w:spacing w:after="40" w:before="40"/>
      </w:pPr>
      <w:r>
        <w:rPr>
          <w:rFonts w:ascii="Arial" w:cs="Arial" w:eastAsia="Arial" w:hAnsi="Arial"/>
          <w:sz w:val="20"/>
          <w:szCs w:val="20"/>
        </w:rPr>
        <w:t xml:space="preserve">Clause 4.3 — Defines the boundaries and applicability of the ISMS, establishing its formal scope as documented information.</w:t>
      </w:r>
    </w:p>
    <w:p>
      <w:pPr>
        <w:pStyle w:val="ListParagraph"/>
        <w:numPr>
          <w:ilvl w:val="0"/>
          <w:numId w:val="2"/>
        </w:numPr>
        <w:spacing w:after="40" w:before="40"/>
      </w:pPr>
      <w:r>
        <w:rPr>
          <w:rFonts w:ascii="Arial" w:cs="Arial" w:eastAsia="Arial" w:hAnsi="Arial"/>
          <w:sz w:val="20"/>
          <w:szCs w:val="20"/>
        </w:rPr>
        <w:t xml:space="preserve">Clause 4.4 — Provides the formal statement of ISMS establishment, including the process inventory and process interaction model.</w:t>
      </w:r>
    </w:p>
    <w:p>
      <w:pPr>
        <w:spacing w:after="120" w:before="120"/>
      </w:pPr>
    </w:p>
    <w:p>
      <w:pPr>
        <w:pStyle w:val="Heading1"/>
        <w:pBdr>
          <w:bottom w:val="single" w:color="2E75B6" w:sz="8" w:space="4"/>
        </w:pBdr>
        <w:spacing w:after="120" w:before="360"/>
      </w:pPr>
      <w:r>
        <w:rPr>
          <w:rFonts w:ascii="Arial" w:cs="Arial" w:eastAsia="Arial" w:hAnsi="Arial"/>
          <w:b/>
          <w:bCs/>
          <w:color w:val="1F3864"/>
          <w:sz w:val="34"/>
          <w:szCs w:val="34"/>
        </w:rPr>
        <w:t xml:space="preserve">2. Methodology</w:t>
      </w:r>
    </w:p>
    <w:p>
      <w:pPr>
        <w:spacing w:after="80" w:before="80"/>
        <w:jc w:val="left"/>
      </w:pPr>
      <w:r>
        <w:rPr>
          <w:rFonts w:ascii="Arial" w:cs="Arial" w:eastAsia="Arial" w:hAnsi="Arial"/>
          <w:b w:val="false"/>
          <w:bCs w:val="false"/>
          <w:color w:val="000000"/>
          <w:sz w:val="20"/>
          <w:szCs w:val="20"/>
        </w:rPr>
        <w:t xml:space="preserve">The context determination process was conducted through a structured workshop with senior leadership and the Information Security Manager. The following analytical frameworks were applied:</w:t>
      </w:r>
    </w:p>
    <w:p>
      <w:pPr>
        <w:spacing w:after="60" w:before="60"/>
      </w:pPr>
    </w:p>
    <w:p>
      <w:pPr>
        <w:pStyle w:val="ListParagraph"/>
        <w:numPr>
          <w:ilvl w:val="0"/>
          <w:numId w:val="2"/>
        </w:numPr>
        <w:spacing w:after="40" w:before="40"/>
      </w:pPr>
      <w:r>
        <w:rPr>
          <w:rFonts w:ascii="Arial" w:cs="Arial" w:eastAsia="Arial" w:hAnsi="Arial"/>
          <w:sz w:val="20"/>
          <w:szCs w:val="20"/>
        </w:rPr>
        <w:t xml:space="preserve">PESTLE Analysis — for identification and categorisation of external issues (Political, Economic, Social, Technological, Legal, Environmental)</w:t>
      </w:r>
    </w:p>
    <w:p>
      <w:pPr>
        <w:pStyle w:val="ListParagraph"/>
        <w:numPr>
          <w:ilvl w:val="0"/>
          <w:numId w:val="2"/>
        </w:numPr>
        <w:spacing w:after="40" w:before="40"/>
      </w:pPr>
      <w:r>
        <w:rPr>
          <w:rFonts w:ascii="Arial" w:cs="Arial" w:eastAsia="Arial" w:hAnsi="Arial"/>
          <w:sz w:val="20"/>
          <w:szCs w:val="20"/>
        </w:rPr>
        <w:t xml:space="preserve">Organisational Capability Assessment — for identification and categorisation of internal issues across governance, technology, processes, and human resources</w:t>
      </w:r>
    </w:p>
    <w:p>
      <w:pPr>
        <w:pStyle w:val="ListParagraph"/>
        <w:numPr>
          <w:ilvl w:val="0"/>
          <w:numId w:val="2"/>
        </w:numPr>
        <w:spacing w:after="40" w:before="40"/>
      </w:pPr>
      <w:r>
        <w:rPr>
          <w:rFonts w:ascii="Arial" w:cs="Arial" w:eastAsia="Arial" w:hAnsi="Arial"/>
          <w:sz w:val="20"/>
          <w:szCs w:val="20"/>
        </w:rPr>
        <w:t xml:space="preserve">Stakeholder Mapping — for identification of interested parties, their needs, and the relevance of those needs to the ISMS</w:t>
      </w:r>
    </w:p>
    <w:p>
      <w:pPr>
        <w:pStyle w:val="ListParagraph"/>
        <w:numPr>
          <w:ilvl w:val="0"/>
          <w:numId w:val="2"/>
        </w:numPr>
        <w:spacing w:after="40" w:before="40"/>
      </w:pPr>
      <w:r>
        <w:rPr>
          <w:rFonts w:ascii="Arial" w:cs="Arial" w:eastAsia="Arial" w:hAnsi="Arial"/>
          <w:sz w:val="20"/>
          <w:szCs w:val="20"/>
        </w:rPr>
        <w:t xml:space="preserve">SWOT Analysis — synthesising the above into a strategic view for management review purposes</w:t>
      </w:r>
    </w:p>
    <w:p>
      <w:pPr>
        <w:spacing w:after="60" w:before="60"/>
      </w:pPr>
    </w:p>
    <w:p>
      <w:pPr>
        <w:spacing w:after="80" w:before="80"/>
        <w:jc w:val="left"/>
      </w:pPr>
      <w:r>
        <w:rPr>
          <w:rFonts w:ascii="Arial" w:cs="Arial" w:eastAsia="Arial" w:hAnsi="Arial"/>
          <w:b w:val="false"/>
          <w:bCs w:val="false"/>
          <w:color w:val="000000"/>
          <w:sz w:val="20"/>
          <w:szCs w:val="20"/>
        </w:rPr>
        <w:t xml:space="preserve">Each identified issue was assessed against the following criteria:</w:t>
      </w:r>
    </w:p>
    <w:p>
      <w:pPr>
        <w:spacing w:after="60" w:before="60"/>
      </w:pPr>
    </w:p>
    <w:p>
      <w:pPr>
        <w:pStyle w:val="ListParagraph"/>
        <w:numPr>
          <w:ilvl w:val="0"/>
          <w:numId w:val="2"/>
        </w:numPr>
        <w:spacing w:after="40" w:before="40"/>
      </w:pPr>
      <w:r>
        <w:rPr>
          <w:rFonts w:ascii="Arial" w:cs="Arial" w:eastAsia="Arial" w:hAnsi="Arial"/>
          <w:sz w:val="20"/>
          <w:szCs w:val="20"/>
        </w:rPr>
        <w:t xml:space="preserve">Relevance to the organisation's purpose and strategic objectives</w:t>
      </w:r>
    </w:p>
    <w:p>
      <w:pPr>
        <w:pStyle w:val="ListParagraph"/>
        <w:numPr>
          <w:ilvl w:val="0"/>
          <w:numId w:val="2"/>
        </w:numPr>
        <w:spacing w:after="40" w:before="40"/>
      </w:pPr>
      <w:r>
        <w:rPr>
          <w:rFonts w:ascii="Arial" w:cs="Arial" w:eastAsia="Arial" w:hAnsi="Arial"/>
          <w:sz w:val="20"/>
          <w:szCs w:val="20"/>
        </w:rPr>
        <w:t xml:space="preserve">Potential impact on the intended outcomes of the ISMS</w:t>
      </w:r>
    </w:p>
    <w:p>
      <w:pPr>
        <w:pStyle w:val="ListParagraph"/>
        <w:numPr>
          <w:ilvl w:val="0"/>
          <w:numId w:val="2"/>
        </w:numPr>
        <w:spacing w:after="40" w:before="40"/>
      </w:pPr>
      <w:r>
        <w:rPr>
          <w:rFonts w:ascii="Arial" w:cs="Arial" w:eastAsia="Arial" w:hAnsi="Arial"/>
          <w:sz w:val="20"/>
          <w:szCs w:val="20"/>
        </w:rPr>
        <w:t xml:space="preserve">Likelihood of the issue manifesting or changing materially</w:t>
      </w:r>
    </w:p>
    <w:p>
      <w:pPr>
        <w:pStyle w:val="ListParagraph"/>
        <w:numPr>
          <w:ilvl w:val="0"/>
          <w:numId w:val="2"/>
        </w:numPr>
        <w:spacing w:after="40" w:before="40"/>
      </w:pPr>
      <w:r>
        <w:rPr>
          <w:rFonts w:ascii="Arial" w:cs="Arial" w:eastAsia="Arial" w:hAnsi="Arial"/>
          <w:sz w:val="20"/>
          <w:szCs w:val="20"/>
        </w:rPr>
        <w:t xml:space="preserve">Whether the issue is addressable through ISMS controls or requires monitoring only</w:t>
      </w:r>
    </w:p>
    <w:p>
      <w:pPr>
        <w:spacing w:after="60" w:before="60"/>
      </w:pPr>
    </w:p>
    <w:p>
      <w:pPr>
        <w:spacing w:after="80" w:before="80"/>
        <w:jc w:val="left"/>
      </w:pPr>
      <w:r>
        <w:rPr>
          <w:rFonts w:ascii="Arial" w:cs="Arial" w:eastAsia="Arial" w:hAnsi="Arial"/>
          <w:b w:val="false"/>
          <w:bCs w:val="false"/>
          <w:color w:val="000000"/>
          <w:sz w:val="20"/>
          <w:szCs w:val="20"/>
        </w:rPr>
        <w:t xml:space="preserve">Issues are rated High, Medium, or Low based on their combined significance and potential impact. Interested parties are prioritised using the same scale. This document is reviewed at minimum annually, and following any material change to the operating context.</w:t>
      </w:r>
    </w:p>
    <w:p>
      <w:pPr>
        <w:spacing w:after="120" w:before="120"/>
      </w:pPr>
    </w:p>
    <w:p>
      <w:r>
        <w:br w:type="page"/>
      </w:r>
    </w:p>
    <w:p>
      <w:pPr>
        <w:pStyle w:val="Heading1"/>
        <w:pBdr>
          <w:bottom w:val="single" w:color="2E75B6" w:sz="8" w:space="4"/>
        </w:pBdr>
        <w:spacing w:after="120" w:before="360"/>
      </w:pPr>
      <w:r>
        <w:rPr>
          <w:rFonts w:ascii="Arial" w:cs="Arial" w:eastAsia="Arial" w:hAnsi="Arial"/>
          <w:b/>
          <w:bCs/>
          <w:color w:val="1F3864"/>
          <w:sz w:val="34"/>
          <w:szCs w:val="34"/>
        </w:rPr>
        <w:t xml:space="preserve">3. Clause 4.1 — Understanding the Organisation and Its Context</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1400"/>
        <w:gridCol w:w="7860"/>
      </w:tblGrid>
      <w:tr>
        <w:tc>
          <w:tcPr>
            <w:tcW w:type="dxa" w:w="1400"/>
            <w:tcBorders>
              <w:top w:val="single" w:color="CCCCCC" w:sz="1"/>
              <w:left w:val="single" w:color="CCCCCC" w:sz="1"/>
              <w:bottom w:val="single" w:color="CCCCCC" w:sz="1"/>
              <w:right w:val="single" w:color="CCCCCC" w:sz="1"/>
            </w:tcBorders>
            <w:shd w:fill="1F3864" w:val="clear"/>
            <w:tcMar>
              <w:top w:type="dxa" w:w="120"/>
              <w:left w:type="dxa" w:w="160"/>
              <w:bottom w:type="dxa" w:w="120"/>
              <w:right w:type="dxa" w:w="160"/>
            </w:tcMar>
            <w:vAlign w:val="center"/>
          </w:tcPr>
          <w:p>
            <w:pPr>
              <w:jc w:val="center"/>
            </w:pPr>
            <w:r>
              <w:rPr>
                <w:rFonts w:ascii="Arial" w:cs="Arial" w:eastAsia="Arial" w:hAnsi="Arial"/>
                <w:b/>
                <w:bCs/>
                <w:color w:val="FFFFFF"/>
                <w:sz w:val="18"/>
                <w:szCs w:val="18"/>
              </w:rPr>
              <w:t xml:space="preserve">4.1</w:t>
            </w:r>
          </w:p>
          <w:p>
            <w:pPr>
              <w:jc w:val="center"/>
            </w:pPr>
            <w:r>
              <w:rPr>
                <w:rFonts w:ascii="Arial" w:cs="Arial" w:eastAsia="Arial" w:hAnsi="Arial"/>
                <w:color w:val="D6E4F0"/>
                <w:sz w:val="14"/>
                <w:szCs w:val="14"/>
              </w:rPr>
              <w:t xml:space="preserve">Context</w:t>
            </w:r>
          </w:p>
        </w:tc>
        <w:tc>
          <w:tcPr>
            <w:tcW w:type="dxa" w:w="7860"/>
            <w:tcBorders>
              <w:top w:val="single" w:color="CCCCCC" w:sz="1"/>
              <w:left w:val="single" w:color="CCCCCC" w:sz="1"/>
              <w:bottom w:val="single" w:color="CCCCCC" w:sz="1"/>
              <w:right w:val="single" w:color="CCCCCC" w:sz="1"/>
            </w:tcBorders>
            <w:shd w:fill="D6E4F0" w:val="clear"/>
            <w:tcMar>
              <w:top w:type="dxa" w:w="120"/>
              <w:left w:type="dxa" w:w="160"/>
              <w:bottom w:type="dxa" w:w="120"/>
              <w:right w:type="dxa" w:w="160"/>
            </w:tcMar>
          </w:tcPr>
          <w:p>
            <w:r>
              <w:rPr>
                <w:rFonts w:ascii="Arial" w:cs="Arial" w:eastAsia="Arial" w:hAnsi="Arial"/>
                <w:color w:val="1F3864"/>
                <w:sz w:val="18"/>
                <w:szCs w:val="18"/>
              </w:rPr>
              <w:t xml:space="preserve">The organisation shall determine external and internal issues relevant to its purpose and that affect its ability to achieve the intended outcome(s) of its ISMS.</w:t>
            </w:r>
          </w:p>
        </w:tc>
      </w:tr>
    </w:tbl>
    <w:p>
      <w:pPr>
        <w:spacing w:after="120" w:before="120"/>
      </w:pPr>
    </w:p>
    <w:p>
      <w:pPr>
        <w:pStyle w:val="Heading2"/>
        <w:spacing w:after="80" w:before="240"/>
      </w:pPr>
      <w:r>
        <w:rPr>
          <w:rFonts w:ascii="Arial" w:cs="Arial" w:eastAsia="Arial" w:hAnsi="Arial"/>
          <w:b/>
          <w:bCs/>
          <w:color w:val="2E75B6"/>
          <w:sz w:val="26"/>
          <w:szCs w:val="26"/>
        </w:rPr>
        <w:t xml:space="preserve">3.1 Organisational Overview</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3000"/>
        <w:gridCol w:w="6260"/>
      </w:tblGrid>
      <w:tr>
        <w:tc>
          <w:tcPr>
            <w:tcW w:type="dxa" w:w="30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Attribute</w:t>
            </w:r>
          </w:p>
        </w:tc>
        <w:tc>
          <w:tcPr>
            <w:tcW w:type="dxa" w:w="626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Detail</w:t>
            </w:r>
          </w:p>
        </w:tc>
      </w:tr>
      <w:tr>
        <w:tc>
          <w:tcPr>
            <w:tcW w:type="dxa" w:w="3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Organisation Name</w:t>
            </w:r>
          </w:p>
        </w:tc>
        <w:tc>
          <w:tcPr>
            <w:tcW w:type="dxa" w:w="62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Apex Managed Services Ltd</w:t>
            </w:r>
          </w:p>
        </w:tc>
      </w:tr>
      <w:tr>
        <w:tc>
          <w:tcPr>
            <w:tcW w:type="dxa" w:w="3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Primary Activity</w:t>
            </w:r>
          </w:p>
        </w:tc>
        <w:tc>
          <w:tcPr>
            <w:tcW w:type="dxa" w:w="62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Provision of IT managed services, cyber security advisory, and infrastructure support to UK and EU-based organisations.</w:t>
            </w:r>
          </w:p>
        </w:tc>
      </w:tr>
      <w:tr>
        <w:tc>
          <w:tcPr>
            <w:tcW w:type="dxa" w:w="3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Organisation Size</w:t>
            </w:r>
          </w:p>
        </w:tc>
        <w:tc>
          <w:tcPr>
            <w:tcW w:type="dxa" w:w="62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1–10 employees (micro-organisation)</w:t>
            </w:r>
          </w:p>
        </w:tc>
      </w:tr>
      <w:tr>
        <w:tc>
          <w:tcPr>
            <w:tcW w:type="dxa" w:w="3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Geographic Footprint</w:t>
            </w:r>
          </w:p>
        </w:tc>
        <w:tc>
          <w:tcPr>
            <w:tcW w:type="dxa" w:w="62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United Kingdom (primary operations); European Union (client engagements and data subjects)</w:t>
            </w:r>
          </w:p>
        </w:tc>
      </w:tr>
      <w:tr>
        <w:tc>
          <w:tcPr>
            <w:tcW w:type="dxa" w:w="3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Client Sectors</w:t>
            </w:r>
          </w:p>
        </w:tc>
        <w:tc>
          <w:tcPr>
            <w:tcW w:type="dxa" w:w="62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Commercial, public sector, and critical national infrastructure-adjacent organisations</w:t>
            </w:r>
          </w:p>
        </w:tc>
      </w:tr>
      <w:tr>
        <w:tc>
          <w:tcPr>
            <w:tcW w:type="dxa" w:w="3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Regulatory Jurisdiction</w:t>
            </w:r>
          </w:p>
        </w:tc>
        <w:tc>
          <w:tcPr>
            <w:tcW w:type="dxa" w:w="62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England and Wales (primary); EU GDPR applicability for EU data subjects; NIS Regulations 2018</w:t>
            </w:r>
          </w:p>
        </w:tc>
      </w:tr>
      <w:tr>
        <w:tc>
          <w:tcPr>
            <w:tcW w:type="dxa" w:w="3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ISMS Certification Target</w:t>
            </w:r>
          </w:p>
        </w:tc>
        <w:tc>
          <w:tcPr>
            <w:tcW w:type="dxa" w:w="62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ISO/IEC 27001:2022 — initial certification</w:t>
            </w:r>
          </w:p>
        </w:tc>
      </w:tr>
      <w:tr>
        <w:tc>
          <w:tcPr>
            <w:tcW w:type="dxa" w:w="3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Operating Model</w:t>
            </w:r>
          </w:p>
        </w:tc>
        <w:tc>
          <w:tcPr>
            <w:tcW w:type="dxa" w:w="62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Remote-first with client site access; cloud-native service delivery (Microsoft Azure, M365, Defender, Sentinel, Entra ID)</w:t>
            </w:r>
          </w:p>
        </w:tc>
      </w:tr>
    </w:tbl>
    <w:p>
      <w:pPr>
        <w:spacing w:after="120" w:before="120"/>
      </w:pPr>
    </w:p>
    <w:p>
      <w:pPr>
        <w:pStyle w:val="Heading2"/>
        <w:spacing w:after="80" w:before="240"/>
      </w:pPr>
      <w:r>
        <w:rPr>
          <w:rFonts w:ascii="Arial" w:cs="Arial" w:eastAsia="Arial" w:hAnsi="Arial"/>
          <w:b/>
          <w:bCs/>
          <w:color w:val="2E75B6"/>
          <w:sz w:val="26"/>
          <w:szCs w:val="26"/>
        </w:rPr>
        <w:t xml:space="preserve">3.2 SWOT Analysis</w:t>
      </w:r>
    </w:p>
    <w:p>
      <w:pPr>
        <w:spacing w:after="80" w:before="80"/>
        <w:jc w:val="left"/>
      </w:pPr>
      <w:r>
        <w:rPr>
          <w:rFonts w:ascii="Arial" w:cs="Arial" w:eastAsia="Arial" w:hAnsi="Arial"/>
          <w:b w:val="false"/>
          <w:bCs w:val="false"/>
          <w:color w:val="000000"/>
          <w:sz w:val="20"/>
          <w:szCs w:val="20"/>
        </w:rPr>
        <w:t xml:space="preserve">The following provides a synthesised strategic view of key contextual factors, informing the ISMS objectives and risk treatment approach:</w:t>
      </w:r>
    </w:p>
    <w:p>
      <w:pPr>
        <w:spacing w:after="60" w:before="60"/>
      </w:pP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4630"/>
        <w:gridCol w:w="4630"/>
      </w:tblGrid>
      <w:tr>
        <w:tc>
          <w:tcPr>
            <w:tcW w:type="dxa" w:w="4630"/>
            <w:gridSpan w:val="1"/>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Strengths (Internal — Positive)</w:t>
            </w:r>
          </w:p>
        </w:tc>
        <w:tc>
          <w:tcPr>
            <w:tcW w:type="dxa" w:w="4630"/>
            <w:gridSpan w:val="1"/>
            <w:tcBorders>
              <w:top w:val="single" w:color="CCCCCC" w:sz="1"/>
              <w:left w:val="single" w:color="CCCCCC" w:sz="1"/>
              <w:bottom w:val="single" w:color="CCCCCC" w:sz="1"/>
              <w:right w:val="single" w:color="CCCCCC" w:sz="1"/>
            </w:tcBorders>
            <w:shd w:fill="B71C1C"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Weaknesses (Internal — Negative)</w:t>
            </w:r>
          </w:p>
        </w:tc>
      </w:tr>
      <w:tr>
        <w:tc>
          <w:tcPr>
            <w:tcW w:type="dxa" w:w="463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80" w:before="80"/>
              <w:jc w:val="left"/>
            </w:pPr>
            <w:r>
              <w:rPr>
                <w:rFonts w:ascii="Arial" w:cs="Arial" w:eastAsia="Arial" w:hAnsi="Arial"/>
                <w:b w:val="false"/>
                <w:bCs w:val="false"/>
                <w:color w:val="000000"/>
                <w:sz w:val="18"/>
                <w:szCs w:val="18"/>
              </w:rPr>
              <w:t xml:space="preserve">Deep technical expertise in cyber security and managed services</w:t>
            </w:r>
          </w:p>
          <w:p>
            <w:pPr>
              <w:spacing w:after="80" w:before="80"/>
              <w:jc w:val="left"/>
            </w:pPr>
            <w:r>
              <w:rPr>
                <w:rFonts w:ascii="Arial" w:cs="Arial" w:eastAsia="Arial" w:hAnsi="Arial"/>
                <w:b w:val="false"/>
                <w:bCs w:val="false"/>
                <w:color w:val="000000"/>
                <w:sz w:val="18"/>
                <w:szCs w:val="18"/>
              </w:rPr>
              <w:t xml:space="preserve">Existing Microsoft security stack: Defender, Sentinel, Entra ID</w:t>
            </w:r>
          </w:p>
          <w:p>
            <w:pPr>
              <w:spacing w:after="80" w:before="80"/>
              <w:jc w:val="left"/>
            </w:pPr>
            <w:r>
              <w:rPr>
                <w:rFonts w:ascii="Arial" w:cs="Arial" w:eastAsia="Arial" w:hAnsi="Arial"/>
                <w:b w:val="false"/>
                <w:bCs w:val="false"/>
                <w:color w:val="000000"/>
                <w:sz w:val="18"/>
                <w:szCs w:val="18"/>
              </w:rPr>
              <w:t xml:space="preserve">Agile organisation with short decision-making chains</w:t>
            </w:r>
          </w:p>
          <w:p>
            <w:pPr>
              <w:spacing w:after="80" w:before="80"/>
              <w:jc w:val="left"/>
            </w:pPr>
            <w:r>
              <w:rPr>
                <w:rFonts w:ascii="Arial" w:cs="Arial" w:eastAsia="Arial" w:hAnsi="Arial"/>
                <w:b w:val="false"/>
                <w:bCs w:val="false"/>
                <w:color w:val="000000"/>
                <w:sz w:val="18"/>
                <w:szCs w:val="18"/>
              </w:rPr>
              <w:t xml:space="preserve">ISO 27001:2022 certification pursuit signals security maturity</w:t>
            </w:r>
          </w:p>
          <w:p>
            <w:pPr>
              <w:spacing w:after="80" w:before="80"/>
              <w:jc w:val="left"/>
            </w:pPr>
            <w:r>
              <w:rPr>
                <w:rFonts w:ascii="Arial" w:cs="Arial" w:eastAsia="Arial" w:hAnsi="Arial"/>
                <w:b w:val="false"/>
                <w:bCs w:val="false"/>
                <w:color w:val="000000"/>
                <w:sz w:val="18"/>
                <w:szCs w:val="18"/>
              </w:rPr>
              <w:t xml:space="preserve">Privileged client access experience driving strong PAM awareness</w:t>
            </w:r>
          </w:p>
        </w:tc>
        <w:tc>
          <w:tcPr>
            <w:tcW w:type="dxa" w:w="463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pPr>
              <w:spacing w:after="80" w:before="80"/>
              <w:jc w:val="left"/>
            </w:pPr>
            <w:r>
              <w:rPr>
                <w:rFonts w:ascii="Arial" w:cs="Arial" w:eastAsia="Arial" w:hAnsi="Arial"/>
                <w:b w:val="false"/>
                <w:bCs w:val="false"/>
                <w:color w:val="000000"/>
                <w:sz w:val="18"/>
                <w:szCs w:val="18"/>
              </w:rPr>
              <w:t xml:space="preserve">Small team limits segregation of duties and cover arrangements</w:t>
            </w:r>
          </w:p>
          <w:p>
            <w:pPr>
              <w:spacing w:after="80" w:before="80"/>
              <w:jc w:val="left"/>
            </w:pPr>
            <w:r>
              <w:rPr>
                <w:rFonts w:ascii="Arial" w:cs="Arial" w:eastAsia="Arial" w:hAnsi="Arial"/>
                <w:b w:val="false"/>
                <w:bCs w:val="false"/>
                <w:color w:val="000000"/>
                <w:sz w:val="18"/>
                <w:szCs w:val="18"/>
              </w:rPr>
              <w:t xml:space="preserve">Reliance on key personnel for critical functions</w:t>
            </w:r>
          </w:p>
          <w:p>
            <w:pPr>
              <w:spacing w:after="80" w:before="80"/>
              <w:jc w:val="left"/>
            </w:pPr>
            <w:r>
              <w:rPr>
                <w:rFonts w:ascii="Arial" w:cs="Arial" w:eastAsia="Arial" w:hAnsi="Arial"/>
                <w:b w:val="false"/>
                <w:bCs w:val="false"/>
                <w:color w:val="000000"/>
                <w:sz w:val="18"/>
                <w:szCs w:val="18"/>
              </w:rPr>
              <w:t xml:space="preserve">Policy and procedure documentation requires formalisation</w:t>
            </w:r>
          </w:p>
          <w:p>
            <w:pPr>
              <w:spacing w:after="80" w:before="80"/>
              <w:jc w:val="left"/>
            </w:pPr>
            <w:r>
              <w:rPr>
                <w:rFonts w:ascii="Arial" w:cs="Arial" w:eastAsia="Arial" w:hAnsi="Arial"/>
                <w:b w:val="false"/>
                <w:bCs w:val="false"/>
                <w:color w:val="000000"/>
                <w:sz w:val="18"/>
                <w:szCs w:val="18"/>
              </w:rPr>
              <w:t xml:space="preserve">No dedicated CISO or full-time information security role</w:t>
            </w:r>
          </w:p>
          <w:p>
            <w:pPr>
              <w:spacing w:after="80" w:before="80"/>
              <w:jc w:val="left"/>
            </w:pPr>
            <w:r>
              <w:rPr>
                <w:rFonts w:ascii="Arial" w:cs="Arial" w:eastAsia="Arial" w:hAnsi="Arial"/>
                <w:b w:val="false"/>
                <w:bCs w:val="false"/>
                <w:color w:val="000000"/>
                <w:sz w:val="18"/>
                <w:szCs w:val="18"/>
              </w:rPr>
              <w:t xml:space="preserve">Limited formal ISMS governance history</w:t>
            </w:r>
          </w:p>
        </w:tc>
      </w:tr>
      <w:tr>
        <w:tc>
          <w:tcPr>
            <w:tcW w:type="dxa" w:w="4630"/>
            <w:gridSpan w:val="1"/>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Opportunities (External — Positive)</w:t>
            </w:r>
          </w:p>
        </w:tc>
        <w:tc>
          <w:tcPr>
            <w:tcW w:type="dxa" w:w="4630"/>
            <w:gridSpan w:val="1"/>
            <w:tcBorders>
              <w:top w:val="single" w:color="CCCCCC" w:sz="1"/>
              <w:left w:val="single" w:color="CCCCCC" w:sz="1"/>
              <w:bottom w:val="single" w:color="CCCCCC" w:sz="1"/>
              <w:right w:val="single" w:color="CCCCCC" w:sz="1"/>
            </w:tcBorders>
            <w:shd w:fill="E65100"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Threats (External — Negative)</w:t>
            </w:r>
          </w:p>
        </w:tc>
      </w:tr>
      <w:tr>
        <w:tc>
          <w:tcPr>
            <w:tcW w:type="dxa" w:w="463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pPr>
              <w:spacing w:after="80" w:before="80"/>
              <w:jc w:val="left"/>
            </w:pPr>
            <w:r>
              <w:rPr>
                <w:rFonts w:ascii="Arial" w:cs="Arial" w:eastAsia="Arial" w:hAnsi="Arial"/>
                <w:b w:val="false"/>
                <w:bCs w:val="false"/>
                <w:color w:val="000000"/>
                <w:sz w:val="18"/>
                <w:szCs w:val="18"/>
              </w:rPr>
              <w:t xml:space="preserve">Growing market demand for certified MSP security providers</w:t>
            </w:r>
          </w:p>
          <w:p>
            <w:pPr>
              <w:spacing w:after="80" w:before="80"/>
              <w:jc w:val="left"/>
            </w:pPr>
            <w:r>
              <w:rPr>
                <w:rFonts w:ascii="Arial" w:cs="Arial" w:eastAsia="Arial" w:hAnsi="Arial"/>
                <w:b w:val="false"/>
                <w:bCs w:val="false"/>
                <w:color w:val="000000"/>
                <w:sz w:val="18"/>
                <w:szCs w:val="18"/>
              </w:rPr>
              <w:t xml:space="preserve">UK public sector and CNI clients requiring supply chain assurance</w:t>
            </w:r>
          </w:p>
          <w:p>
            <w:pPr>
              <w:spacing w:after="80" w:before="80"/>
              <w:jc w:val="left"/>
            </w:pPr>
            <w:r>
              <w:rPr>
                <w:rFonts w:ascii="Arial" w:cs="Arial" w:eastAsia="Arial" w:hAnsi="Arial"/>
                <w:b w:val="false"/>
                <w:bCs w:val="false"/>
                <w:color w:val="000000"/>
                <w:sz w:val="18"/>
                <w:szCs w:val="18"/>
              </w:rPr>
              <w:t xml:space="preserve">Differentiation advantage through ISO 27001 certification</w:t>
            </w:r>
          </w:p>
          <w:p>
            <w:pPr>
              <w:spacing w:after="80" w:before="80"/>
              <w:jc w:val="left"/>
            </w:pPr>
            <w:r>
              <w:rPr>
                <w:rFonts w:ascii="Arial" w:cs="Arial" w:eastAsia="Arial" w:hAnsi="Arial"/>
                <w:b w:val="false"/>
                <w:bCs w:val="false"/>
                <w:color w:val="000000"/>
                <w:sz w:val="18"/>
                <w:szCs w:val="18"/>
              </w:rPr>
              <w:t xml:space="preserve">Expansion of EU client base under GDPR adequacy framework</w:t>
            </w:r>
          </w:p>
        </w:tc>
        <w:tc>
          <w:tcPr>
            <w:tcW w:type="dxa" w:w="463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pPr>
              <w:spacing w:after="80" w:before="80"/>
              <w:jc w:val="left"/>
            </w:pPr>
            <w:r>
              <w:rPr>
                <w:rFonts w:ascii="Arial" w:cs="Arial" w:eastAsia="Arial" w:hAnsi="Arial"/>
                <w:b w:val="false"/>
                <w:bCs w:val="false"/>
                <w:color w:val="000000"/>
                <w:sz w:val="18"/>
                <w:szCs w:val="18"/>
              </w:rPr>
              <w:t xml:space="preserve">Elevated ransomware and nation-state targeting of MSPs</w:t>
            </w:r>
          </w:p>
          <w:p>
            <w:pPr>
              <w:spacing w:after="80" w:before="80"/>
              <w:jc w:val="left"/>
            </w:pPr>
            <w:r>
              <w:rPr>
                <w:rFonts w:ascii="Arial" w:cs="Arial" w:eastAsia="Arial" w:hAnsi="Arial"/>
                <w:b w:val="false"/>
                <w:bCs w:val="false"/>
                <w:color w:val="000000"/>
                <w:sz w:val="18"/>
                <w:szCs w:val="18"/>
              </w:rPr>
              <w:t xml:space="preserve">Evolving regulatory landscape: NIS2, EU AI Act, DPA amendments</w:t>
            </w:r>
          </w:p>
          <w:p>
            <w:pPr>
              <w:spacing w:after="80" w:before="80"/>
              <w:jc w:val="left"/>
            </w:pPr>
            <w:r>
              <w:rPr>
                <w:rFonts w:ascii="Arial" w:cs="Arial" w:eastAsia="Arial" w:hAnsi="Arial"/>
                <w:b w:val="false"/>
                <w:bCs w:val="false"/>
                <w:color w:val="000000"/>
                <w:sz w:val="18"/>
                <w:szCs w:val="18"/>
              </w:rPr>
              <w:t xml:space="preserve">Vendor concentration and cloud platform outage risk</w:t>
            </w:r>
          </w:p>
          <w:p>
            <w:pPr>
              <w:spacing w:after="80" w:before="80"/>
              <w:jc w:val="left"/>
            </w:pPr>
            <w:r>
              <w:rPr>
                <w:rFonts w:ascii="Arial" w:cs="Arial" w:eastAsia="Arial" w:hAnsi="Arial"/>
                <w:b w:val="false"/>
                <w:bCs w:val="false"/>
                <w:color w:val="000000"/>
                <w:sz w:val="18"/>
                <w:szCs w:val="18"/>
              </w:rPr>
              <w:t xml:space="preserve">Economic downturn reducing client security investment</w:t>
            </w:r>
          </w:p>
        </w:tc>
      </w:tr>
    </w:tbl>
    <w:p>
      <w:pPr>
        <w:spacing w:after="120" w:before="120"/>
      </w:pPr>
    </w:p>
    <w:p>
      <w:pPr>
        <w:pStyle w:val="Heading2"/>
        <w:spacing w:after="80" w:before="240"/>
      </w:pPr>
      <w:r>
        <w:rPr>
          <w:rFonts w:ascii="Arial" w:cs="Arial" w:eastAsia="Arial" w:hAnsi="Arial"/>
          <w:b/>
          <w:bCs/>
          <w:color w:val="2E75B6"/>
          <w:sz w:val="26"/>
          <w:szCs w:val="26"/>
        </w:rPr>
        <w:t xml:space="preserve">3.3 External Issues Register</w:t>
      </w:r>
    </w:p>
    <w:p>
      <w:pPr>
        <w:spacing w:after="80" w:before="80"/>
        <w:jc w:val="left"/>
      </w:pPr>
      <w:r>
        <w:rPr>
          <w:rFonts w:ascii="Arial" w:cs="Arial" w:eastAsia="Arial" w:hAnsi="Arial"/>
          <w:b w:val="false"/>
          <w:bCs w:val="false"/>
          <w:color w:val="000000"/>
          <w:sz w:val="20"/>
          <w:szCs w:val="20"/>
        </w:rPr>
        <w:t xml:space="preserve">External issues arise from the environment in which the organisation operates. They are outside direct organisational control but must be monitored and responded to through ISMS controls, policies, and strategic planning. External issues are categorised using the PESTLE framework.</w:t>
      </w:r>
    </w:p>
    <w:p>
      <w:pPr>
        <w:spacing w:after="60" w:before="60"/>
      </w:pP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1380"/>
        <w:gridCol w:w="2820"/>
        <w:gridCol w:w="2500"/>
        <w:gridCol w:w="820"/>
        <w:gridCol w:w="1740"/>
      </w:tblGrid>
      <w:tr>
        <w:trPr>
          <w:tblHeader/>
        </w:trPr>
        <w:tc>
          <w:tcPr>
            <w:tcW w:type="dxa" w:w="138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Category</w:t>
            </w:r>
          </w:p>
        </w:tc>
        <w:tc>
          <w:tcPr>
            <w:tcW w:type="dxa" w:w="282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Issue</w:t>
            </w:r>
          </w:p>
        </w:tc>
        <w:tc>
          <w:tcPr>
            <w:tcW w:type="dxa" w:w="25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Impact on ISMS</w:t>
            </w:r>
          </w:p>
        </w:tc>
        <w:tc>
          <w:tcPr>
            <w:tcW w:type="dxa" w:w="82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Rating</w:t>
            </w:r>
          </w:p>
        </w:tc>
        <w:tc>
          <w:tcPr>
            <w:tcW w:type="dxa" w:w="174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Owner</w:t>
            </w:r>
          </w:p>
        </w:tc>
      </w:tr>
      <w:tr>
        <w:tc>
          <w:tcPr>
            <w:tcW w:type="dxa" w:w="138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Regulatory</w:t>
            </w:r>
          </w:p>
        </w:tc>
        <w:tc>
          <w:tcPr>
            <w:tcW w:type="dxa" w:w="282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UK GDPR and Data Protection Act 2018</w:t>
            </w:r>
          </w:p>
        </w:tc>
        <w:tc>
          <w:tcPr>
            <w:tcW w:type="dxa" w:w="25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Drives information security controls, data handling procedures, and breach notification requirements across all client engagements.</w:t>
            </w:r>
          </w:p>
        </w:tc>
        <w:tc>
          <w:tcPr>
            <w:tcW w:type="dxa" w:w="820"/>
            <w:tcBorders>
              <w:top w:val="single" w:color="CCCCCC" w:sz="1"/>
              <w:left w:val="single" w:color="CCCCCC" w:sz="1"/>
              <w:bottom w:val="single" w:color="CCCCCC" w:sz="1"/>
              <w:right w:val="single" w:color="CCCCCC" w:sz="1"/>
            </w:tcBorders>
            <w:shd w:fill="C00000"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High</w:t>
            </w:r>
          </w:p>
        </w:tc>
        <w:tc>
          <w:tcPr>
            <w:tcW w:type="dxa" w:w="174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Legal &amp; Compliance</w:t>
            </w:r>
          </w:p>
        </w:tc>
      </w:tr>
      <w:tr>
        <w:tc>
          <w:tcPr>
            <w:tcW w:type="dxa" w:w="13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Regulatory</w:t>
            </w:r>
          </w:p>
        </w:tc>
        <w:tc>
          <w:tcPr>
            <w:tcW w:type="dxa" w:w="28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NIS Regulations 2018 / NIS2 transposition</w:t>
            </w:r>
          </w:p>
        </w:tc>
        <w:tc>
          <w:tcPr>
            <w:tcW w:type="dxa" w:w="2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May impose obligations on clients operating as Operators of Essential Services; shapes advisory scope and contractual security requirements.</w:t>
            </w:r>
          </w:p>
        </w:tc>
        <w:tc>
          <w:tcPr>
            <w:tcW w:type="dxa" w:w="820"/>
            <w:tcBorders>
              <w:top w:val="single" w:color="CCCCCC" w:sz="1"/>
              <w:left w:val="single" w:color="CCCCCC" w:sz="1"/>
              <w:bottom w:val="single" w:color="CCCCCC" w:sz="1"/>
              <w:right w:val="single" w:color="CCCCCC" w:sz="1"/>
            </w:tcBorders>
            <w:shd w:fill="C00000"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High</w:t>
            </w:r>
          </w:p>
        </w:tc>
        <w:tc>
          <w:tcPr>
            <w:tcW w:type="dxa" w:w="17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Legal &amp; Compliance</w:t>
            </w:r>
          </w:p>
        </w:tc>
      </w:tr>
      <w:tr>
        <w:tc>
          <w:tcPr>
            <w:tcW w:type="dxa" w:w="138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Regulatory</w:t>
            </w:r>
          </w:p>
        </w:tc>
        <w:tc>
          <w:tcPr>
            <w:tcW w:type="dxa" w:w="282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EU GDPR (Regulation 2016/679)</w:t>
            </w:r>
          </w:p>
        </w:tc>
        <w:tc>
          <w:tcPr>
            <w:tcW w:type="dxa" w:w="25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Cross-border data flows to EU require appropriate transfer mechanisms; ISMS controls must accommodate EU regulatory expectations for EU-based clients.</w:t>
            </w:r>
          </w:p>
        </w:tc>
        <w:tc>
          <w:tcPr>
            <w:tcW w:type="dxa" w:w="820"/>
            <w:tcBorders>
              <w:top w:val="single" w:color="CCCCCC" w:sz="1"/>
              <w:left w:val="single" w:color="CCCCCC" w:sz="1"/>
              <w:bottom w:val="single" w:color="CCCCCC" w:sz="1"/>
              <w:right w:val="single" w:color="CCCCCC" w:sz="1"/>
            </w:tcBorders>
            <w:shd w:fill="ED7D31"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Medium</w:t>
            </w:r>
          </w:p>
        </w:tc>
        <w:tc>
          <w:tcPr>
            <w:tcW w:type="dxa" w:w="174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Legal &amp; Compliance</w:t>
            </w:r>
          </w:p>
        </w:tc>
      </w:tr>
      <w:tr>
        <w:tc>
          <w:tcPr>
            <w:tcW w:type="dxa" w:w="13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Regulatory</w:t>
            </w:r>
          </w:p>
        </w:tc>
        <w:tc>
          <w:tcPr>
            <w:tcW w:type="dxa" w:w="28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Cyber Essentials / CE+ (NCSC)</w:t>
            </w:r>
          </w:p>
        </w:tc>
        <w:tc>
          <w:tcPr>
            <w:tcW w:type="dxa" w:w="2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Certification is a common contractual prerequisite for UK public sector and CNI clients; ISMS must maintain alignment.</w:t>
            </w:r>
          </w:p>
        </w:tc>
        <w:tc>
          <w:tcPr>
            <w:tcW w:type="dxa" w:w="820"/>
            <w:tcBorders>
              <w:top w:val="single" w:color="CCCCCC" w:sz="1"/>
              <w:left w:val="single" w:color="CCCCCC" w:sz="1"/>
              <w:bottom w:val="single" w:color="CCCCCC" w:sz="1"/>
              <w:right w:val="single" w:color="CCCCCC" w:sz="1"/>
            </w:tcBorders>
            <w:shd w:fill="ED7D31"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Medium</w:t>
            </w:r>
          </w:p>
        </w:tc>
        <w:tc>
          <w:tcPr>
            <w:tcW w:type="dxa" w:w="17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Information Security Manager</w:t>
            </w:r>
          </w:p>
        </w:tc>
      </w:tr>
      <w:tr>
        <w:tc>
          <w:tcPr>
            <w:tcW w:type="dxa" w:w="138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Regulatory</w:t>
            </w:r>
          </w:p>
        </w:tc>
        <w:tc>
          <w:tcPr>
            <w:tcW w:type="dxa" w:w="282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Computer Misuse Act 1990 (and amendments)</w:t>
            </w:r>
          </w:p>
        </w:tc>
        <w:tc>
          <w:tcPr>
            <w:tcW w:type="dxa" w:w="25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Offensive security research activities and client-authorised penetration testing require documented authorisation; scope creep represents criminal exposure.</w:t>
            </w:r>
          </w:p>
        </w:tc>
        <w:tc>
          <w:tcPr>
            <w:tcW w:type="dxa" w:w="820"/>
            <w:tcBorders>
              <w:top w:val="single" w:color="CCCCCC" w:sz="1"/>
              <w:left w:val="single" w:color="CCCCCC" w:sz="1"/>
              <w:bottom w:val="single" w:color="CCCCCC" w:sz="1"/>
              <w:right w:val="single" w:color="CCCCCC" w:sz="1"/>
            </w:tcBorders>
            <w:shd w:fill="ED7D31"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Medium</w:t>
            </w:r>
          </w:p>
        </w:tc>
        <w:tc>
          <w:tcPr>
            <w:tcW w:type="dxa" w:w="174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Information Security Manager</w:t>
            </w:r>
          </w:p>
        </w:tc>
      </w:tr>
      <w:tr>
        <w:tc>
          <w:tcPr>
            <w:tcW w:type="dxa" w:w="13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Market &amp; Commercial</w:t>
            </w:r>
          </w:p>
        </w:tc>
        <w:tc>
          <w:tcPr>
            <w:tcW w:type="dxa" w:w="28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Client supply chain security assurance requirements</w:t>
            </w:r>
          </w:p>
        </w:tc>
        <w:tc>
          <w:tcPr>
            <w:tcW w:type="dxa" w:w="2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Customers increasingly require ISO 27001 certification and third-party risk controls as part of procurement; non-compliance risks contract loss.</w:t>
            </w:r>
          </w:p>
        </w:tc>
        <w:tc>
          <w:tcPr>
            <w:tcW w:type="dxa" w:w="820"/>
            <w:tcBorders>
              <w:top w:val="single" w:color="CCCCCC" w:sz="1"/>
              <w:left w:val="single" w:color="CCCCCC" w:sz="1"/>
              <w:bottom w:val="single" w:color="CCCCCC" w:sz="1"/>
              <w:right w:val="single" w:color="CCCCCC" w:sz="1"/>
            </w:tcBorders>
            <w:shd w:fill="C00000"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High</w:t>
            </w:r>
          </w:p>
        </w:tc>
        <w:tc>
          <w:tcPr>
            <w:tcW w:type="dxa" w:w="17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Managing Director</w:t>
            </w:r>
          </w:p>
        </w:tc>
      </w:tr>
      <w:tr>
        <w:tc>
          <w:tcPr>
            <w:tcW w:type="dxa" w:w="138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Market &amp; Commercial</w:t>
            </w:r>
          </w:p>
        </w:tc>
        <w:tc>
          <w:tcPr>
            <w:tcW w:type="dxa" w:w="282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Competitive landscape — MSP ISO 27001 adoption</w:t>
            </w:r>
          </w:p>
        </w:tc>
        <w:tc>
          <w:tcPr>
            <w:tcW w:type="dxa" w:w="25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Certification differentiates the organisation; failure to maintain standards risks reputational and commercial disadvantage.</w:t>
            </w:r>
          </w:p>
        </w:tc>
        <w:tc>
          <w:tcPr>
            <w:tcW w:type="dxa" w:w="820"/>
            <w:tcBorders>
              <w:top w:val="single" w:color="CCCCCC" w:sz="1"/>
              <w:left w:val="single" w:color="CCCCCC" w:sz="1"/>
              <w:bottom w:val="single" w:color="CCCCCC" w:sz="1"/>
              <w:right w:val="single" w:color="CCCCCC" w:sz="1"/>
            </w:tcBorders>
            <w:shd w:fill="ED7D31"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Medium</w:t>
            </w:r>
          </w:p>
        </w:tc>
        <w:tc>
          <w:tcPr>
            <w:tcW w:type="dxa" w:w="174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Managing Director</w:t>
            </w:r>
          </w:p>
        </w:tc>
      </w:tr>
      <w:tr>
        <w:tc>
          <w:tcPr>
            <w:tcW w:type="dxa" w:w="13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Market &amp; Commercial</w:t>
            </w:r>
          </w:p>
        </w:tc>
        <w:tc>
          <w:tcPr>
            <w:tcW w:type="dxa" w:w="28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Vendor dependency — Microsoft, cloud hyperscalers</w:t>
            </w:r>
          </w:p>
        </w:tc>
        <w:tc>
          <w:tcPr>
            <w:tcW w:type="dxa" w:w="2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Vendor outages, licensing changes, or security incidents directly impact service delivery and client trust.</w:t>
            </w:r>
          </w:p>
        </w:tc>
        <w:tc>
          <w:tcPr>
            <w:tcW w:type="dxa" w:w="820"/>
            <w:tcBorders>
              <w:top w:val="single" w:color="CCCCCC" w:sz="1"/>
              <w:left w:val="single" w:color="CCCCCC" w:sz="1"/>
              <w:bottom w:val="single" w:color="CCCCCC" w:sz="1"/>
              <w:right w:val="single" w:color="CCCCCC" w:sz="1"/>
            </w:tcBorders>
            <w:shd w:fill="C00000"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High</w:t>
            </w:r>
          </w:p>
        </w:tc>
        <w:tc>
          <w:tcPr>
            <w:tcW w:type="dxa" w:w="17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Head of Technology</w:t>
            </w:r>
          </w:p>
        </w:tc>
      </w:tr>
      <w:tr>
        <w:tc>
          <w:tcPr>
            <w:tcW w:type="dxa" w:w="138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Threat Landscape</w:t>
            </w:r>
          </w:p>
        </w:tc>
        <w:tc>
          <w:tcPr>
            <w:tcW w:type="dxa" w:w="282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Ransomware and supply chain attacks targeting MSPs</w:t>
            </w:r>
          </w:p>
        </w:tc>
        <w:tc>
          <w:tcPr>
            <w:tcW w:type="dxa" w:w="25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MSPs are high-value targets; compromise cascades to clients. Drives PAM, segmentation, and IR controls.</w:t>
            </w:r>
          </w:p>
        </w:tc>
        <w:tc>
          <w:tcPr>
            <w:tcW w:type="dxa" w:w="820"/>
            <w:tcBorders>
              <w:top w:val="single" w:color="CCCCCC" w:sz="1"/>
              <w:left w:val="single" w:color="CCCCCC" w:sz="1"/>
              <w:bottom w:val="single" w:color="CCCCCC" w:sz="1"/>
              <w:right w:val="single" w:color="CCCCCC" w:sz="1"/>
            </w:tcBorders>
            <w:shd w:fill="C00000"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High</w:t>
            </w:r>
          </w:p>
        </w:tc>
        <w:tc>
          <w:tcPr>
            <w:tcW w:type="dxa" w:w="174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Information Security Manager</w:t>
            </w:r>
          </w:p>
        </w:tc>
      </w:tr>
      <w:tr>
        <w:tc>
          <w:tcPr>
            <w:tcW w:type="dxa" w:w="13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Threat Landscape</w:t>
            </w:r>
          </w:p>
        </w:tc>
        <w:tc>
          <w:tcPr>
            <w:tcW w:type="dxa" w:w="28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Phishing, social engineering, and credential theft</w:t>
            </w:r>
          </w:p>
        </w:tc>
        <w:tc>
          <w:tcPr>
            <w:tcW w:type="dxa" w:w="2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Small workforce increases per-capita exposure; compromise of a single account may be business-critical.</w:t>
            </w:r>
          </w:p>
        </w:tc>
        <w:tc>
          <w:tcPr>
            <w:tcW w:type="dxa" w:w="820"/>
            <w:tcBorders>
              <w:top w:val="single" w:color="CCCCCC" w:sz="1"/>
              <w:left w:val="single" w:color="CCCCCC" w:sz="1"/>
              <w:bottom w:val="single" w:color="CCCCCC" w:sz="1"/>
              <w:right w:val="single" w:color="CCCCCC" w:sz="1"/>
            </w:tcBorders>
            <w:shd w:fill="C00000"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High</w:t>
            </w:r>
          </w:p>
        </w:tc>
        <w:tc>
          <w:tcPr>
            <w:tcW w:type="dxa" w:w="17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Information Security Manager</w:t>
            </w:r>
          </w:p>
        </w:tc>
      </w:tr>
      <w:tr>
        <w:tc>
          <w:tcPr>
            <w:tcW w:type="dxa" w:w="138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Threat Landscape</w:t>
            </w:r>
          </w:p>
        </w:tc>
        <w:tc>
          <w:tcPr>
            <w:tcW w:type="dxa" w:w="282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State-sponsored threat activity against UK CNI sectors</w:t>
            </w:r>
          </w:p>
        </w:tc>
        <w:tc>
          <w:tcPr>
            <w:tcW w:type="dxa" w:w="25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Where clients operate in CNI sectors, threat intelligence must inform advisory services and client security posture reviews.</w:t>
            </w:r>
          </w:p>
        </w:tc>
        <w:tc>
          <w:tcPr>
            <w:tcW w:type="dxa" w:w="820"/>
            <w:tcBorders>
              <w:top w:val="single" w:color="CCCCCC" w:sz="1"/>
              <w:left w:val="single" w:color="CCCCCC" w:sz="1"/>
              <w:bottom w:val="single" w:color="CCCCCC" w:sz="1"/>
              <w:right w:val="single" w:color="CCCCCC" w:sz="1"/>
            </w:tcBorders>
            <w:shd w:fill="ED7D31"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Medium</w:t>
            </w:r>
          </w:p>
        </w:tc>
        <w:tc>
          <w:tcPr>
            <w:tcW w:type="dxa" w:w="174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Information Security Manager</w:t>
            </w:r>
          </w:p>
        </w:tc>
      </w:tr>
      <w:tr>
        <w:tc>
          <w:tcPr>
            <w:tcW w:type="dxa" w:w="13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Economic</w:t>
            </w:r>
          </w:p>
        </w:tc>
        <w:tc>
          <w:tcPr>
            <w:tcW w:type="dxa" w:w="28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UK inflationary pressures and cost environment</w:t>
            </w:r>
          </w:p>
        </w:tc>
        <w:tc>
          <w:tcPr>
            <w:tcW w:type="dxa" w:w="2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May constrain investment in tooling, training, and controls; resource prioritisation and risk appetite must be reviewed annually.</w:t>
            </w:r>
          </w:p>
        </w:tc>
        <w:tc>
          <w:tcPr>
            <w:tcW w:type="dxa" w:w="820"/>
            <w:tcBorders>
              <w:top w:val="single" w:color="CCCCCC" w:sz="1"/>
              <w:left w:val="single" w:color="CCCCCC" w:sz="1"/>
              <w:bottom w:val="single" w:color="CCCCCC" w:sz="1"/>
              <w:right w:val="single" w:color="CCCCCC" w:sz="1"/>
            </w:tcBorders>
            <w:shd w:fill="ED7D31"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Medium</w:t>
            </w:r>
          </w:p>
        </w:tc>
        <w:tc>
          <w:tcPr>
            <w:tcW w:type="dxa" w:w="17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Managing Director</w:t>
            </w:r>
          </w:p>
        </w:tc>
      </w:tr>
      <w:tr>
        <w:tc>
          <w:tcPr>
            <w:tcW w:type="dxa" w:w="138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Economic</w:t>
            </w:r>
          </w:p>
        </w:tc>
        <w:tc>
          <w:tcPr>
            <w:tcW w:type="dxa" w:w="282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Macroeconomic uncertainty affecting client budgets</w:t>
            </w:r>
          </w:p>
        </w:tc>
        <w:tc>
          <w:tcPr>
            <w:tcW w:type="dxa" w:w="25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Reduced client spend could impact contract renewals and scope; business continuity planning required.</w:t>
            </w:r>
          </w:p>
        </w:tc>
        <w:tc>
          <w:tcPr>
            <w:tcW w:type="dxa" w:w="820"/>
            <w:tcBorders>
              <w:top w:val="single" w:color="CCCCCC" w:sz="1"/>
              <w:left w:val="single" w:color="CCCCCC" w:sz="1"/>
              <w:bottom w:val="single" w:color="CCCCCC" w:sz="1"/>
              <w:right w:val="single" w:color="CCCCCC" w:sz="1"/>
            </w:tcBorders>
            <w:shd w:fill="70AD47"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Low</w:t>
            </w:r>
          </w:p>
        </w:tc>
        <w:tc>
          <w:tcPr>
            <w:tcW w:type="dxa" w:w="174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Managing Director</w:t>
            </w:r>
          </w:p>
        </w:tc>
      </w:tr>
      <w:tr>
        <w:tc>
          <w:tcPr>
            <w:tcW w:type="dxa" w:w="13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Geopolitical</w:t>
            </w:r>
          </w:p>
        </w:tc>
        <w:tc>
          <w:tcPr>
            <w:tcW w:type="dxa" w:w="28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UK–EU post-Brexit data adequacy and trade dynamics</w:t>
            </w:r>
          </w:p>
        </w:tc>
        <w:tc>
          <w:tcPr>
            <w:tcW w:type="dxa" w:w="2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Adequacy decision subject to change; data transfer mechanisms between UK and EU must be monitored and adapted.</w:t>
            </w:r>
          </w:p>
        </w:tc>
        <w:tc>
          <w:tcPr>
            <w:tcW w:type="dxa" w:w="820"/>
            <w:tcBorders>
              <w:top w:val="single" w:color="CCCCCC" w:sz="1"/>
              <w:left w:val="single" w:color="CCCCCC" w:sz="1"/>
              <w:bottom w:val="single" w:color="CCCCCC" w:sz="1"/>
              <w:right w:val="single" w:color="CCCCCC" w:sz="1"/>
            </w:tcBorders>
            <w:shd w:fill="ED7D31"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Medium</w:t>
            </w:r>
          </w:p>
        </w:tc>
        <w:tc>
          <w:tcPr>
            <w:tcW w:type="dxa" w:w="17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Legal &amp; Compliance</w:t>
            </w:r>
          </w:p>
        </w:tc>
      </w:tr>
      <w:tr>
        <w:tc>
          <w:tcPr>
            <w:tcW w:type="dxa" w:w="138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Technology</w:t>
            </w:r>
          </w:p>
        </w:tc>
        <w:tc>
          <w:tcPr>
            <w:tcW w:type="dxa" w:w="282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AI and automation adoption in security operations</w:t>
            </w:r>
          </w:p>
        </w:tc>
        <w:tc>
          <w:tcPr>
            <w:tcW w:type="dxa" w:w="25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Adoption of AI tooling introduces new data processing risks and confidentiality concerns requiring policy governance.</w:t>
            </w:r>
          </w:p>
        </w:tc>
        <w:tc>
          <w:tcPr>
            <w:tcW w:type="dxa" w:w="820"/>
            <w:tcBorders>
              <w:top w:val="single" w:color="CCCCCC" w:sz="1"/>
              <w:left w:val="single" w:color="CCCCCC" w:sz="1"/>
              <w:bottom w:val="single" w:color="CCCCCC" w:sz="1"/>
              <w:right w:val="single" w:color="CCCCCC" w:sz="1"/>
            </w:tcBorders>
            <w:shd w:fill="ED7D31"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Medium</w:t>
            </w:r>
          </w:p>
        </w:tc>
        <w:tc>
          <w:tcPr>
            <w:tcW w:type="dxa" w:w="174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Information Security Manager</w:t>
            </w:r>
          </w:p>
        </w:tc>
      </w:tr>
    </w:tbl>
    <w:p>
      <w:pPr>
        <w:spacing w:after="120" w:before="120"/>
      </w:pPr>
    </w:p>
    <w:p>
      <w:r>
        <w:br w:type="page"/>
      </w:r>
    </w:p>
    <w:p>
      <w:pPr>
        <w:pStyle w:val="Heading2"/>
        <w:spacing w:after="80" w:before="240"/>
      </w:pPr>
      <w:r>
        <w:rPr>
          <w:rFonts w:ascii="Arial" w:cs="Arial" w:eastAsia="Arial" w:hAnsi="Arial"/>
          <w:b/>
          <w:bCs/>
          <w:color w:val="2E75B6"/>
          <w:sz w:val="26"/>
          <w:szCs w:val="26"/>
        </w:rPr>
        <w:t xml:space="preserve">3.4 Internal Issues Register</w:t>
      </w:r>
    </w:p>
    <w:p>
      <w:pPr>
        <w:spacing w:after="80" w:before="80"/>
        <w:jc w:val="left"/>
      </w:pPr>
      <w:r>
        <w:rPr>
          <w:rFonts w:ascii="Arial" w:cs="Arial" w:eastAsia="Arial" w:hAnsi="Arial"/>
          <w:b w:val="false"/>
          <w:bCs w:val="false"/>
          <w:color w:val="000000"/>
          <w:sz w:val="20"/>
          <w:szCs w:val="20"/>
        </w:rPr>
        <w:t xml:space="preserve">Internal issues arise from within the organisation. They are within the organisation's sphere of influence and should be addressed through targeted ISMS controls, process improvements, and management action.</w:t>
      </w:r>
    </w:p>
    <w:p>
      <w:pPr>
        <w:spacing w:after="60" w:before="60"/>
      </w:pP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1380"/>
        <w:gridCol w:w="2820"/>
        <w:gridCol w:w="2500"/>
        <w:gridCol w:w="820"/>
        <w:gridCol w:w="1740"/>
      </w:tblGrid>
      <w:tr>
        <w:trPr>
          <w:tblHeader/>
        </w:trPr>
        <w:tc>
          <w:tcPr>
            <w:tcW w:type="dxa" w:w="138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Category</w:t>
            </w:r>
          </w:p>
        </w:tc>
        <w:tc>
          <w:tcPr>
            <w:tcW w:type="dxa" w:w="282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Issue</w:t>
            </w:r>
          </w:p>
        </w:tc>
        <w:tc>
          <w:tcPr>
            <w:tcW w:type="dxa" w:w="25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Impact on ISMS</w:t>
            </w:r>
          </w:p>
        </w:tc>
        <w:tc>
          <w:tcPr>
            <w:tcW w:type="dxa" w:w="82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Rating</w:t>
            </w:r>
          </w:p>
        </w:tc>
        <w:tc>
          <w:tcPr>
            <w:tcW w:type="dxa" w:w="174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Owner</w:t>
            </w:r>
          </w:p>
        </w:tc>
      </w:tr>
      <w:tr>
        <w:tc>
          <w:tcPr>
            <w:tcW w:type="dxa" w:w="138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Organisational</w:t>
            </w:r>
          </w:p>
        </w:tc>
        <w:tc>
          <w:tcPr>
            <w:tcW w:type="dxa" w:w="282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Small workforce (1–10 staff), limited segregation of duties</w:t>
            </w:r>
          </w:p>
        </w:tc>
        <w:tc>
          <w:tcPr>
            <w:tcW w:type="dxa" w:w="25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Concentration of responsibilities increases insider risk and single points of failure; compensating controls and cross-training are essential.</w:t>
            </w:r>
          </w:p>
        </w:tc>
        <w:tc>
          <w:tcPr>
            <w:tcW w:type="dxa" w:w="820"/>
            <w:tcBorders>
              <w:top w:val="single" w:color="CCCCCC" w:sz="1"/>
              <w:left w:val="single" w:color="CCCCCC" w:sz="1"/>
              <w:bottom w:val="single" w:color="CCCCCC" w:sz="1"/>
              <w:right w:val="single" w:color="CCCCCC" w:sz="1"/>
            </w:tcBorders>
            <w:shd w:fill="C00000"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High</w:t>
            </w:r>
          </w:p>
        </w:tc>
        <w:tc>
          <w:tcPr>
            <w:tcW w:type="dxa" w:w="174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Managing Director</w:t>
            </w:r>
          </w:p>
        </w:tc>
      </w:tr>
      <w:tr>
        <w:tc>
          <w:tcPr>
            <w:tcW w:type="dxa" w:w="13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Organisational</w:t>
            </w:r>
          </w:p>
        </w:tc>
        <w:tc>
          <w:tcPr>
            <w:tcW w:type="dxa" w:w="28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Key person dependency on critical technical and security functions</w:t>
            </w:r>
          </w:p>
        </w:tc>
        <w:tc>
          <w:tcPr>
            <w:tcW w:type="dxa" w:w="2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Loss of key individuals could severely impact ISMS operation; succession planning and runbook documentation required.</w:t>
            </w:r>
          </w:p>
        </w:tc>
        <w:tc>
          <w:tcPr>
            <w:tcW w:type="dxa" w:w="820"/>
            <w:tcBorders>
              <w:top w:val="single" w:color="CCCCCC" w:sz="1"/>
              <w:left w:val="single" w:color="CCCCCC" w:sz="1"/>
              <w:bottom w:val="single" w:color="CCCCCC" w:sz="1"/>
              <w:right w:val="single" w:color="CCCCCC" w:sz="1"/>
            </w:tcBorders>
            <w:shd w:fill="C00000"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High</w:t>
            </w:r>
          </w:p>
        </w:tc>
        <w:tc>
          <w:tcPr>
            <w:tcW w:type="dxa" w:w="17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Managing Director</w:t>
            </w:r>
          </w:p>
        </w:tc>
      </w:tr>
      <w:tr>
        <w:tc>
          <w:tcPr>
            <w:tcW w:type="dxa" w:w="138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Organisational</w:t>
            </w:r>
          </w:p>
        </w:tc>
        <w:tc>
          <w:tcPr>
            <w:tcW w:type="dxa" w:w="282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Senior leadership commitment and security culture maturity</w:t>
            </w:r>
          </w:p>
        </w:tc>
        <w:tc>
          <w:tcPr>
            <w:tcW w:type="dxa" w:w="25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ISMS effectiveness depends on consistent leadership endorsement; culture must be actively managed and measured.</w:t>
            </w:r>
          </w:p>
        </w:tc>
        <w:tc>
          <w:tcPr>
            <w:tcW w:type="dxa" w:w="820"/>
            <w:tcBorders>
              <w:top w:val="single" w:color="CCCCCC" w:sz="1"/>
              <w:left w:val="single" w:color="CCCCCC" w:sz="1"/>
              <w:bottom w:val="single" w:color="CCCCCC" w:sz="1"/>
              <w:right w:val="single" w:color="CCCCCC" w:sz="1"/>
            </w:tcBorders>
            <w:shd w:fill="ED7D31"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Medium</w:t>
            </w:r>
          </w:p>
        </w:tc>
        <w:tc>
          <w:tcPr>
            <w:tcW w:type="dxa" w:w="174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Managing Director</w:t>
            </w:r>
          </w:p>
        </w:tc>
      </w:tr>
      <w:tr>
        <w:tc>
          <w:tcPr>
            <w:tcW w:type="dxa" w:w="13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Organisational</w:t>
            </w:r>
          </w:p>
        </w:tc>
        <w:tc>
          <w:tcPr>
            <w:tcW w:type="dxa" w:w="28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Absence of a dedicated CISO or full-time security resource</w:t>
            </w:r>
          </w:p>
        </w:tc>
        <w:tc>
          <w:tcPr>
            <w:tcW w:type="dxa" w:w="2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Security responsibilities shared across operational roles; formal ISMS governance structure must compensate via defined roles.</w:t>
            </w:r>
          </w:p>
        </w:tc>
        <w:tc>
          <w:tcPr>
            <w:tcW w:type="dxa" w:w="820"/>
            <w:tcBorders>
              <w:top w:val="single" w:color="CCCCCC" w:sz="1"/>
              <w:left w:val="single" w:color="CCCCCC" w:sz="1"/>
              <w:bottom w:val="single" w:color="CCCCCC" w:sz="1"/>
              <w:right w:val="single" w:color="CCCCCC" w:sz="1"/>
            </w:tcBorders>
            <w:shd w:fill="ED7D31"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Medium</w:t>
            </w:r>
          </w:p>
        </w:tc>
        <w:tc>
          <w:tcPr>
            <w:tcW w:type="dxa" w:w="17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Information Security Manager</w:t>
            </w:r>
          </w:p>
        </w:tc>
      </w:tr>
      <w:tr>
        <w:tc>
          <w:tcPr>
            <w:tcW w:type="dxa" w:w="138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Technology &amp; Infrastructure</w:t>
            </w:r>
          </w:p>
        </w:tc>
        <w:tc>
          <w:tcPr>
            <w:tcW w:type="dxa" w:w="282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Cloud-hosted infrastructure and SaaS platform dependency</w:t>
            </w:r>
          </w:p>
        </w:tc>
        <w:tc>
          <w:tcPr>
            <w:tcW w:type="dxa" w:w="25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Shared responsibility model requires clarity on provider obligations; configuration management and access control remain organisational responsibilities.</w:t>
            </w:r>
          </w:p>
        </w:tc>
        <w:tc>
          <w:tcPr>
            <w:tcW w:type="dxa" w:w="820"/>
            <w:tcBorders>
              <w:top w:val="single" w:color="CCCCCC" w:sz="1"/>
              <w:left w:val="single" w:color="CCCCCC" w:sz="1"/>
              <w:bottom w:val="single" w:color="CCCCCC" w:sz="1"/>
              <w:right w:val="single" w:color="CCCCCC" w:sz="1"/>
            </w:tcBorders>
            <w:shd w:fill="C00000"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High</w:t>
            </w:r>
          </w:p>
        </w:tc>
        <w:tc>
          <w:tcPr>
            <w:tcW w:type="dxa" w:w="174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Head of Technology</w:t>
            </w:r>
          </w:p>
        </w:tc>
      </w:tr>
      <w:tr>
        <w:tc>
          <w:tcPr>
            <w:tcW w:type="dxa" w:w="13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Technology &amp; Infrastructure</w:t>
            </w:r>
          </w:p>
        </w:tc>
        <w:tc>
          <w:tcPr>
            <w:tcW w:type="dxa" w:w="28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Remote and hybrid working across UK and EU</w:t>
            </w:r>
          </w:p>
        </w:tc>
        <w:tc>
          <w:tcPr>
            <w:tcW w:type="dxa" w:w="2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Increases attack surface; endpoint security, VPN policy, and device management controls must be enforced consistently.</w:t>
            </w:r>
          </w:p>
        </w:tc>
        <w:tc>
          <w:tcPr>
            <w:tcW w:type="dxa" w:w="820"/>
            <w:tcBorders>
              <w:top w:val="single" w:color="CCCCCC" w:sz="1"/>
              <w:left w:val="single" w:color="CCCCCC" w:sz="1"/>
              <w:bottom w:val="single" w:color="CCCCCC" w:sz="1"/>
              <w:right w:val="single" w:color="CCCCCC" w:sz="1"/>
            </w:tcBorders>
            <w:shd w:fill="C00000"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High</w:t>
            </w:r>
          </w:p>
        </w:tc>
        <w:tc>
          <w:tcPr>
            <w:tcW w:type="dxa" w:w="17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Information Security Manager</w:t>
            </w:r>
          </w:p>
        </w:tc>
      </w:tr>
      <w:tr>
        <w:tc>
          <w:tcPr>
            <w:tcW w:type="dxa" w:w="138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Technology &amp; Infrastructure</w:t>
            </w:r>
          </w:p>
        </w:tc>
        <w:tc>
          <w:tcPr>
            <w:tcW w:type="dxa" w:w="282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Privileged access to client environments</w:t>
            </w:r>
          </w:p>
        </w:tc>
        <w:tc>
          <w:tcPr>
            <w:tcW w:type="dxa" w:w="25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Highest-risk attack vector; PAM controls, MFA enforcement, and session logging are critical compensating controls.</w:t>
            </w:r>
          </w:p>
        </w:tc>
        <w:tc>
          <w:tcPr>
            <w:tcW w:type="dxa" w:w="820"/>
            <w:tcBorders>
              <w:top w:val="single" w:color="CCCCCC" w:sz="1"/>
              <w:left w:val="single" w:color="CCCCCC" w:sz="1"/>
              <w:bottom w:val="single" w:color="CCCCCC" w:sz="1"/>
              <w:right w:val="single" w:color="CCCCCC" w:sz="1"/>
            </w:tcBorders>
            <w:shd w:fill="C00000"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High</w:t>
            </w:r>
          </w:p>
        </w:tc>
        <w:tc>
          <w:tcPr>
            <w:tcW w:type="dxa" w:w="174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Information Security Manager</w:t>
            </w:r>
          </w:p>
        </w:tc>
      </w:tr>
      <w:tr>
        <w:tc>
          <w:tcPr>
            <w:tcW w:type="dxa" w:w="13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Technology &amp; Infrastructure</w:t>
            </w:r>
          </w:p>
        </w:tc>
        <w:tc>
          <w:tcPr>
            <w:tcW w:type="dxa" w:w="28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Asset management maturity and CMDB completeness</w:t>
            </w:r>
          </w:p>
        </w:tc>
        <w:tc>
          <w:tcPr>
            <w:tcW w:type="dxa" w:w="2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Incomplete asset registers increase risk of unmanaged assets holding sensitive data; lifecycle process must be formalised.</w:t>
            </w:r>
          </w:p>
        </w:tc>
        <w:tc>
          <w:tcPr>
            <w:tcW w:type="dxa" w:w="820"/>
            <w:tcBorders>
              <w:top w:val="single" w:color="CCCCCC" w:sz="1"/>
              <w:left w:val="single" w:color="CCCCCC" w:sz="1"/>
              <w:bottom w:val="single" w:color="CCCCCC" w:sz="1"/>
              <w:right w:val="single" w:color="CCCCCC" w:sz="1"/>
            </w:tcBorders>
            <w:shd w:fill="ED7D31"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Medium</w:t>
            </w:r>
          </w:p>
        </w:tc>
        <w:tc>
          <w:tcPr>
            <w:tcW w:type="dxa" w:w="17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Head of Technology</w:t>
            </w:r>
          </w:p>
        </w:tc>
      </w:tr>
      <w:tr>
        <w:tc>
          <w:tcPr>
            <w:tcW w:type="dxa" w:w="138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Processes &amp; Governance</w:t>
            </w:r>
          </w:p>
        </w:tc>
        <w:tc>
          <w:tcPr>
            <w:tcW w:type="dxa" w:w="282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Immaturity of formal documented policies and procedures</w:t>
            </w:r>
          </w:p>
        </w:tc>
        <w:tc>
          <w:tcPr>
            <w:tcW w:type="dxa" w:w="25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ISO 27001:2022 requires a documented policy framework; gaps represent non-conformity risk during audit.</w:t>
            </w:r>
          </w:p>
        </w:tc>
        <w:tc>
          <w:tcPr>
            <w:tcW w:type="dxa" w:w="820"/>
            <w:tcBorders>
              <w:top w:val="single" w:color="CCCCCC" w:sz="1"/>
              <w:left w:val="single" w:color="CCCCCC" w:sz="1"/>
              <w:bottom w:val="single" w:color="CCCCCC" w:sz="1"/>
              <w:right w:val="single" w:color="CCCCCC" w:sz="1"/>
            </w:tcBorders>
            <w:shd w:fill="C00000"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High</w:t>
            </w:r>
          </w:p>
        </w:tc>
        <w:tc>
          <w:tcPr>
            <w:tcW w:type="dxa" w:w="174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Information Security Manager</w:t>
            </w:r>
          </w:p>
        </w:tc>
      </w:tr>
      <w:tr>
        <w:tc>
          <w:tcPr>
            <w:tcW w:type="dxa" w:w="13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Processes &amp; Governance</w:t>
            </w:r>
          </w:p>
        </w:tc>
        <w:tc>
          <w:tcPr>
            <w:tcW w:type="dxa" w:w="28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Incident response process formalisation and exercising</w:t>
            </w:r>
          </w:p>
        </w:tc>
        <w:tc>
          <w:tcPr>
            <w:tcW w:type="dxa" w:w="2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Without tested IR procedures, response to events will be ad hoc; tabletop exercises and runbooks are required.</w:t>
            </w:r>
          </w:p>
        </w:tc>
        <w:tc>
          <w:tcPr>
            <w:tcW w:type="dxa" w:w="820"/>
            <w:tcBorders>
              <w:top w:val="single" w:color="CCCCCC" w:sz="1"/>
              <w:left w:val="single" w:color="CCCCCC" w:sz="1"/>
              <w:bottom w:val="single" w:color="CCCCCC" w:sz="1"/>
              <w:right w:val="single" w:color="CCCCCC" w:sz="1"/>
            </w:tcBorders>
            <w:shd w:fill="C00000"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High</w:t>
            </w:r>
          </w:p>
        </w:tc>
        <w:tc>
          <w:tcPr>
            <w:tcW w:type="dxa" w:w="17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Information Security Manager</w:t>
            </w:r>
          </w:p>
        </w:tc>
      </w:tr>
      <w:tr>
        <w:tc>
          <w:tcPr>
            <w:tcW w:type="dxa" w:w="138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Processes &amp; Governance</w:t>
            </w:r>
          </w:p>
        </w:tc>
        <w:tc>
          <w:tcPr>
            <w:tcW w:type="dxa" w:w="282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Supplier and third-party risk management programme</w:t>
            </w:r>
          </w:p>
        </w:tc>
        <w:tc>
          <w:tcPr>
            <w:tcW w:type="dxa" w:w="25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Reliance on key vendors without formal risk assessments exposes the organisation to supply chain risk.</w:t>
            </w:r>
          </w:p>
        </w:tc>
        <w:tc>
          <w:tcPr>
            <w:tcW w:type="dxa" w:w="820"/>
            <w:tcBorders>
              <w:top w:val="single" w:color="CCCCCC" w:sz="1"/>
              <w:left w:val="single" w:color="CCCCCC" w:sz="1"/>
              <w:bottom w:val="single" w:color="CCCCCC" w:sz="1"/>
              <w:right w:val="single" w:color="CCCCCC" w:sz="1"/>
            </w:tcBorders>
            <w:shd w:fill="ED7D31"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Medium</w:t>
            </w:r>
          </w:p>
        </w:tc>
        <w:tc>
          <w:tcPr>
            <w:tcW w:type="dxa" w:w="174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Information Security Manager</w:t>
            </w:r>
          </w:p>
        </w:tc>
      </w:tr>
      <w:tr>
        <w:tc>
          <w:tcPr>
            <w:tcW w:type="dxa" w:w="13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Processes &amp; Governance</w:t>
            </w:r>
          </w:p>
        </w:tc>
        <w:tc>
          <w:tcPr>
            <w:tcW w:type="dxa" w:w="28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Business continuity and disaster recovery planning</w:t>
            </w:r>
          </w:p>
        </w:tc>
        <w:tc>
          <w:tcPr>
            <w:tcW w:type="dxa" w:w="2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Limited documented BCP/DRP increases recovery time risk following a major incident.</w:t>
            </w:r>
          </w:p>
        </w:tc>
        <w:tc>
          <w:tcPr>
            <w:tcW w:type="dxa" w:w="820"/>
            <w:tcBorders>
              <w:top w:val="single" w:color="CCCCCC" w:sz="1"/>
              <w:left w:val="single" w:color="CCCCCC" w:sz="1"/>
              <w:bottom w:val="single" w:color="CCCCCC" w:sz="1"/>
              <w:right w:val="single" w:color="CCCCCC" w:sz="1"/>
            </w:tcBorders>
            <w:shd w:fill="ED7D31"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Medium</w:t>
            </w:r>
          </w:p>
        </w:tc>
        <w:tc>
          <w:tcPr>
            <w:tcW w:type="dxa" w:w="17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Managing Director</w:t>
            </w:r>
          </w:p>
        </w:tc>
      </w:tr>
      <w:tr>
        <w:tc>
          <w:tcPr>
            <w:tcW w:type="dxa" w:w="138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Human Resources</w:t>
            </w:r>
          </w:p>
        </w:tc>
        <w:tc>
          <w:tcPr>
            <w:tcW w:type="dxa" w:w="282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Security awareness training programme maturity</w:t>
            </w:r>
          </w:p>
        </w:tc>
        <w:tc>
          <w:tcPr>
            <w:tcW w:type="dxa" w:w="25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Staff awareness is the primary defence against phishing; a formal training programme must be established and tracked.</w:t>
            </w:r>
          </w:p>
        </w:tc>
        <w:tc>
          <w:tcPr>
            <w:tcW w:type="dxa" w:w="820"/>
            <w:tcBorders>
              <w:top w:val="single" w:color="CCCCCC" w:sz="1"/>
              <w:left w:val="single" w:color="CCCCCC" w:sz="1"/>
              <w:bottom w:val="single" w:color="CCCCCC" w:sz="1"/>
              <w:right w:val="single" w:color="CCCCCC" w:sz="1"/>
            </w:tcBorders>
            <w:shd w:fill="C00000"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High</w:t>
            </w:r>
          </w:p>
        </w:tc>
        <w:tc>
          <w:tcPr>
            <w:tcW w:type="dxa" w:w="174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Information Security Manager</w:t>
            </w:r>
          </w:p>
        </w:tc>
      </w:tr>
      <w:tr>
        <w:tc>
          <w:tcPr>
            <w:tcW w:type="dxa" w:w="13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Human Resources</w:t>
            </w:r>
          </w:p>
        </w:tc>
        <w:tc>
          <w:tcPr>
            <w:tcW w:type="dxa" w:w="28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Joiner/mover/leaver access control procedures</w:t>
            </w:r>
          </w:p>
        </w:tc>
        <w:tc>
          <w:tcPr>
            <w:tcW w:type="dxa" w:w="2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JML processes must be formalised to prevent orphaned accounts and unauthorised access.</w:t>
            </w:r>
          </w:p>
        </w:tc>
        <w:tc>
          <w:tcPr>
            <w:tcW w:type="dxa" w:w="820"/>
            <w:tcBorders>
              <w:top w:val="single" w:color="CCCCCC" w:sz="1"/>
              <w:left w:val="single" w:color="CCCCCC" w:sz="1"/>
              <w:bottom w:val="single" w:color="CCCCCC" w:sz="1"/>
              <w:right w:val="single" w:color="CCCCCC" w:sz="1"/>
            </w:tcBorders>
            <w:shd w:fill="ED7D31"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Medium</w:t>
            </w:r>
          </w:p>
        </w:tc>
        <w:tc>
          <w:tcPr>
            <w:tcW w:type="dxa" w:w="17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Information Security Manager</w:t>
            </w:r>
          </w:p>
        </w:tc>
      </w:tr>
      <w:tr>
        <w:tc>
          <w:tcPr>
            <w:tcW w:type="dxa" w:w="138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Financial</w:t>
            </w:r>
          </w:p>
        </w:tc>
        <w:tc>
          <w:tcPr>
            <w:tcW w:type="dxa" w:w="282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ISMS budget allocation for tooling, certification, and training</w:t>
            </w:r>
          </w:p>
        </w:tc>
        <w:tc>
          <w:tcPr>
            <w:tcW w:type="dxa" w:w="25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Constrained budgets may limit control implementation; annual ISMS budget must be formally approved.</w:t>
            </w:r>
          </w:p>
        </w:tc>
        <w:tc>
          <w:tcPr>
            <w:tcW w:type="dxa" w:w="820"/>
            <w:tcBorders>
              <w:top w:val="single" w:color="CCCCCC" w:sz="1"/>
              <w:left w:val="single" w:color="CCCCCC" w:sz="1"/>
              <w:bottom w:val="single" w:color="CCCCCC" w:sz="1"/>
              <w:right w:val="single" w:color="CCCCCC" w:sz="1"/>
            </w:tcBorders>
            <w:shd w:fill="ED7D31"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Medium</w:t>
            </w:r>
          </w:p>
        </w:tc>
        <w:tc>
          <w:tcPr>
            <w:tcW w:type="dxa" w:w="174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Managing Director</w:t>
            </w:r>
          </w:p>
        </w:tc>
      </w:tr>
    </w:tbl>
    <w:p>
      <w:pPr>
        <w:spacing w:after="120" w:before="120"/>
      </w:pPr>
    </w:p>
    <w:p>
      <w:r>
        <w:br w:type="page"/>
      </w:r>
    </w:p>
    <w:p>
      <w:pPr>
        <w:pStyle w:val="Heading1"/>
        <w:pBdr>
          <w:bottom w:val="single" w:color="2E75B6" w:sz="8" w:space="4"/>
        </w:pBdr>
        <w:spacing w:after="120" w:before="360"/>
      </w:pPr>
      <w:r>
        <w:rPr>
          <w:rFonts w:ascii="Arial" w:cs="Arial" w:eastAsia="Arial" w:hAnsi="Arial"/>
          <w:b/>
          <w:bCs/>
          <w:color w:val="1F3864"/>
          <w:sz w:val="34"/>
          <w:szCs w:val="34"/>
        </w:rPr>
        <w:t xml:space="preserve">4. Clause 4.2 — Understanding the Needs and Expectations of Interested Parties</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1400"/>
        <w:gridCol w:w="7860"/>
      </w:tblGrid>
      <w:tr>
        <w:tc>
          <w:tcPr>
            <w:tcW w:type="dxa" w:w="1400"/>
            <w:tcBorders>
              <w:top w:val="single" w:color="CCCCCC" w:sz="1"/>
              <w:left w:val="single" w:color="CCCCCC" w:sz="1"/>
              <w:bottom w:val="single" w:color="CCCCCC" w:sz="1"/>
              <w:right w:val="single" w:color="CCCCCC" w:sz="1"/>
            </w:tcBorders>
            <w:shd w:fill="1F3864" w:val="clear"/>
            <w:tcMar>
              <w:top w:type="dxa" w:w="120"/>
              <w:left w:type="dxa" w:w="160"/>
              <w:bottom w:type="dxa" w:w="120"/>
              <w:right w:type="dxa" w:w="160"/>
            </w:tcMar>
            <w:vAlign w:val="center"/>
          </w:tcPr>
          <w:p>
            <w:pPr>
              <w:jc w:val="center"/>
            </w:pPr>
            <w:r>
              <w:rPr>
                <w:rFonts w:ascii="Arial" w:cs="Arial" w:eastAsia="Arial" w:hAnsi="Arial"/>
                <w:b/>
                <w:bCs/>
                <w:color w:val="FFFFFF"/>
                <w:sz w:val="18"/>
                <w:szCs w:val="18"/>
              </w:rPr>
              <w:t xml:space="preserve">4.2</w:t>
            </w:r>
          </w:p>
          <w:p>
            <w:pPr>
              <w:jc w:val="center"/>
            </w:pPr>
            <w:r>
              <w:rPr>
                <w:rFonts w:ascii="Arial" w:cs="Arial" w:eastAsia="Arial" w:hAnsi="Arial"/>
                <w:color w:val="D6E4F0"/>
                <w:sz w:val="14"/>
                <w:szCs w:val="14"/>
              </w:rPr>
              <w:t xml:space="preserve">Interested Parties</w:t>
            </w:r>
          </w:p>
        </w:tc>
        <w:tc>
          <w:tcPr>
            <w:tcW w:type="dxa" w:w="7860"/>
            <w:tcBorders>
              <w:top w:val="single" w:color="CCCCCC" w:sz="1"/>
              <w:left w:val="single" w:color="CCCCCC" w:sz="1"/>
              <w:bottom w:val="single" w:color="CCCCCC" w:sz="1"/>
              <w:right w:val="single" w:color="CCCCCC" w:sz="1"/>
            </w:tcBorders>
            <w:shd w:fill="D6E4F0" w:val="clear"/>
            <w:tcMar>
              <w:top w:type="dxa" w:w="120"/>
              <w:left w:type="dxa" w:w="160"/>
              <w:bottom w:type="dxa" w:w="120"/>
              <w:right w:type="dxa" w:w="160"/>
            </w:tcMar>
          </w:tcPr>
          <w:p>
            <w:r>
              <w:rPr>
                <w:rFonts w:ascii="Arial" w:cs="Arial" w:eastAsia="Arial" w:hAnsi="Arial"/>
                <w:color w:val="1F3864"/>
                <w:sz w:val="18"/>
                <w:szCs w:val="18"/>
              </w:rPr>
              <w:t xml:space="preserve">The organisation shall determine: (a) interested parties relevant to the ISMS; (b) their relevant requirements; (c) which requirements will be addressed through the ISMS.</w:t>
            </w:r>
          </w:p>
        </w:tc>
      </w:tr>
    </w:tbl>
    <w:p>
      <w:pPr>
        <w:spacing w:after="120" w:before="120"/>
      </w:pPr>
    </w:p>
    <w:p>
      <w:pPr>
        <w:spacing w:after="80" w:before="80"/>
        <w:jc w:val="left"/>
      </w:pPr>
      <w:r>
        <w:rPr>
          <w:rFonts w:ascii="Arial" w:cs="Arial" w:eastAsia="Arial" w:hAnsi="Arial"/>
          <w:b w:val="false"/>
          <w:bCs w:val="false"/>
          <w:color w:val="000000"/>
          <w:sz w:val="20"/>
          <w:szCs w:val="20"/>
        </w:rPr>
        <w:t xml:space="preserve">An interested party is any individual, group, or organisation that can affect, be affected by, or perceive itself to be affected by the organisation's information security management activities. The table below documents each identified interested party, their relevant needs and expectations, and the ISMS requirements that address them (per Clause 4.2(c)).</w:t>
      </w:r>
    </w:p>
    <w:p>
      <w:pPr>
        <w:spacing w:after="60" w:before="60"/>
      </w:pPr>
    </w:p>
    <w:p>
      <w:pPr>
        <w:spacing w:after="80" w:before="80"/>
        <w:jc w:val="left"/>
      </w:pPr>
      <w:r>
        <w:rPr>
          <w:rFonts w:ascii="Arial" w:cs="Arial" w:eastAsia="Arial" w:hAnsi="Arial"/>
          <w:b w:val="false"/>
          <w:bCs w:val="false"/>
          <w:color w:val="000000"/>
          <w:sz w:val="20"/>
          <w:szCs w:val="20"/>
        </w:rPr>
        <w:t xml:space="preserve">The Priority column reflects the organisation's assessment of the significance of that party's requirements to the ISMS, using the same High / Medium / Low scale applied to context issues.</w:t>
      </w:r>
    </w:p>
    <w:p>
      <w:pPr>
        <w:spacing w:after="120" w:before="120"/>
      </w:pPr>
    </w:p>
    <w:p>
      <w:pPr>
        <w:pStyle w:val="Heading2"/>
        <w:spacing w:after="80" w:before="240"/>
      </w:pPr>
      <w:r>
        <w:rPr>
          <w:rFonts w:ascii="Arial" w:cs="Arial" w:eastAsia="Arial" w:hAnsi="Arial"/>
          <w:b/>
          <w:bCs/>
          <w:color w:val="2E75B6"/>
          <w:sz w:val="26"/>
          <w:szCs w:val="26"/>
        </w:rPr>
        <w:t xml:space="preserve">4.1 Interested Parties Register</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1700"/>
        <w:gridCol w:w="900"/>
        <w:gridCol w:w="3000"/>
        <w:gridCol w:w="2860"/>
        <w:gridCol w:w="800"/>
      </w:tblGrid>
      <w:tr>
        <w:trPr>
          <w:tblHeader/>
        </w:trPr>
        <w:tc>
          <w:tcPr>
            <w:tcW w:type="dxa" w:w="17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Interested Party</w:t>
            </w:r>
          </w:p>
        </w:tc>
        <w:tc>
          <w:tcPr>
            <w:tcW w:type="dxa" w:w="9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Type</w:t>
            </w:r>
          </w:p>
        </w:tc>
        <w:tc>
          <w:tcPr>
            <w:tcW w:type="dxa" w:w="30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Relevant Needs &amp; Expectations</w:t>
            </w:r>
          </w:p>
        </w:tc>
        <w:tc>
          <w:tcPr>
            <w:tcW w:type="dxa" w:w="286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Requirements Addressed by ISMS</w:t>
            </w:r>
          </w:p>
        </w:tc>
        <w:tc>
          <w:tcPr>
            <w:tcW w:type="dxa" w:w="8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Priority</w:t>
            </w:r>
          </w:p>
        </w:tc>
      </w:tr>
      <w:tr>
        <w:tc>
          <w:tcPr>
            <w:tcW w:type="dxa" w:w="17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Clients (UK commercial)</w:t>
            </w:r>
          </w:p>
        </w:tc>
        <w:tc>
          <w:tcPr>
            <w:tcW w:type="dxa" w:w="9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External</w:t>
            </w:r>
          </w:p>
        </w:tc>
        <w:tc>
          <w:tcPr>
            <w:tcW w:type="dxa" w:w="3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Confidentiality of data processed under managed service agreements; service availability and resilience; evidence of security certification for supply chain assurance.</w:t>
            </w:r>
          </w:p>
        </w:tc>
        <w:tc>
          <w:tcPr>
            <w:tcW w:type="dxa" w:w="28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Access control, data classification, BCP/DR, incident response, certification maintenance, contractual security obligations.</w:t>
            </w:r>
          </w:p>
        </w:tc>
        <w:tc>
          <w:tcPr>
            <w:tcW w:type="dxa" w:w="800"/>
            <w:tcBorders>
              <w:top w:val="single" w:color="CCCCCC" w:sz="1"/>
              <w:left w:val="single" w:color="CCCCCC" w:sz="1"/>
              <w:bottom w:val="single" w:color="CCCCCC" w:sz="1"/>
              <w:right w:val="single" w:color="CCCCCC" w:sz="1"/>
            </w:tcBorders>
            <w:shd w:fill="C00000"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High</w:t>
            </w:r>
          </w:p>
        </w:tc>
      </w:tr>
      <w:tr>
        <w:tc>
          <w:tcPr>
            <w:tcW w:type="dxa" w:w="17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Clients (UK public sector / CNI-adjacent)</w:t>
            </w:r>
          </w:p>
        </w:tc>
        <w:tc>
          <w:tcPr>
            <w:tcW w:type="dxa" w:w="9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External</w:t>
            </w:r>
          </w:p>
        </w:tc>
        <w:tc>
          <w:tcPr>
            <w:tcW w:type="dxa" w:w="3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ISO 27001 certification as procurement prerequisite; Cyber Essentials alignment; evidence of supply chain risk management; compliance with UK government security frameworks.</w:t>
            </w:r>
          </w:p>
        </w:tc>
        <w:tc>
          <w:tcPr>
            <w:tcW w:type="dxa" w:w="28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ISMS certification, supplier risk management, security policy framework, continuous monitoring, audit rights.</w:t>
            </w:r>
          </w:p>
        </w:tc>
        <w:tc>
          <w:tcPr>
            <w:tcW w:type="dxa" w:w="800"/>
            <w:tcBorders>
              <w:top w:val="single" w:color="CCCCCC" w:sz="1"/>
              <w:left w:val="single" w:color="CCCCCC" w:sz="1"/>
              <w:bottom w:val="single" w:color="CCCCCC" w:sz="1"/>
              <w:right w:val="single" w:color="CCCCCC" w:sz="1"/>
            </w:tcBorders>
            <w:shd w:fill="C00000"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High</w:t>
            </w:r>
          </w:p>
        </w:tc>
      </w:tr>
      <w:tr>
        <w:tc>
          <w:tcPr>
            <w:tcW w:type="dxa" w:w="17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EU-based Clients</w:t>
            </w:r>
          </w:p>
        </w:tc>
        <w:tc>
          <w:tcPr>
            <w:tcW w:type="dxa" w:w="9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External</w:t>
            </w:r>
          </w:p>
        </w:tc>
        <w:tc>
          <w:tcPr>
            <w:tcW w:type="dxa" w:w="3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Compliance with EU GDPR data processing obligations; appropriate data transfer mechanisms; equivalent security controls to EU regulatory expectations.</w:t>
            </w:r>
          </w:p>
        </w:tc>
        <w:tc>
          <w:tcPr>
            <w:tcW w:type="dxa" w:w="28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Data protection policy, DPIA procedures, cross-border transfer mechanisms, breach notification procedures.</w:t>
            </w:r>
          </w:p>
        </w:tc>
        <w:tc>
          <w:tcPr>
            <w:tcW w:type="dxa" w:w="800"/>
            <w:tcBorders>
              <w:top w:val="single" w:color="CCCCCC" w:sz="1"/>
              <w:left w:val="single" w:color="CCCCCC" w:sz="1"/>
              <w:bottom w:val="single" w:color="CCCCCC" w:sz="1"/>
              <w:right w:val="single" w:color="CCCCCC" w:sz="1"/>
            </w:tcBorders>
            <w:shd w:fill="C00000"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High</w:t>
            </w:r>
          </w:p>
        </w:tc>
      </w:tr>
      <w:tr>
        <w:tc>
          <w:tcPr>
            <w:tcW w:type="dxa" w:w="17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Regulatory Bodies (ICO)</w:t>
            </w:r>
          </w:p>
        </w:tc>
        <w:tc>
          <w:tcPr>
            <w:tcW w:type="dxa" w:w="9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External</w:t>
            </w:r>
          </w:p>
        </w:tc>
        <w:tc>
          <w:tcPr>
            <w:tcW w:type="dxa" w:w="3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UK GDPR compliance; data breach notification within 72 hours; lawful basis for data processing; appropriate technical and organisational measures.</w:t>
            </w:r>
          </w:p>
        </w:tc>
        <w:tc>
          <w:tcPr>
            <w:tcW w:type="dxa" w:w="28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Data protection controls, breach detection and response, data subject rights procedures, retention and deletion policy.</w:t>
            </w:r>
          </w:p>
        </w:tc>
        <w:tc>
          <w:tcPr>
            <w:tcW w:type="dxa" w:w="800"/>
            <w:tcBorders>
              <w:top w:val="single" w:color="CCCCCC" w:sz="1"/>
              <w:left w:val="single" w:color="CCCCCC" w:sz="1"/>
              <w:bottom w:val="single" w:color="CCCCCC" w:sz="1"/>
              <w:right w:val="single" w:color="CCCCCC" w:sz="1"/>
            </w:tcBorders>
            <w:shd w:fill="C00000"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High</w:t>
            </w:r>
          </w:p>
        </w:tc>
      </w:tr>
      <w:tr>
        <w:tc>
          <w:tcPr>
            <w:tcW w:type="dxa" w:w="17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NCSC / Government</w:t>
            </w:r>
          </w:p>
        </w:tc>
        <w:tc>
          <w:tcPr>
            <w:tcW w:type="dxa" w:w="9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External</w:t>
            </w:r>
          </w:p>
        </w:tc>
        <w:tc>
          <w:tcPr>
            <w:tcW w:type="dxa" w:w="3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Adherence to NCSC guidance; Cyber Essentials alignment; contribution to UK cyber resilience; responsible disclosure of vulnerabilities.</w:t>
            </w:r>
          </w:p>
        </w:tc>
        <w:tc>
          <w:tcPr>
            <w:tcW w:type="dxa" w:w="28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Security baseline controls, vulnerability management, threat intelligence integration, secure configuration management.</w:t>
            </w:r>
          </w:p>
        </w:tc>
        <w:tc>
          <w:tcPr>
            <w:tcW w:type="dxa" w:w="800"/>
            <w:tcBorders>
              <w:top w:val="single" w:color="CCCCCC" w:sz="1"/>
              <w:left w:val="single" w:color="CCCCCC" w:sz="1"/>
              <w:bottom w:val="single" w:color="CCCCCC" w:sz="1"/>
              <w:right w:val="single" w:color="CCCCCC" w:sz="1"/>
            </w:tcBorders>
            <w:shd w:fill="ED7D31"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Medium</w:t>
            </w:r>
          </w:p>
        </w:tc>
      </w:tr>
      <w:tr>
        <w:tc>
          <w:tcPr>
            <w:tcW w:type="dxa" w:w="17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Cloud and Technology Vendors</w:t>
            </w:r>
          </w:p>
        </w:tc>
        <w:tc>
          <w:tcPr>
            <w:tcW w:type="dxa" w:w="9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External</w:t>
            </w:r>
          </w:p>
        </w:tc>
        <w:tc>
          <w:tcPr>
            <w:tcW w:type="dxa" w:w="3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Adherence to vendor acceptable use policies; licensed software usage; secure API integration; responsible use of privileged access provisioned by vendors.</w:t>
            </w:r>
          </w:p>
        </w:tc>
        <w:tc>
          <w:tcPr>
            <w:tcW w:type="dxa" w:w="28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Vendor management policy, software asset management, privileged access management, supplier risk assessment.</w:t>
            </w:r>
          </w:p>
        </w:tc>
        <w:tc>
          <w:tcPr>
            <w:tcW w:type="dxa" w:w="800"/>
            <w:tcBorders>
              <w:top w:val="single" w:color="CCCCCC" w:sz="1"/>
              <w:left w:val="single" w:color="CCCCCC" w:sz="1"/>
              <w:bottom w:val="single" w:color="CCCCCC" w:sz="1"/>
              <w:right w:val="single" w:color="CCCCCC" w:sz="1"/>
            </w:tcBorders>
            <w:shd w:fill="C00000"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High</w:t>
            </w:r>
          </w:p>
        </w:tc>
      </w:tr>
      <w:tr>
        <w:tc>
          <w:tcPr>
            <w:tcW w:type="dxa" w:w="17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Employees and Contractors</w:t>
            </w:r>
          </w:p>
        </w:tc>
        <w:tc>
          <w:tcPr>
            <w:tcW w:type="dxa" w:w="9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Internal</w:t>
            </w:r>
          </w:p>
        </w:tc>
        <w:tc>
          <w:tcPr>
            <w:tcW w:type="dxa" w:w="3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Clear security policies and procedures; appropriate security training; safe working environment free from unreasonable security burden; secure tooling.</w:t>
            </w:r>
          </w:p>
        </w:tc>
        <w:tc>
          <w:tcPr>
            <w:tcW w:type="dxa" w:w="28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Security awareness training, acceptable use policy, clear ISMS roles, incident reporting procedures, HR security policy.</w:t>
            </w:r>
          </w:p>
        </w:tc>
        <w:tc>
          <w:tcPr>
            <w:tcW w:type="dxa" w:w="800"/>
            <w:tcBorders>
              <w:top w:val="single" w:color="CCCCCC" w:sz="1"/>
              <w:left w:val="single" w:color="CCCCCC" w:sz="1"/>
              <w:bottom w:val="single" w:color="CCCCCC" w:sz="1"/>
              <w:right w:val="single" w:color="CCCCCC" w:sz="1"/>
            </w:tcBorders>
            <w:shd w:fill="C00000"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High</w:t>
            </w:r>
          </w:p>
        </w:tc>
      </w:tr>
      <w:tr>
        <w:tc>
          <w:tcPr>
            <w:tcW w:type="dxa" w:w="17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Senior Leadership / Directors</w:t>
            </w:r>
          </w:p>
        </w:tc>
        <w:tc>
          <w:tcPr>
            <w:tcW w:type="dxa" w:w="9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Internal</w:t>
            </w:r>
          </w:p>
        </w:tc>
        <w:tc>
          <w:tcPr>
            <w:tcW w:type="dxa" w:w="3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ISMS achieves certification; security investment is proportionate to risk; legal and regulatory obligations are met; organisational reputation is protected.</w:t>
            </w:r>
          </w:p>
        </w:tc>
        <w:tc>
          <w:tcPr>
            <w:tcW w:type="dxa" w:w="28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Management review, risk reporting, ISMS KPIs, audit outcomes, certification maintenance, budget oversight.</w:t>
            </w:r>
          </w:p>
        </w:tc>
        <w:tc>
          <w:tcPr>
            <w:tcW w:type="dxa" w:w="800"/>
            <w:tcBorders>
              <w:top w:val="single" w:color="CCCCCC" w:sz="1"/>
              <w:left w:val="single" w:color="CCCCCC" w:sz="1"/>
              <w:bottom w:val="single" w:color="CCCCCC" w:sz="1"/>
              <w:right w:val="single" w:color="CCCCCC" w:sz="1"/>
            </w:tcBorders>
            <w:shd w:fill="C00000"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High</w:t>
            </w:r>
          </w:p>
        </w:tc>
      </w:tr>
      <w:tr>
        <w:tc>
          <w:tcPr>
            <w:tcW w:type="dxa" w:w="17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External Auditors / Certification Body</w:t>
            </w:r>
          </w:p>
        </w:tc>
        <w:tc>
          <w:tcPr>
            <w:tcW w:type="dxa" w:w="9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External</w:t>
            </w:r>
          </w:p>
        </w:tc>
        <w:tc>
          <w:tcPr>
            <w:tcW w:type="dxa" w:w="3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Documented ISMS conforming to ISO 27001:2022; evidence of continual improvement; complete and accurate Statement of Applicability; internal audit trail.</w:t>
            </w:r>
          </w:p>
        </w:tc>
        <w:tc>
          <w:tcPr>
            <w:tcW w:type="dxa" w:w="28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Full ISMS documentation framework, internal audit programme, management review records, corrective action log.</w:t>
            </w:r>
          </w:p>
        </w:tc>
        <w:tc>
          <w:tcPr>
            <w:tcW w:type="dxa" w:w="800"/>
            <w:tcBorders>
              <w:top w:val="single" w:color="CCCCCC" w:sz="1"/>
              <w:left w:val="single" w:color="CCCCCC" w:sz="1"/>
              <w:bottom w:val="single" w:color="CCCCCC" w:sz="1"/>
              <w:right w:val="single" w:color="CCCCCC" w:sz="1"/>
            </w:tcBorders>
            <w:shd w:fill="C00000"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High</w:t>
            </w:r>
          </w:p>
        </w:tc>
      </w:tr>
      <w:tr>
        <w:tc>
          <w:tcPr>
            <w:tcW w:type="dxa" w:w="17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Insurers (Cyber Liability)</w:t>
            </w:r>
          </w:p>
        </w:tc>
        <w:tc>
          <w:tcPr>
            <w:tcW w:type="dxa" w:w="9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External</w:t>
            </w:r>
          </w:p>
        </w:tc>
        <w:tc>
          <w:tcPr>
            <w:tcW w:type="dxa" w:w="3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Evidence of minimum security hygiene; MFA enforcement; incident response capability; backup and recovery controls; compliance with policy conditions.</w:t>
            </w:r>
          </w:p>
        </w:tc>
        <w:tc>
          <w:tcPr>
            <w:tcW w:type="dxa" w:w="28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MFA policy, backup controls, incident response plan, vulnerability management, asset inventory.</w:t>
            </w:r>
          </w:p>
        </w:tc>
        <w:tc>
          <w:tcPr>
            <w:tcW w:type="dxa" w:w="800"/>
            <w:tcBorders>
              <w:top w:val="single" w:color="CCCCCC" w:sz="1"/>
              <w:left w:val="single" w:color="CCCCCC" w:sz="1"/>
              <w:bottom w:val="single" w:color="CCCCCC" w:sz="1"/>
              <w:right w:val="single" w:color="CCCCCC" w:sz="1"/>
            </w:tcBorders>
            <w:shd w:fill="ED7D31"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Medium</w:t>
            </w:r>
          </w:p>
        </w:tc>
      </w:tr>
      <w:tr>
        <w:tc>
          <w:tcPr>
            <w:tcW w:type="dxa" w:w="17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Subcontractors and Supply Chain Partners</w:t>
            </w:r>
          </w:p>
        </w:tc>
        <w:tc>
          <w:tcPr>
            <w:tcW w:type="dxa" w:w="9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External</w:t>
            </w:r>
          </w:p>
        </w:tc>
        <w:tc>
          <w:tcPr>
            <w:tcW w:type="dxa" w:w="3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Clear security expectations and contractual obligations; access limited to minimum necessary; timely notification of incidents affecting shared environments.</w:t>
            </w:r>
          </w:p>
        </w:tc>
        <w:tc>
          <w:tcPr>
            <w:tcW w:type="dxa" w:w="28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Supplier security policy, contractual security clauses, third-party access controls, incident notification obligations.</w:t>
            </w:r>
          </w:p>
        </w:tc>
        <w:tc>
          <w:tcPr>
            <w:tcW w:type="dxa" w:w="800"/>
            <w:tcBorders>
              <w:top w:val="single" w:color="CCCCCC" w:sz="1"/>
              <w:left w:val="single" w:color="CCCCCC" w:sz="1"/>
              <w:bottom w:val="single" w:color="CCCCCC" w:sz="1"/>
              <w:right w:val="single" w:color="CCCCCC" w:sz="1"/>
            </w:tcBorders>
            <w:shd w:fill="ED7D31"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Medium</w:t>
            </w:r>
          </w:p>
        </w:tc>
      </w:tr>
    </w:tbl>
    <w:p>
      <w:pPr>
        <w:spacing w:after="120" w:before="120"/>
      </w:pPr>
    </w:p>
    <w:p>
      <w:r>
        <w:br w:type="page"/>
      </w:r>
    </w:p>
    <w:p>
      <w:pPr>
        <w:pStyle w:val="Heading1"/>
        <w:pBdr>
          <w:bottom w:val="single" w:color="2E75B6" w:sz="8" w:space="4"/>
        </w:pBdr>
        <w:spacing w:after="120" w:before="360"/>
      </w:pPr>
      <w:r>
        <w:rPr>
          <w:rFonts w:ascii="Arial" w:cs="Arial" w:eastAsia="Arial" w:hAnsi="Arial"/>
          <w:b/>
          <w:bCs/>
          <w:color w:val="1F3864"/>
          <w:sz w:val="34"/>
          <w:szCs w:val="34"/>
        </w:rPr>
        <w:t xml:space="preserve">5. Clause 4.3 — Determining the Scope of the ISMS</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1400"/>
        <w:gridCol w:w="7860"/>
      </w:tblGrid>
      <w:tr>
        <w:tc>
          <w:tcPr>
            <w:tcW w:type="dxa" w:w="1400"/>
            <w:tcBorders>
              <w:top w:val="single" w:color="CCCCCC" w:sz="1"/>
              <w:left w:val="single" w:color="CCCCCC" w:sz="1"/>
              <w:bottom w:val="single" w:color="CCCCCC" w:sz="1"/>
              <w:right w:val="single" w:color="CCCCCC" w:sz="1"/>
            </w:tcBorders>
            <w:shd w:fill="1F3864" w:val="clear"/>
            <w:tcMar>
              <w:top w:type="dxa" w:w="120"/>
              <w:left w:type="dxa" w:w="160"/>
              <w:bottom w:type="dxa" w:w="120"/>
              <w:right w:type="dxa" w:w="160"/>
            </w:tcMar>
            <w:vAlign w:val="center"/>
          </w:tcPr>
          <w:p>
            <w:pPr>
              <w:jc w:val="center"/>
            </w:pPr>
            <w:r>
              <w:rPr>
                <w:rFonts w:ascii="Arial" w:cs="Arial" w:eastAsia="Arial" w:hAnsi="Arial"/>
                <w:b/>
                <w:bCs/>
                <w:color w:val="FFFFFF"/>
                <w:sz w:val="18"/>
                <w:szCs w:val="18"/>
              </w:rPr>
              <w:t xml:space="preserve">4.3</w:t>
            </w:r>
          </w:p>
          <w:p>
            <w:pPr>
              <w:jc w:val="center"/>
            </w:pPr>
            <w:r>
              <w:rPr>
                <w:rFonts w:ascii="Arial" w:cs="Arial" w:eastAsia="Arial" w:hAnsi="Arial"/>
                <w:color w:val="D6E4F0"/>
                <w:sz w:val="14"/>
                <w:szCs w:val="14"/>
              </w:rPr>
              <w:t xml:space="preserve">Scope</w:t>
            </w:r>
          </w:p>
        </w:tc>
        <w:tc>
          <w:tcPr>
            <w:tcW w:type="dxa" w:w="7860"/>
            <w:tcBorders>
              <w:top w:val="single" w:color="CCCCCC" w:sz="1"/>
              <w:left w:val="single" w:color="CCCCCC" w:sz="1"/>
              <w:bottom w:val="single" w:color="CCCCCC" w:sz="1"/>
              <w:right w:val="single" w:color="CCCCCC" w:sz="1"/>
            </w:tcBorders>
            <w:shd w:fill="D6E4F0" w:val="clear"/>
            <w:tcMar>
              <w:top w:type="dxa" w:w="120"/>
              <w:left w:type="dxa" w:w="160"/>
              <w:bottom w:type="dxa" w:w="120"/>
              <w:right w:type="dxa" w:w="160"/>
            </w:tcMar>
          </w:tcPr>
          <w:p>
            <w:r>
              <w:rPr>
                <w:rFonts w:ascii="Arial" w:cs="Arial" w:eastAsia="Arial" w:hAnsi="Arial"/>
                <w:color w:val="1F3864"/>
                <w:sz w:val="18"/>
                <w:szCs w:val="18"/>
              </w:rPr>
              <w:t xml:space="preserve">The organisation shall determine the boundaries and applicability of the ISMS. When determining scope, the organisation shall consider: (a) external and internal issues (4.1); (b) requirements of interested parties (4.2); (c) interfaces and dependencies with other organisations. The scope shall be available as documented information.</w:t>
            </w:r>
          </w:p>
        </w:tc>
      </w:tr>
    </w:tbl>
    <w:p>
      <w:pPr>
        <w:spacing w:after="120" w:before="120"/>
      </w:pPr>
    </w:p>
    <w:p>
      <w:pPr>
        <w:pStyle w:val="Heading2"/>
        <w:spacing w:after="80" w:before="240"/>
      </w:pPr>
      <w:r>
        <w:rPr>
          <w:rFonts w:ascii="Arial" w:cs="Arial" w:eastAsia="Arial" w:hAnsi="Arial"/>
          <w:b/>
          <w:bCs/>
          <w:color w:val="2E75B6"/>
          <w:sz w:val="26"/>
          <w:szCs w:val="26"/>
        </w:rPr>
        <w:t xml:space="preserve">5.1 Scope Statement</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9260"/>
      </w:tblGrid>
      <w:tr>
        <w:tc>
          <w:tcPr>
            <w:tcBorders>
              <w:top w:val="single" w:color="CCCCCC" w:sz="1"/>
              <w:left w:val="single" w:color="CCCCCC" w:sz="1"/>
              <w:bottom w:val="single" w:color="CCCCCC" w:sz="1"/>
              <w:right w:val="single" w:color="CCCCCC" w:sz="1"/>
            </w:tcBorders>
            <w:shd w:fill="1F3864" w:val="clear"/>
            <w:tcMar>
              <w:top w:type="dxa" w:w="120"/>
              <w:left w:type="dxa" w:w="200"/>
              <w:bottom w:type="dxa" w:w="120"/>
              <w:right w:type="dxa" w:w="200"/>
            </w:tcMar>
          </w:tcPr>
          <w:p>
            <w:pPr>
              <w:jc w:val="center"/>
            </w:pPr>
            <w:r>
              <w:rPr>
                <w:rFonts w:ascii="Arial" w:cs="Arial" w:eastAsia="Arial" w:hAnsi="Arial"/>
                <w:b/>
                <w:bCs/>
                <w:color w:val="FFFFFF"/>
                <w:sz w:val="20"/>
                <w:szCs w:val="20"/>
              </w:rPr>
              <w:t xml:space="preserve">FORMAL ISMS SCOPE STATEMENT</w:t>
            </w:r>
          </w:p>
        </w:tc>
      </w:tr>
      <w:tr>
        <w:tc>
          <w:tcPr>
            <w:tcBorders>
              <w:top w:val="single" w:color="CCCCCC" w:sz="1"/>
              <w:left w:val="single" w:color="CCCCCC" w:sz="1"/>
              <w:bottom w:val="single" w:color="CCCCCC" w:sz="1"/>
              <w:right w:val="single" w:color="CCCCCC" w:sz="1"/>
            </w:tcBorders>
            <w:shd w:fill="D6E4F0" w:val="clear"/>
            <w:tcMar>
              <w:top w:type="dxa" w:w="160"/>
              <w:left w:type="dxa" w:w="200"/>
              <w:bottom w:type="dxa" w:w="160"/>
              <w:right w:type="dxa" w:w="200"/>
            </w:tcMar>
          </w:tcPr>
          <w:p>
            <w:pPr>
              <w:spacing w:after="80" w:before="80"/>
            </w:pPr>
            <w:r>
              <w:rPr>
                <w:rFonts w:ascii="Arial" w:cs="Arial" w:eastAsia="Arial" w:hAnsi="Arial"/>
                <w:color w:val="1F3864"/>
                <w:sz w:val="22"/>
                <w:szCs w:val="22"/>
              </w:rPr>
              <w:t xml:space="preserve">The ISMS of </w:t>
            </w:r>
            <w:r>
              <w:rPr>
                <w:rFonts w:ascii="Arial" w:cs="Arial" w:eastAsia="Arial" w:hAnsi="Arial"/>
                <w:b/>
                <w:bCs/>
                <w:color w:val="1F3864"/>
                <w:sz w:val="22"/>
                <w:szCs w:val="22"/>
              </w:rPr>
              <w:t xml:space="preserve">Apex Managed Services Ltd</w:t>
            </w:r>
            <w:r>
              <w:rPr>
                <w:rFonts w:ascii="Arial" w:cs="Arial" w:eastAsia="Arial" w:hAnsi="Arial"/>
                <w:color w:val="1F3864"/>
                <w:sz w:val="22"/>
                <w:szCs w:val="22"/>
              </w:rPr>
              <w:t xml:space="preserve"> encompasses the </w:t>
            </w:r>
            <w:r>
              <w:rPr>
                <w:rFonts w:ascii="Arial" w:cs="Arial" w:eastAsia="Arial" w:hAnsi="Arial"/>
                <w:b/>
                <w:bCs/>
                <w:color w:val="1F3864"/>
                <w:sz w:val="22"/>
                <w:szCs w:val="22"/>
              </w:rPr>
              <w:t xml:space="preserve">provision of IT managed services, cyber security advisory, and infrastructure support</w:t>
            </w:r>
            <w:r>
              <w:rPr>
                <w:rFonts w:ascii="Arial" w:cs="Arial" w:eastAsia="Arial" w:hAnsi="Arial"/>
                <w:color w:val="1F3864"/>
                <w:sz w:val="22"/>
                <w:szCs w:val="22"/>
              </w:rPr>
              <w:t xml:space="preserve">, delivered by all personnel (employees and contractors) operating from </w:t>
            </w:r>
            <w:r>
              <w:rPr>
                <w:rFonts w:ascii="Arial" w:cs="Arial" w:eastAsia="Arial" w:hAnsi="Arial"/>
                <w:b/>
                <w:bCs/>
                <w:color w:val="1F3864"/>
                <w:sz w:val="22"/>
                <w:szCs w:val="22"/>
              </w:rPr>
              <w:t xml:space="preserve">remote UK-based working environments and client sites across the United Kingdom and European Union</w:t>
            </w:r>
            <w:r>
              <w:rPr>
                <w:rFonts w:ascii="Arial" w:cs="Arial" w:eastAsia="Arial" w:hAnsi="Arial"/>
                <w:color w:val="1F3864"/>
                <w:sz w:val="22"/>
                <w:szCs w:val="22"/>
              </w:rPr>
              <w:t xml:space="preserve">, utilising </w:t>
            </w:r>
            <w:r>
              <w:rPr>
                <w:rFonts w:ascii="Arial" w:cs="Arial" w:eastAsia="Arial" w:hAnsi="Arial"/>
                <w:b/>
                <w:bCs/>
                <w:color w:val="1F3864"/>
                <w:sz w:val="22"/>
                <w:szCs w:val="22"/>
              </w:rPr>
              <w:t xml:space="preserve">cloud-hosted infrastructure and SaaS platforms</w:t>
            </w:r>
            <w:r>
              <w:rPr>
                <w:rFonts w:ascii="Arial" w:cs="Arial" w:eastAsia="Arial" w:hAnsi="Arial"/>
                <w:color w:val="1F3864"/>
                <w:sz w:val="22"/>
                <w:szCs w:val="22"/>
              </w:rPr>
              <w:t xml:space="preserve"> including Microsoft Azure, Microsoft 365, Microsoft Defender, Microsoft Sentinel, and Entra ID.</w:t>
            </w:r>
          </w:p>
          <w:p>
            <w:pPr>
              <w:spacing w:after="80" w:before="80"/>
            </w:pPr>
          </w:p>
          <w:p>
            <w:pPr>
              <w:spacing w:after="80" w:before="80"/>
            </w:pPr>
            <w:r>
              <w:rPr>
                <w:rFonts w:ascii="Arial" w:cs="Arial" w:eastAsia="Arial" w:hAnsi="Arial"/>
                <w:color w:val="555555"/>
                <w:sz w:val="22"/>
                <w:szCs w:val="22"/>
              </w:rPr>
              <w:t xml:space="preserve">Client-owned and client-operated infrastructure not subject to a formal managed service agreement with the organisation is excluded from the scope of the ISMS.</w:t>
            </w:r>
          </w:p>
        </w:tc>
      </w:tr>
    </w:tbl>
    <w:p>
      <w:pPr>
        <w:spacing w:after="120" w:before="120"/>
      </w:pPr>
    </w:p>
    <w:p>
      <w:pPr>
        <w:pStyle w:val="Heading2"/>
        <w:spacing w:after="80" w:before="240"/>
      </w:pPr>
      <w:r>
        <w:rPr>
          <w:rFonts w:ascii="Arial" w:cs="Arial" w:eastAsia="Arial" w:hAnsi="Arial"/>
          <w:b/>
          <w:bCs/>
          <w:color w:val="2E75B6"/>
          <w:sz w:val="26"/>
          <w:szCs w:val="26"/>
        </w:rPr>
        <w:t xml:space="preserve">5.2 Scope Boundary and Applicability</w:t>
      </w:r>
    </w:p>
    <w:p>
      <w:pPr>
        <w:spacing w:after="80" w:before="80"/>
        <w:jc w:val="left"/>
      </w:pPr>
      <w:r>
        <w:rPr>
          <w:rFonts w:ascii="Arial" w:cs="Arial" w:eastAsia="Arial" w:hAnsi="Arial"/>
          <w:b w:val="false"/>
          <w:bCs w:val="false"/>
          <w:color w:val="000000"/>
          <w:sz w:val="20"/>
          <w:szCs w:val="20"/>
        </w:rPr>
        <w:t xml:space="preserve">The following table defines the dimensions of scope and confirms inclusion or exclusion, informed by the external and internal issues identified in Clause 4.1 and the requirements of interested parties identified in Clause 4.2:</w:t>
      </w:r>
    </w:p>
    <w:p>
      <w:pPr>
        <w:spacing w:after="60" w:before="60"/>
      </w:pP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2200"/>
        <w:gridCol w:w="5260"/>
        <w:gridCol w:w="1800"/>
      </w:tblGrid>
      <w:tr>
        <w:trPr>
          <w:tblHeader/>
        </w:trPr>
        <w:tc>
          <w:tcPr>
            <w:tcW w:type="dxa" w:w="22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Dimension</w:t>
            </w:r>
          </w:p>
        </w:tc>
        <w:tc>
          <w:tcPr>
            <w:tcW w:type="dxa" w:w="526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Detail</w:t>
            </w:r>
          </w:p>
        </w:tc>
        <w:tc>
          <w:tcPr>
            <w:tcW w:type="dxa" w:w="18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Included / Excluded</w:t>
            </w:r>
          </w:p>
        </w:tc>
      </w:tr>
      <w:tr>
        <w:tc>
          <w:tcPr>
            <w:tcW w:type="dxa" w:w="22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Primary Activities</w:t>
            </w:r>
          </w:p>
        </w:tc>
        <w:tc>
          <w:tcPr>
            <w:tcW w:type="dxa" w:w="52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Provision of IT managed services, cyber security advisory, infrastructure support, and security operations to UK and EU-based clients.</w:t>
            </w:r>
          </w:p>
        </w:tc>
        <w:tc>
          <w:tcPr>
            <w:tcW w:type="dxa" w:w="18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Included</w:t>
            </w:r>
          </w:p>
        </w:tc>
      </w:tr>
      <w:tr>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Geographic Locations</w:t>
            </w:r>
          </w:p>
        </w:tc>
        <w:tc>
          <w:tcPr>
            <w:tcW w:type="dxa" w:w="52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All locations from which services are delivered: remote home-working environments (UK), any client site access (UK and EU), and cloud service delivery infrastructure.</w:t>
            </w:r>
          </w:p>
        </w:tc>
        <w:tc>
          <w:tcPr>
            <w:tcW w:type="dxa" w:w="1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Included</w:t>
            </w:r>
          </w:p>
        </w:tc>
      </w:tr>
      <w:tr>
        <w:tc>
          <w:tcPr>
            <w:tcW w:type="dxa" w:w="22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Personnel</w:t>
            </w:r>
          </w:p>
        </w:tc>
        <w:tc>
          <w:tcPr>
            <w:tcW w:type="dxa" w:w="52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All employees, contractors, and third parties with access to information assets or systems within scope, including remote workers.</w:t>
            </w:r>
          </w:p>
        </w:tc>
        <w:tc>
          <w:tcPr>
            <w:tcW w:type="dxa" w:w="18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Included</w:t>
            </w:r>
          </w:p>
        </w:tc>
      </w:tr>
      <w:tr>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Information Assets</w:t>
            </w:r>
          </w:p>
        </w:tc>
        <w:tc>
          <w:tcPr>
            <w:tcW w:type="dxa" w:w="52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All information assets used in the delivery of managed services: client data, service credentials, configuration data, internal documentation, and communication records.</w:t>
            </w:r>
          </w:p>
        </w:tc>
        <w:tc>
          <w:tcPr>
            <w:tcW w:type="dxa" w:w="1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Included</w:t>
            </w:r>
          </w:p>
        </w:tc>
      </w:tr>
      <w:tr>
        <w:tc>
          <w:tcPr>
            <w:tcW w:type="dxa" w:w="22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Technology Assets</w:t>
            </w:r>
          </w:p>
        </w:tc>
        <w:tc>
          <w:tcPr>
            <w:tcW w:type="dxa" w:w="52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Endpoint devices, cloud infrastructure, SaaS platforms (including M365, Microsoft Defender, Sentinel, Entra ID), network infrastructure, and privileged access tooling.</w:t>
            </w:r>
          </w:p>
        </w:tc>
        <w:tc>
          <w:tcPr>
            <w:tcW w:type="dxa" w:w="18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Included</w:t>
            </w:r>
          </w:p>
        </w:tc>
      </w:tr>
      <w:tr>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IT and Managed Services Delivery</w:t>
            </w:r>
          </w:p>
        </w:tc>
        <w:tc>
          <w:tcPr>
            <w:tcW w:type="dxa" w:w="52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Core managed service delivery functions including security monitoring, infrastructure management, incident response, and advisory services.</w:t>
            </w:r>
          </w:p>
        </w:tc>
        <w:tc>
          <w:tcPr>
            <w:tcW w:type="dxa" w:w="1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Included</w:t>
            </w:r>
          </w:p>
        </w:tc>
      </w:tr>
      <w:tr>
        <w:tc>
          <w:tcPr>
            <w:tcW w:type="dxa" w:w="22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Internal Corporate Functions</w:t>
            </w:r>
          </w:p>
        </w:tc>
        <w:tc>
          <w:tcPr>
            <w:tcW w:type="dxa" w:w="52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Finance, HR, procurement, and legal functions that interact with in-scope information assets or support service delivery.</w:t>
            </w:r>
          </w:p>
        </w:tc>
        <w:tc>
          <w:tcPr>
            <w:tcW w:type="dxa" w:w="18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Included</w:t>
            </w:r>
          </w:p>
        </w:tc>
      </w:tr>
      <w:tr>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Third-Party Hosted Systems</w:t>
            </w:r>
          </w:p>
        </w:tc>
        <w:tc>
          <w:tcPr>
            <w:tcW w:type="dxa" w:w="52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Cloud services (Azure, M365) and SaaS platforms operated by third-party providers under shared responsibility models.</w:t>
            </w:r>
          </w:p>
        </w:tc>
        <w:tc>
          <w:tcPr>
            <w:tcW w:type="dxa" w:w="1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Included</w:t>
            </w:r>
          </w:p>
        </w:tc>
      </w:tr>
      <w:tr>
        <w:tc>
          <w:tcPr>
            <w:tcW w:type="dxa" w:w="22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Client-Owned Infrastructure</w:t>
            </w:r>
          </w:p>
        </w:tc>
        <w:tc>
          <w:tcPr>
            <w:tcW w:type="dxa" w:w="52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Systems, networks, and applications owned and operated by clients and not managed under a formal service agreement with the organisation.</w:t>
            </w:r>
          </w:p>
        </w:tc>
        <w:tc>
          <w:tcPr>
            <w:tcW w:type="dxa" w:w="18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C00000"/>
                <w:sz w:val="18"/>
                <w:szCs w:val="18"/>
              </w:rPr>
              <w:t xml:space="preserve">Excluded</w:t>
            </w:r>
          </w:p>
        </w:tc>
      </w:tr>
      <w:tr>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Personal Devices (BYOD)</w:t>
            </w:r>
          </w:p>
        </w:tc>
        <w:tc>
          <w:tcPr>
            <w:tcW w:type="dxa" w:w="52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Personal devices not enrolled under the organisation's device management policy and not used for business purposes.</w:t>
            </w:r>
          </w:p>
        </w:tc>
        <w:tc>
          <w:tcPr>
            <w:tcW w:type="dxa" w:w="1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C00000"/>
                <w:sz w:val="18"/>
                <w:szCs w:val="18"/>
              </w:rPr>
              <w:t xml:space="preserve">Excluded</w:t>
            </w:r>
          </w:p>
        </w:tc>
      </w:tr>
      <w:tr>
        <w:tc>
          <w:tcPr>
            <w:tcW w:type="dxa" w:w="22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Non-Business Activities</w:t>
            </w:r>
          </w:p>
        </w:tc>
        <w:tc>
          <w:tcPr>
            <w:tcW w:type="dxa" w:w="52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Personal use of organisational credentials or systems for activities unrelated to the provision of services.</w:t>
            </w:r>
          </w:p>
        </w:tc>
        <w:tc>
          <w:tcPr>
            <w:tcW w:type="dxa" w:w="18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C00000"/>
                <w:sz w:val="18"/>
                <w:szCs w:val="18"/>
              </w:rPr>
              <w:t xml:space="preserve">Excluded</w:t>
            </w:r>
          </w:p>
        </w:tc>
      </w:tr>
    </w:tbl>
    <w:p>
      <w:pPr>
        <w:spacing w:after="120" w:before="120"/>
      </w:pPr>
    </w:p>
    <w:p>
      <w:pPr>
        <w:pStyle w:val="Heading2"/>
        <w:spacing w:after="80" w:before="240"/>
      </w:pPr>
      <w:r>
        <w:rPr>
          <w:rFonts w:ascii="Arial" w:cs="Arial" w:eastAsia="Arial" w:hAnsi="Arial"/>
          <w:b/>
          <w:bCs/>
          <w:color w:val="2E75B6"/>
          <w:sz w:val="26"/>
          <w:szCs w:val="26"/>
        </w:rPr>
        <w:t xml:space="preserve">5.3 Interfaces and Dependencies with Other Organisations</w:t>
      </w:r>
    </w:p>
    <w:p>
      <w:pPr>
        <w:spacing w:after="80" w:before="80"/>
        <w:jc w:val="left"/>
      </w:pPr>
      <w:r>
        <w:rPr>
          <w:rFonts w:ascii="Arial" w:cs="Arial" w:eastAsia="Arial" w:hAnsi="Arial"/>
          <w:b w:val="false"/>
          <w:bCs w:val="false"/>
          <w:color w:val="000000"/>
          <w:sz w:val="20"/>
          <w:szCs w:val="20"/>
        </w:rPr>
        <w:t xml:space="preserve">In accordance with ISO 27001:2022 Clause 4.3(c), the following interfaces and dependencies between the organisation and external parties have been identified and considered in the determination of ISMS scope:</w:t>
      </w:r>
    </w:p>
    <w:p>
      <w:pPr>
        <w:spacing w:after="60" w:before="60"/>
      </w:pP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2600"/>
        <w:gridCol w:w="4660"/>
        <w:gridCol w:w="2000"/>
      </w:tblGrid>
      <w:tr>
        <w:trPr>
          <w:tblHeader/>
        </w:trPr>
        <w:tc>
          <w:tcPr>
            <w:tcW w:type="dxa" w:w="26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External Organisation</w:t>
            </w:r>
          </w:p>
        </w:tc>
        <w:tc>
          <w:tcPr>
            <w:tcW w:type="dxa" w:w="466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Interface / Dependency</w:t>
            </w:r>
          </w:p>
        </w:tc>
        <w:tc>
          <w:tcPr>
            <w:tcW w:type="dxa" w:w="20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Boundary Treatment</w:t>
            </w:r>
          </w:p>
        </w:tc>
      </w:tr>
      <w:tr>
        <w:tc>
          <w:tcPr>
            <w:tcW w:type="dxa" w:w="26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Microsoft (Azure / M365 / Defender)</w:t>
            </w:r>
          </w:p>
        </w:tc>
        <w:tc>
          <w:tcPr>
            <w:tcW w:type="dxa" w:w="46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Primary cloud platform and security tooling provider; shared responsibility model applies for platform security.</w:t>
            </w:r>
          </w:p>
        </w:tc>
        <w:tc>
          <w:tcPr>
            <w:tcW w:type="dxa" w:w="2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Vendor risk assessment; supplier clauses in ISMS-SUP-001</w:t>
            </w:r>
          </w:p>
        </w:tc>
      </w:tr>
      <w:tr>
        <w:tc>
          <w:tcPr>
            <w:tcW w:type="dxa" w:w="26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Clients (UK &amp; EU)</w:t>
            </w:r>
          </w:p>
        </w:tc>
        <w:tc>
          <w:tcPr>
            <w:tcW w:type="dxa" w:w="46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Organisation holds privileged access to client environments under managed service agreements; client data processed on behalf of clients.</w:t>
            </w:r>
          </w:p>
        </w:tc>
        <w:tc>
          <w:tcPr>
            <w:tcW w:type="dxa" w:w="2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Contractual DPA; access control policy; data classification</w:t>
            </w:r>
          </w:p>
        </w:tc>
      </w:tr>
      <w:tr>
        <w:tc>
          <w:tcPr>
            <w:tcW w:type="dxa" w:w="26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Certification Body</w:t>
            </w:r>
          </w:p>
        </w:tc>
        <w:tc>
          <w:tcPr>
            <w:tcW w:type="dxa" w:w="46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External auditor conducting ISO 27001:2022 surveillance and recertification audits; requires access to ISMS documentation and evidence.</w:t>
            </w:r>
          </w:p>
        </w:tc>
        <w:tc>
          <w:tcPr>
            <w:tcW w:type="dxa" w:w="2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Auditor access scoped to ISMS evidence; NDA in place</w:t>
            </w:r>
          </w:p>
        </w:tc>
      </w:tr>
      <w:tr>
        <w:tc>
          <w:tcPr>
            <w:tcW w:type="dxa" w:w="26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Subcontractors</w:t>
            </w:r>
          </w:p>
        </w:tc>
        <w:tc>
          <w:tcPr>
            <w:tcW w:type="dxa" w:w="46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Specialist subcontractors may be engaged for specific technical delivery; may interact with in-scope systems under supervision.</w:t>
            </w:r>
          </w:p>
        </w:tc>
        <w:tc>
          <w:tcPr>
            <w:tcW w:type="dxa" w:w="2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Supplier policy; access provisioning controls; contractual obligations</w:t>
            </w:r>
          </w:p>
        </w:tc>
      </w:tr>
      <w:tr>
        <w:tc>
          <w:tcPr>
            <w:tcW w:type="dxa" w:w="26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ICO (Regulatory)</w:t>
            </w:r>
          </w:p>
        </w:tc>
        <w:tc>
          <w:tcPr>
            <w:tcW w:type="dxa" w:w="46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Data protection supervisory authority; organisation is subject to UK GDPR obligations and may be required to notify the ICO of personal data breaches.</w:t>
            </w:r>
          </w:p>
        </w:tc>
        <w:tc>
          <w:tcPr>
            <w:tcW w:type="dxa" w:w="2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Breach notification procedure; compliance monitoring</w:t>
            </w:r>
          </w:p>
        </w:tc>
      </w:tr>
    </w:tbl>
    <w:p>
      <w:pPr>
        <w:spacing w:after="120" w:before="120"/>
      </w:pPr>
    </w:p>
    <w:p>
      <w:r>
        <w:br w:type="page"/>
      </w:r>
    </w:p>
    <w:p>
      <w:pPr>
        <w:pStyle w:val="Heading1"/>
        <w:pBdr>
          <w:bottom w:val="single" w:color="2E75B6" w:sz="8" w:space="4"/>
        </w:pBdr>
        <w:spacing w:after="120" w:before="360"/>
      </w:pPr>
      <w:r>
        <w:rPr>
          <w:rFonts w:ascii="Arial" w:cs="Arial" w:eastAsia="Arial" w:hAnsi="Arial"/>
          <w:b/>
          <w:bCs/>
          <w:color w:val="1F3864"/>
          <w:sz w:val="34"/>
          <w:szCs w:val="34"/>
        </w:rPr>
        <w:t xml:space="preserve">6. Clause 4.4 — Information Security Management System</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1400"/>
        <w:gridCol w:w="7860"/>
      </w:tblGrid>
      <w:tr>
        <w:tc>
          <w:tcPr>
            <w:tcW w:type="dxa" w:w="1400"/>
            <w:tcBorders>
              <w:top w:val="single" w:color="CCCCCC" w:sz="1"/>
              <w:left w:val="single" w:color="CCCCCC" w:sz="1"/>
              <w:bottom w:val="single" w:color="CCCCCC" w:sz="1"/>
              <w:right w:val="single" w:color="CCCCCC" w:sz="1"/>
            </w:tcBorders>
            <w:shd w:fill="1F3864" w:val="clear"/>
            <w:tcMar>
              <w:top w:type="dxa" w:w="120"/>
              <w:left w:type="dxa" w:w="160"/>
              <w:bottom w:type="dxa" w:w="120"/>
              <w:right w:type="dxa" w:w="160"/>
            </w:tcMar>
            <w:vAlign w:val="center"/>
          </w:tcPr>
          <w:p>
            <w:pPr>
              <w:jc w:val="center"/>
            </w:pPr>
            <w:r>
              <w:rPr>
                <w:rFonts w:ascii="Arial" w:cs="Arial" w:eastAsia="Arial" w:hAnsi="Arial"/>
                <w:b/>
                <w:bCs/>
                <w:color w:val="FFFFFF"/>
                <w:sz w:val="18"/>
                <w:szCs w:val="18"/>
              </w:rPr>
              <w:t xml:space="preserve">4.4</w:t>
            </w:r>
          </w:p>
          <w:p>
            <w:pPr>
              <w:jc w:val="center"/>
            </w:pPr>
            <w:r>
              <w:rPr>
                <w:rFonts w:ascii="Arial" w:cs="Arial" w:eastAsia="Arial" w:hAnsi="Arial"/>
                <w:color w:val="D6E4F0"/>
                <w:sz w:val="14"/>
                <w:szCs w:val="14"/>
              </w:rPr>
              <w:t xml:space="preserve">ISMS Establishment</w:t>
            </w:r>
          </w:p>
        </w:tc>
        <w:tc>
          <w:tcPr>
            <w:tcW w:type="dxa" w:w="7860"/>
            <w:tcBorders>
              <w:top w:val="single" w:color="CCCCCC" w:sz="1"/>
              <w:left w:val="single" w:color="CCCCCC" w:sz="1"/>
              <w:bottom w:val="single" w:color="CCCCCC" w:sz="1"/>
              <w:right w:val="single" w:color="CCCCCC" w:sz="1"/>
            </w:tcBorders>
            <w:shd w:fill="D6E4F0" w:val="clear"/>
            <w:tcMar>
              <w:top w:type="dxa" w:w="120"/>
              <w:left w:type="dxa" w:w="160"/>
              <w:bottom w:type="dxa" w:w="120"/>
              <w:right w:type="dxa" w:w="160"/>
            </w:tcMar>
          </w:tcPr>
          <w:p>
            <w:r>
              <w:rPr>
                <w:rFonts w:ascii="Arial" w:cs="Arial" w:eastAsia="Arial" w:hAnsi="Arial"/>
                <w:color w:val="1F3864"/>
                <w:sz w:val="18"/>
                <w:szCs w:val="18"/>
              </w:rPr>
              <w:t xml:space="preserve">The organisation shall establish, implement, maintain and continually improve an information security management system, including the processes needed and their interactions, in accordance with the requirements of this document.</w:t>
            </w:r>
          </w:p>
        </w:tc>
      </w:tr>
    </w:tbl>
    <w:p>
      <w:pPr>
        <w:spacing w:after="120" w:before="120"/>
      </w:pPr>
    </w:p>
    <w:p>
      <w:pPr>
        <w:pStyle w:val="Heading2"/>
        <w:spacing w:after="80" w:before="240"/>
      </w:pPr>
      <w:r>
        <w:rPr>
          <w:rFonts w:ascii="Arial" w:cs="Arial" w:eastAsia="Arial" w:hAnsi="Arial"/>
          <w:b/>
          <w:bCs/>
          <w:color w:val="2E75B6"/>
          <w:sz w:val="26"/>
          <w:szCs w:val="26"/>
        </w:rPr>
        <w:t xml:space="preserve">6.1 ISMS Establishment Statement</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9260"/>
      </w:tblGrid>
      <w:tr>
        <w:tc>
          <w:tcPr>
            <w:tcBorders>
              <w:top w:val="single" w:color="CCCCCC" w:sz="1"/>
              <w:left w:val="single" w:color="CCCCCC" w:sz="1"/>
              <w:bottom w:val="single" w:color="CCCCCC" w:sz="1"/>
              <w:right w:val="single" w:color="CCCCCC" w:sz="1"/>
            </w:tcBorders>
            <w:shd w:fill="1F3864" w:val="clear"/>
            <w:tcMar>
              <w:top w:type="dxa" w:w="100"/>
              <w:left w:type="dxa" w:w="200"/>
              <w:bottom w:type="dxa" w:w="100"/>
              <w:right w:type="dxa" w:w="200"/>
            </w:tcMar>
          </w:tcPr>
          <w:p>
            <w:pPr>
              <w:jc w:val="center"/>
            </w:pPr>
            <w:r>
              <w:rPr>
                <w:rFonts w:ascii="Arial" w:cs="Arial" w:eastAsia="Arial" w:hAnsi="Arial"/>
                <w:b/>
                <w:bCs/>
                <w:color w:val="FFFFFF"/>
                <w:sz w:val="20"/>
                <w:szCs w:val="20"/>
              </w:rPr>
              <w:t xml:space="preserve">ISMS ESTABLISHMENT STATEMENT</w:t>
            </w:r>
          </w:p>
        </w:tc>
      </w:tr>
      <w:tr>
        <w:tc>
          <w:tcPr>
            <w:tcBorders>
              <w:top w:val="single" w:color="CCCCCC" w:sz="1"/>
              <w:left w:val="single" w:color="CCCCCC" w:sz="1"/>
              <w:bottom w:val="single" w:color="CCCCCC" w:sz="1"/>
              <w:right w:val="single" w:color="CCCCCC" w:sz="1"/>
            </w:tcBorders>
            <w:shd w:fill="D6E4F0" w:val="clear"/>
            <w:tcMar>
              <w:top w:type="dxa" w:w="160"/>
              <w:left w:type="dxa" w:w="200"/>
              <w:bottom w:type="dxa" w:w="160"/>
              <w:right w:type="dxa" w:w="200"/>
            </w:tcMar>
          </w:tcPr>
          <w:p>
            <w:pPr>
              <w:spacing w:after="80" w:before="80"/>
            </w:pPr>
            <w:r>
              <w:rPr>
                <w:rFonts w:ascii="Arial" w:cs="Arial" w:eastAsia="Arial" w:hAnsi="Arial"/>
                <w:b/>
                <w:bCs/>
                <w:color w:val="1F3864"/>
                <w:sz w:val="22"/>
                <w:szCs w:val="22"/>
              </w:rPr>
              <w:t xml:space="preserve">Apex Managed Services Ltd</w:t>
            </w:r>
            <w:r>
              <w:rPr>
                <w:rFonts w:ascii="Arial" w:cs="Arial" w:eastAsia="Arial" w:hAnsi="Arial"/>
                <w:color w:val="1F3864"/>
                <w:sz w:val="22"/>
                <w:szCs w:val="22"/>
              </w:rPr>
              <w:t xml:space="preserve"> has established, and is in the process of implementing, an Information Security Management System (ISMS) in accordance with the requirements of </w:t>
            </w:r>
            <w:r>
              <w:rPr>
                <w:rFonts w:ascii="Arial" w:cs="Arial" w:eastAsia="Arial" w:hAnsi="Arial"/>
                <w:b/>
                <w:bCs/>
                <w:color w:val="1F3864"/>
                <w:sz w:val="22"/>
                <w:szCs w:val="22"/>
              </w:rPr>
              <w:t xml:space="preserve">ISO/IEC 27001:2022</w:t>
            </w:r>
            <w:r>
              <w:rPr>
                <w:rFonts w:ascii="Arial" w:cs="Arial" w:eastAsia="Arial" w:hAnsi="Arial"/>
                <w:color w:val="1F3864"/>
                <w:sz w:val="22"/>
                <w:szCs w:val="22"/>
              </w:rPr>
              <w:t xml:space="preserve">. The ISMS is designed to protect the confidentiality, integrity, and availability of information assets within the defined scope, and to achieve the organisation's information security objectives.</w:t>
            </w:r>
          </w:p>
          <w:p>
            <w:pPr>
              <w:spacing w:after="80" w:before="80"/>
            </w:pPr>
          </w:p>
          <w:p>
            <w:pPr>
              <w:spacing w:after="80" w:before="80"/>
            </w:pPr>
            <w:r>
              <w:rPr>
                <w:rFonts w:ascii="Arial" w:cs="Arial" w:eastAsia="Arial" w:hAnsi="Arial"/>
                <w:color w:val="1F3864"/>
                <w:sz w:val="22"/>
                <w:szCs w:val="22"/>
              </w:rPr>
              <w:t xml:space="preserve">The ISMS is formally endorsed by senior leadership and is subject to regular management review. The organisation commits to: (1) establishing measurable information security objectives; (2) providing resources necessary to operate and improve the ISMS; (3) conducting periodic risk assessments and implementing appropriate risk treatment; (4) operating an internal audit programme; and (5) pursuing continual improvement through corrective action and management review.</w:t>
            </w:r>
          </w:p>
        </w:tc>
      </w:tr>
    </w:tbl>
    <w:p>
      <w:pPr>
        <w:spacing w:after="120" w:before="120"/>
      </w:pPr>
    </w:p>
    <w:p>
      <w:pPr>
        <w:pStyle w:val="Heading2"/>
        <w:spacing w:after="80" w:before="240"/>
      </w:pPr>
      <w:r>
        <w:rPr>
          <w:rFonts w:ascii="Arial" w:cs="Arial" w:eastAsia="Arial" w:hAnsi="Arial"/>
          <w:b/>
          <w:bCs/>
          <w:color w:val="2E75B6"/>
          <w:sz w:val="26"/>
          <w:szCs w:val="26"/>
        </w:rPr>
        <w:t xml:space="preserve">6.2 ISMS Process Inventory</w:t>
      </w:r>
    </w:p>
    <w:p>
      <w:pPr>
        <w:spacing w:after="80" w:before="80"/>
        <w:jc w:val="left"/>
      </w:pPr>
      <w:r>
        <w:rPr>
          <w:rFonts w:ascii="Arial" w:cs="Arial" w:eastAsia="Arial" w:hAnsi="Arial"/>
          <w:b w:val="false"/>
          <w:bCs w:val="false"/>
          <w:color w:val="000000"/>
          <w:sz w:val="20"/>
          <w:szCs w:val="20"/>
        </w:rPr>
        <w:t xml:space="preserve">The following processes constitute the ISMS of Apex Managed Services Ltd. Each process is documented, assigned an owner, and reviewed in accordance with the ISMS documented information control procedure (ISMS-DIC-001). Process interactions are managed through the management review cycle and the internal audit programme.</w:t>
      </w:r>
    </w:p>
    <w:p>
      <w:pPr>
        <w:spacing w:after="60" w:before="60"/>
      </w:pP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2400"/>
        <w:gridCol w:w="1860"/>
      </w:tblGrid>
      <w:tr>
        <w:trPr>
          <w:tblHeader/>
        </w:trPr>
        <w:tc>
          <w:tcPr>
            <w:tcW w:type="dxa" w:w="20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ISMS Process / Control Area</w:t>
            </w:r>
          </w:p>
        </w:tc>
        <w:tc>
          <w:tcPr>
            <w:tcW w:type="dxa" w:w="30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Description</w:t>
            </w:r>
          </w:p>
        </w:tc>
        <w:tc>
          <w:tcPr>
            <w:tcW w:type="dxa" w:w="24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Document Reference</w:t>
            </w:r>
          </w:p>
        </w:tc>
        <w:tc>
          <w:tcPr>
            <w:tcW w:type="dxa" w:w="186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Clause</w:t>
            </w:r>
          </w:p>
        </w:tc>
      </w:tr>
      <w:tr>
        <w:tc>
          <w:tcPr>
            <w:tcW w:type="dxa" w:w="2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Context and Interested Parties</w:t>
            </w:r>
          </w:p>
        </w:tc>
        <w:tc>
          <w:tcPr>
            <w:tcW w:type="dxa" w:w="3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Understanding the organisation, its context, and the needs of interested parties (this document).</w:t>
            </w:r>
          </w:p>
        </w:tc>
        <w:tc>
          <w:tcPr>
            <w:tcW w:type="dxa" w:w="24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ISMS-CTX-001</w:t>
            </w:r>
          </w:p>
        </w:tc>
        <w:tc>
          <w:tcPr>
            <w:tcW w:type="dxa" w:w="18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2E75B6"/>
                <w:sz w:val="18"/>
                <w:szCs w:val="18"/>
              </w:rPr>
              <w:t xml:space="preserve">4.1, 4.2, 4.3, 4.4</w:t>
            </w:r>
          </w:p>
        </w:tc>
      </w:tr>
      <w:tr>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ISMS Scope</w:t>
            </w:r>
          </w:p>
        </w:tc>
        <w:tc>
          <w:tcPr>
            <w:tcW w:type="dxa" w:w="3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Formal scope statement defining boundaries and applicability.</w:t>
            </w:r>
          </w:p>
        </w:tc>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ISMS-SCO-001</w:t>
            </w:r>
          </w:p>
        </w:tc>
        <w:tc>
          <w:tcPr>
            <w:tcW w:type="dxa" w:w="18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2E75B6"/>
                <w:sz w:val="18"/>
                <w:szCs w:val="18"/>
              </w:rPr>
              <w:t xml:space="preserve">4.3</w:t>
            </w:r>
          </w:p>
        </w:tc>
      </w:tr>
      <w:tr>
        <w:tc>
          <w:tcPr>
            <w:tcW w:type="dxa" w:w="2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Information Security Policy</w:t>
            </w:r>
          </w:p>
        </w:tc>
        <w:tc>
          <w:tcPr>
            <w:tcW w:type="dxa" w:w="3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Top-level policy establishing management intent and ISMS principles.</w:t>
            </w:r>
          </w:p>
        </w:tc>
        <w:tc>
          <w:tcPr>
            <w:tcW w:type="dxa" w:w="24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ISMS-POL-001</w:t>
            </w:r>
          </w:p>
        </w:tc>
        <w:tc>
          <w:tcPr>
            <w:tcW w:type="dxa" w:w="18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2E75B6"/>
                <w:sz w:val="18"/>
                <w:szCs w:val="18"/>
              </w:rPr>
              <w:t xml:space="preserve">5.2</w:t>
            </w:r>
          </w:p>
        </w:tc>
      </w:tr>
      <w:tr>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Risk Assessment and Treatment</w:t>
            </w:r>
          </w:p>
        </w:tc>
        <w:tc>
          <w:tcPr>
            <w:tcW w:type="dxa" w:w="3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Systematic identification, analysis, and treatment of information security risks.</w:t>
            </w:r>
          </w:p>
        </w:tc>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ISMS-RA-001</w:t>
            </w:r>
          </w:p>
        </w:tc>
        <w:tc>
          <w:tcPr>
            <w:tcW w:type="dxa" w:w="18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2E75B6"/>
                <w:sz w:val="18"/>
                <w:szCs w:val="18"/>
              </w:rPr>
              <w:t xml:space="preserve">6.1.2, 6.1.3</w:t>
            </w:r>
          </w:p>
        </w:tc>
      </w:tr>
      <w:tr>
        <w:tc>
          <w:tcPr>
            <w:tcW w:type="dxa" w:w="2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Statement of Applicability</w:t>
            </w:r>
          </w:p>
        </w:tc>
        <w:tc>
          <w:tcPr>
            <w:tcW w:type="dxa" w:w="3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Mapping of Annex A controls to organisational risks; justification for inclusions and exclusions.</w:t>
            </w:r>
          </w:p>
        </w:tc>
        <w:tc>
          <w:tcPr>
            <w:tcW w:type="dxa" w:w="24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ISMS-SoA-001</w:t>
            </w:r>
          </w:p>
        </w:tc>
        <w:tc>
          <w:tcPr>
            <w:tcW w:type="dxa" w:w="18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2E75B6"/>
                <w:sz w:val="18"/>
                <w:szCs w:val="18"/>
              </w:rPr>
              <w:t xml:space="preserve">6.1.3(d)</w:t>
            </w:r>
          </w:p>
        </w:tc>
      </w:tr>
      <w:tr>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Security Objectives</w:t>
            </w:r>
          </w:p>
        </w:tc>
        <w:tc>
          <w:tcPr>
            <w:tcW w:type="dxa" w:w="3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Documented, measurable information security objectives aligned to risk treatment.</w:t>
            </w:r>
          </w:p>
        </w:tc>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ISMS-OBJ-001</w:t>
            </w:r>
          </w:p>
        </w:tc>
        <w:tc>
          <w:tcPr>
            <w:tcW w:type="dxa" w:w="18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2E75B6"/>
                <w:sz w:val="18"/>
                <w:szCs w:val="18"/>
              </w:rPr>
              <w:t xml:space="preserve">6.2</w:t>
            </w:r>
          </w:p>
        </w:tc>
      </w:tr>
      <w:tr>
        <w:tc>
          <w:tcPr>
            <w:tcW w:type="dxa" w:w="2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Competence and Awareness</w:t>
            </w:r>
          </w:p>
        </w:tc>
        <w:tc>
          <w:tcPr>
            <w:tcW w:type="dxa" w:w="3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Training records, competency assessments, and security awareness programme.</w:t>
            </w:r>
          </w:p>
        </w:tc>
        <w:tc>
          <w:tcPr>
            <w:tcW w:type="dxa" w:w="24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ISMS-HR-002</w:t>
            </w:r>
          </w:p>
        </w:tc>
        <w:tc>
          <w:tcPr>
            <w:tcW w:type="dxa" w:w="18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2E75B6"/>
                <w:sz w:val="18"/>
                <w:szCs w:val="18"/>
              </w:rPr>
              <w:t xml:space="preserve">7.2, 7.3</w:t>
            </w:r>
          </w:p>
        </w:tc>
      </w:tr>
      <w:tr>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Documented Information Control</w:t>
            </w:r>
          </w:p>
        </w:tc>
        <w:tc>
          <w:tcPr>
            <w:tcW w:type="dxa" w:w="3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Procedure for creating, reviewing, approving, and retiring ISMS documents.</w:t>
            </w:r>
          </w:p>
        </w:tc>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ISMS-DIC-001</w:t>
            </w:r>
          </w:p>
        </w:tc>
        <w:tc>
          <w:tcPr>
            <w:tcW w:type="dxa" w:w="18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2E75B6"/>
                <w:sz w:val="18"/>
                <w:szCs w:val="18"/>
              </w:rPr>
              <w:t xml:space="preserve">7.5</w:t>
            </w:r>
          </w:p>
        </w:tc>
      </w:tr>
      <w:tr>
        <w:tc>
          <w:tcPr>
            <w:tcW w:type="dxa" w:w="2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Operational Planning</w:t>
            </w:r>
          </w:p>
        </w:tc>
        <w:tc>
          <w:tcPr>
            <w:tcW w:type="dxa" w:w="3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Operational security procedures supporting managed service delivery.</w:t>
            </w:r>
          </w:p>
        </w:tc>
        <w:tc>
          <w:tcPr>
            <w:tcW w:type="dxa" w:w="24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ISMS-OPS-001</w:t>
            </w:r>
          </w:p>
        </w:tc>
        <w:tc>
          <w:tcPr>
            <w:tcW w:type="dxa" w:w="18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2E75B6"/>
                <w:sz w:val="18"/>
                <w:szCs w:val="18"/>
              </w:rPr>
              <w:t xml:space="preserve">8.1</w:t>
            </w:r>
          </w:p>
        </w:tc>
      </w:tr>
      <w:tr>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Internal Audit Programme</w:t>
            </w:r>
          </w:p>
        </w:tc>
        <w:tc>
          <w:tcPr>
            <w:tcW w:type="dxa" w:w="3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Annual internal audit plan covering all ISMS clauses and Annex A controls.</w:t>
            </w:r>
          </w:p>
        </w:tc>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ISMS-IAP-001</w:t>
            </w:r>
          </w:p>
        </w:tc>
        <w:tc>
          <w:tcPr>
            <w:tcW w:type="dxa" w:w="18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2E75B6"/>
                <w:sz w:val="18"/>
                <w:szCs w:val="18"/>
              </w:rPr>
              <w:t xml:space="preserve">9.2</w:t>
            </w:r>
          </w:p>
        </w:tc>
      </w:tr>
      <w:tr>
        <w:tc>
          <w:tcPr>
            <w:tcW w:type="dxa" w:w="2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Management Review</w:t>
            </w:r>
          </w:p>
        </w:tc>
        <w:tc>
          <w:tcPr>
            <w:tcW w:type="dxa" w:w="3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Scheduled review of ISMS performance, risks, and improvement actions by senior leadership.</w:t>
            </w:r>
          </w:p>
        </w:tc>
        <w:tc>
          <w:tcPr>
            <w:tcW w:type="dxa" w:w="24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ISMS-MR-001</w:t>
            </w:r>
          </w:p>
        </w:tc>
        <w:tc>
          <w:tcPr>
            <w:tcW w:type="dxa" w:w="18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2E75B6"/>
                <w:sz w:val="18"/>
                <w:szCs w:val="18"/>
              </w:rPr>
              <w:t xml:space="preserve">9.3</w:t>
            </w:r>
          </w:p>
        </w:tc>
      </w:tr>
      <w:tr>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Nonconformity and Corrective Action</w:t>
            </w:r>
          </w:p>
        </w:tc>
        <w:tc>
          <w:tcPr>
            <w:tcW w:type="dxa" w:w="3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Process for recording, analysing, and resolving ISMS nonconformities.</w:t>
            </w:r>
          </w:p>
        </w:tc>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ISMS-CAR-001</w:t>
            </w:r>
          </w:p>
        </w:tc>
        <w:tc>
          <w:tcPr>
            <w:tcW w:type="dxa" w:w="18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2E75B6"/>
                <w:sz w:val="18"/>
                <w:szCs w:val="18"/>
              </w:rPr>
              <w:t xml:space="preserve">10.2</w:t>
            </w:r>
          </w:p>
        </w:tc>
      </w:tr>
      <w:tr>
        <w:tc>
          <w:tcPr>
            <w:tcW w:type="dxa" w:w="2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Incident Management</w:t>
            </w:r>
          </w:p>
        </w:tc>
        <w:tc>
          <w:tcPr>
            <w:tcW w:type="dxa" w:w="3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Detection, response, and post-incident review procedures.</w:t>
            </w:r>
          </w:p>
        </w:tc>
        <w:tc>
          <w:tcPr>
            <w:tcW w:type="dxa" w:w="24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ISMS-IRP-001</w:t>
            </w:r>
          </w:p>
        </w:tc>
        <w:tc>
          <w:tcPr>
            <w:tcW w:type="dxa" w:w="18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2E75B6"/>
                <w:sz w:val="18"/>
                <w:szCs w:val="18"/>
              </w:rPr>
              <w:t xml:space="preserve">A.5.24–A.5.28</w:t>
            </w:r>
          </w:p>
        </w:tc>
      </w:tr>
      <w:tr>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Business Continuity</w:t>
            </w:r>
          </w:p>
        </w:tc>
        <w:tc>
          <w:tcPr>
            <w:tcW w:type="dxa" w:w="3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Business continuity and disaster recovery planning for critical services.</w:t>
            </w:r>
          </w:p>
        </w:tc>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ISMS-BCP-001</w:t>
            </w:r>
          </w:p>
        </w:tc>
        <w:tc>
          <w:tcPr>
            <w:tcW w:type="dxa" w:w="18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2E75B6"/>
                <w:sz w:val="18"/>
                <w:szCs w:val="18"/>
              </w:rPr>
              <w:t xml:space="preserve">A.5.29, A.5.30</w:t>
            </w:r>
          </w:p>
        </w:tc>
      </w:tr>
      <w:tr>
        <w:tc>
          <w:tcPr>
            <w:tcW w:type="dxa" w:w="2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Supplier and Third-Party Risk</w:t>
            </w:r>
          </w:p>
        </w:tc>
        <w:tc>
          <w:tcPr>
            <w:tcW w:type="dxa" w:w="3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Supplier assessment, contractual obligations, and ongoing monitoring.</w:t>
            </w:r>
          </w:p>
        </w:tc>
        <w:tc>
          <w:tcPr>
            <w:tcW w:type="dxa" w:w="24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ISMS-SUP-001</w:t>
            </w:r>
          </w:p>
        </w:tc>
        <w:tc>
          <w:tcPr>
            <w:tcW w:type="dxa" w:w="18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2E75B6"/>
                <w:sz w:val="18"/>
                <w:szCs w:val="18"/>
              </w:rPr>
              <w:t xml:space="preserve">A.5.19–A.5.22</w:t>
            </w:r>
          </w:p>
        </w:tc>
      </w:tr>
      <w:tr>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Asset Management</w:t>
            </w:r>
          </w:p>
        </w:tc>
        <w:tc>
          <w:tcPr>
            <w:tcW w:type="dxa" w:w="3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Information asset register, classification, and lifecycle management.</w:t>
            </w:r>
          </w:p>
        </w:tc>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ISMS-AST-001</w:t>
            </w:r>
          </w:p>
        </w:tc>
        <w:tc>
          <w:tcPr>
            <w:tcW w:type="dxa" w:w="18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2E75B6"/>
                <w:sz w:val="18"/>
                <w:szCs w:val="18"/>
              </w:rPr>
              <w:t xml:space="preserve">A.5.9–A.5.14</w:t>
            </w:r>
          </w:p>
        </w:tc>
      </w:tr>
      <w:tr>
        <w:tc>
          <w:tcPr>
            <w:tcW w:type="dxa" w:w="2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Access Control</w:t>
            </w:r>
          </w:p>
        </w:tc>
        <w:tc>
          <w:tcPr>
            <w:tcW w:type="dxa" w:w="3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Privileged access management, MFA policy, and access review procedures.</w:t>
            </w:r>
          </w:p>
        </w:tc>
        <w:tc>
          <w:tcPr>
            <w:tcW w:type="dxa" w:w="24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ISMS-ACC-001</w:t>
            </w:r>
          </w:p>
        </w:tc>
        <w:tc>
          <w:tcPr>
            <w:tcW w:type="dxa" w:w="18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2E75B6"/>
                <w:sz w:val="18"/>
                <w:szCs w:val="18"/>
              </w:rPr>
              <w:t xml:space="preserve">A.5.15–A.5.18</w:t>
            </w:r>
          </w:p>
        </w:tc>
      </w:tr>
      <w:tr>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Vulnerability Management</w:t>
            </w:r>
          </w:p>
        </w:tc>
        <w:tc>
          <w:tcPr>
            <w:tcW w:type="dxa" w:w="3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Patch management, vulnerability scanning, and remediation tracking.</w:t>
            </w:r>
          </w:p>
        </w:tc>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ISMS-VUL-001</w:t>
            </w:r>
          </w:p>
        </w:tc>
        <w:tc>
          <w:tcPr>
            <w:tcW w:type="dxa" w:w="18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2E75B6"/>
                <w:sz w:val="18"/>
                <w:szCs w:val="18"/>
              </w:rPr>
              <w:t xml:space="preserve">A.8.8</w:t>
            </w:r>
          </w:p>
        </w:tc>
      </w:tr>
    </w:tbl>
    <w:p>
      <w:pPr>
        <w:spacing w:after="120" w:before="120"/>
      </w:pPr>
    </w:p>
    <w:p>
      <w:pPr>
        <w:pStyle w:val="Heading2"/>
        <w:spacing w:after="80" w:before="240"/>
      </w:pPr>
      <w:r>
        <w:rPr>
          <w:rFonts w:ascii="Arial" w:cs="Arial" w:eastAsia="Arial" w:hAnsi="Arial"/>
          <w:b/>
          <w:bCs/>
          <w:color w:val="2E75B6"/>
          <w:sz w:val="26"/>
          <w:szCs w:val="26"/>
        </w:rPr>
        <w:t xml:space="preserve">6.3 Process Interaction Model</w:t>
      </w:r>
    </w:p>
    <w:p>
      <w:pPr>
        <w:spacing w:after="80" w:before="80"/>
        <w:jc w:val="left"/>
      </w:pPr>
      <w:r>
        <w:rPr>
          <w:rFonts w:ascii="Arial" w:cs="Arial" w:eastAsia="Arial" w:hAnsi="Arial"/>
          <w:b w:val="false"/>
          <w:bCs w:val="false"/>
          <w:color w:val="000000"/>
          <w:sz w:val="20"/>
          <w:szCs w:val="20"/>
        </w:rPr>
        <w:t xml:space="preserve">The ISMS processes listed above interact as follows:</w:t>
      </w:r>
    </w:p>
    <w:p>
      <w:pPr>
        <w:spacing w:after="60" w:before="60"/>
      </w:pPr>
    </w:p>
    <w:p>
      <w:pPr>
        <w:pStyle w:val="ListParagraph"/>
        <w:numPr>
          <w:ilvl w:val="0"/>
          <w:numId w:val="2"/>
        </w:numPr>
        <w:spacing w:after="40" w:before="40"/>
      </w:pPr>
      <w:r>
        <w:rPr>
          <w:rFonts w:ascii="Arial" w:cs="Arial" w:eastAsia="Arial" w:hAnsi="Arial"/>
          <w:sz w:val="20"/>
          <w:szCs w:val="20"/>
        </w:rPr>
        <w:t xml:space="preserve">Context and Scope (this document) feeds the Risk Assessment process, the Policy framework, and the ISMS Objectives.</w:t>
      </w:r>
    </w:p>
    <w:p>
      <w:pPr>
        <w:pStyle w:val="ListParagraph"/>
        <w:numPr>
          <w:ilvl w:val="0"/>
          <w:numId w:val="2"/>
        </w:numPr>
        <w:spacing w:after="40" w:before="40"/>
      </w:pPr>
      <w:r>
        <w:rPr>
          <w:rFonts w:ascii="Arial" w:cs="Arial" w:eastAsia="Arial" w:hAnsi="Arial"/>
          <w:sz w:val="20"/>
          <w:szCs w:val="20"/>
        </w:rPr>
        <w:t xml:space="preserve">The Risk Assessment and Statement of Applicability drive the selection and implementation of controls documented in operational procedures and the supplier management programme.</w:t>
      </w:r>
    </w:p>
    <w:p>
      <w:pPr>
        <w:pStyle w:val="ListParagraph"/>
        <w:numPr>
          <w:ilvl w:val="0"/>
          <w:numId w:val="2"/>
        </w:numPr>
        <w:spacing w:after="40" w:before="40"/>
      </w:pPr>
      <w:r>
        <w:rPr>
          <w:rFonts w:ascii="Arial" w:cs="Arial" w:eastAsia="Arial" w:hAnsi="Arial"/>
          <w:sz w:val="20"/>
          <w:szCs w:val="20"/>
        </w:rPr>
        <w:t xml:space="preserve">Operational processes (incident management, asset management, access control, vulnerability management, BCP) generate evidence that feeds the Internal Audit programme.</w:t>
      </w:r>
    </w:p>
    <w:p>
      <w:pPr>
        <w:pStyle w:val="ListParagraph"/>
        <w:numPr>
          <w:ilvl w:val="0"/>
          <w:numId w:val="2"/>
        </w:numPr>
        <w:spacing w:after="40" w:before="40"/>
      </w:pPr>
      <w:r>
        <w:rPr>
          <w:rFonts w:ascii="Arial" w:cs="Arial" w:eastAsia="Arial" w:hAnsi="Arial"/>
          <w:sz w:val="20"/>
          <w:szCs w:val="20"/>
        </w:rPr>
        <w:t xml:space="preserve">Internal Audit findings and corrective actions, alongside risk and objective performance data, are reviewed at Management Review to drive continual improvement decisions.</w:t>
      </w:r>
    </w:p>
    <w:p>
      <w:pPr>
        <w:pStyle w:val="ListParagraph"/>
        <w:numPr>
          <w:ilvl w:val="0"/>
          <w:numId w:val="2"/>
        </w:numPr>
        <w:spacing w:after="40" w:before="40"/>
      </w:pPr>
      <w:r>
        <w:rPr>
          <w:rFonts w:ascii="Arial" w:cs="Arial" w:eastAsia="Arial" w:hAnsi="Arial"/>
          <w:sz w:val="20"/>
          <w:szCs w:val="20"/>
        </w:rPr>
        <w:t xml:space="preserve">Management Review outputs update the Context Document, Risk Assessment, Objectives, and resource allocation — completing the PDCA cycle.</w:t>
      </w:r>
    </w:p>
    <w:p>
      <w:pPr>
        <w:spacing w:after="120" w:before="120"/>
      </w:pPr>
    </w:p>
    <w:p>
      <w:r>
        <w:br w:type="page"/>
      </w:r>
    </w:p>
    <w:p>
      <w:pPr>
        <w:pStyle w:val="Heading1"/>
        <w:pBdr>
          <w:bottom w:val="single" w:color="2E75B6" w:sz="8" w:space="4"/>
        </w:pBdr>
        <w:spacing w:after="120" w:before="360"/>
      </w:pPr>
      <w:r>
        <w:rPr>
          <w:rFonts w:ascii="Arial" w:cs="Arial" w:eastAsia="Arial" w:hAnsi="Arial"/>
          <w:b/>
          <w:bCs/>
          <w:color w:val="1F3864"/>
          <w:sz w:val="34"/>
          <w:szCs w:val="34"/>
        </w:rPr>
        <w:t xml:space="preserve">7. Linkage Between Clauses 4.1, 4.2, 4.3, and 4.4</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3560"/>
        <w:gridCol w:w="2700"/>
      </w:tblGrid>
      <w:tr>
        <w:trPr>
          <w:tblHeader/>
        </w:trPr>
        <w:tc>
          <w:tcPr>
            <w:tcW w:type="dxa" w:w="12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Clause</w:t>
            </w:r>
          </w:p>
        </w:tc>
        <w:tc>
          <w:tcPr>
            <w:tcW w:type="dxa" w:w="18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Output</w:t>
            </w:r>
          </w:p>
        </w:tc>
        <w:tc>
          <w:tcPr>
            <w:tcW w:type="dxa" w:w="356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Feeds Into</w:t>
            </w:r>
          </w:p>
        </w:tc>
        <w:tc>
          <w:tcPr>
            <w:tcW w:type="dxa" w:w="27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Document</w:t>
            </w:r>
          </w:p>
        </w:tc>
      </w:tr>
      <w:tr>
        <w:tc>
          <w:tcPr>
            <w:tcW w:type="dxa" w:w="12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2E75B6"/>
                <w:sz w:val="18"/>
                <w:szCs w:val="18"/>
              </w:rPr>
              <w:t xml:space="preserve">4.1</w:t>
            </w:r>
          </w:p>
        </w:tc>
        <w:tc>
          <w:tcPr>
            <w:tcW w:type="dxa" w:w="18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External &amp; internal issues</w:t>
            </w:r>
          </w:p>
        </w:tc>
        <w:tc>
          <w:tcPr>
            <w:tcW w:type="dxa" w:w="35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4.2 (shapes interested party relevance), 4.3 (scope inputs), 6.1 (risk opportunities), 9.3 (management review)</w:t>
            </w:r>
          </w:p>
        </w:tc>
        <w:tc>
          <w:tcPr>
            <w:tcW w:type="dxa" w:w="27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ISMS-CTX-001 §3</w:t>
            </w:r>
          </w:p>
        </w:tc>
      </w:tr>
      <w:tr>
        <w:tc>
          <w:tcPr>
            <w:tcW w:type="dxa" w:w="1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2E75B6"/>
                <w:sz w:val="18"/>
                <w:szCs w:val="18"/>
              </w:rPr>
              <w:t xml:space="preserve">4.2</w:t>
            </w:r>
          </w:p>
        </w:tc>
        <w:tc>
          <w:tcPr>
            <w:tcW w:type="dxa" w:w="1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Interested party requirements</w:t>
            </w:r>
          </w:p>
        </w:tc>
        <w:tc>
          <w:tcPr>
            <w:tcW w:type="dxa" w:w="35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4.3 (scope boundary decisions), 6.1 (risk drivers from contractual/legal requirements), 5.2 (policy obligations)</w:t>
            </w:r>
          </w:p>
        </w:tc>
        <w:tc>
          <w:tcPr>
            <w:tcW w:type="dxa" w:w="27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ISMS-CTX-001 §4</w:t>
            </w:r>
          </w:p>
        </w:tc>
      </w:tr>
      <w:tr>
        <w:tc>
          <w:tcPr>
            <w:tcW w:type="dxa" w:w="12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2E75B6"/>
                <w:sz w:val="18"/>
                <w:szCs w:val="18"/>
              </w:rPr>
              <w:t xml:space="preserve">4.3</w:t>
            </w:r>
          </w:p>
        </w:tc>
        <w:tc>
          <w:tcPr>
            <w:tcW w:type="dxa" w:w="18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Defined ISMS scope</w:t>
            </w:r>
          </w:p>
        </w:tc>
        <w:tc>
          <w:tcPr>
            <w:tcW w:type="dxa" w:w="35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4.4 (ISMS covers defined scope), 6.1 (risk assessment boundaries), 9.2 (audit programme scope), SoA applicability</w:t>
            </w:r>
          </w:p>
        </w:tc>
        <w:tc>
          <w:tcPr>
            <w:tcW w:type="dxa" w:w="27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ISMS-CTX-001 §5 / ISMS-SCO-001</w:t>
            </w:r>
          </w:p>
        </w:tc>
      </w:tr>
      <w:tr>
        <w:tc>
          <w:tcPr>
            <w:tcW w:type="dxa" w:w="1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2E75B6"/>
                <w:sz w:val="18"/>
                <w:szCs w:val="18"/>
              </w:rPr>
              <w:t xml:space="preserve">4.4</w:t>
            </w:r>
          </w:p>
        </w:tc>
        <w:tc>
          <w:tcPr>
            <w:tcW w:type="dxa" w:w="1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Established ISMS with process inventory</w:t>
            </w:r>
          </w:p>
        </w:tc>
        <w:tc>
          <w:tcPr>
            <w:tcW w:type="dxa" w:w="35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All subsequent clauses (5–10): policy, risk, support, operations, performance evaluation, improvement</w:t>
            </w:r>
          </w:p>
        </w:tc>
        <w:tc>
          <w:tcPr>
            <w:tcW w:type="dxa" w:w="27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ISMS-CTX-001 §6 + all ISMS documents</w:t>
            </w:r>
          </w:p>
        </w:tc>
      </w:tr>
    </w:tbl>
    <w:p>
      <w:pPr>
        <w:spacing w:after="120" w:before="120"/>
      </w:pPr>
    </w:p>
    <w:p>
      <w:pPr>
        <w:pStyle w:val="Heading1"/>
        <w:pBdr>
          <w:bottom w:val="single" w:color="2E75B6" w:sz="8" w:space="4"/>
        </w:pBdr>
        <w:spacing w:after="120" w:before="360"/>
      </w:pPr>
      <w:r>
        <w:rPr>
          <w:rFonts w:ascii="Arial" w:cs="Arial" w:eastAsia="Arial" w:hAnsi="Arial"/>
          <w:b/>
          <w:bCs/>
          <w:color w:val="1F3864"/>
          <w:sz w:val="34"/>
          <w:szCs w:val="34"/>
        </w:rPr>
        <w:t xml:space="preserve">8. Review and Maintenance</w:t>
      </w:r>
    </w:p>
    <w:p>
      <w:pPr>
        <w:spacing w:after="80" w:before="80"/>
        <w:jc w:val="left"/>
      </w:pPr>
      <w:r>
        <w:rPr>
          <w:rFonts w:ascii="Arial" w:cs="Arial" w:eastAsia="Arial" w:hAnsi="Arial"/>
          <w:b w:val="false"/>
          <w:bCs w:val="false"/>
          <w:color w:val="000000"/>
          <w:sz w:val="20"/>
          <w:szCs w:val="20"/>
        </w:rPr>
        <w:t xml:space="preserve">This document shall be reviewed and updated under the following conditions:</w:t>
      </w:r>
    </w:p>
    <w:p>
      <w:pPr>
        <w:spacing w:after="60" w:before="60"/>
      </w:pPr>
    </w:p>
    <w:p>
      <w:pPr>
        <w:pStyle w:val="ListParagraph"/>
        <w:numPr>
          <w:ilvl w:val="0"/>
          <w:numId w:val="2"/>
        </w:numPr>
        <w:spacing w:after="40" w:before="40"/>
      </w:pPr>
      <w:r>
        <w:rPr>
          <w:rFonts w:ascii="Arial" w:cs="Arial" w:eastAsia="Arial" w:hAnsi="Arial"/>
          <w:sz w:val="20"/>
          <w:szCs w:val="20"/>
        </w:rPr>
        <w:t xml:space="preserve">Annually as part of the ISMS Management Review cycle (Clause 9.3) — this is a mandatory trigger</w:t>
      </w:r>
    </w:p>
    <w:p>
      <w:pPr>
        <w:pStyle w:val="ListParagraph"/>
        <w:numPr>
          <w:ilvl w:val="0"/>
          <w:numId w:val="2"/>
        </w:numPr>
        <w:spacing w:after="40" w:before="40"/>
      </w:pPr>
      <w:r>
        <w:rPr>
          <w:rFonts w:ascii="Arial" w:cs="Arial" w:eastAsia="Arial" w:hAnsi="Arial"/>
          <w:sz w:val="20"/>
          <w:szCs w:val="20"/>
        </w:rPr>
        <w:t xml:space="preserve">Following any significant change to the organisation's operating model, ownership structure, or geographic footprint</w:t>
      </w:r>
    </w:p>
    <w:p>
      <w:pPr>
        <w:pStyle w:val="ListParagraph"/>
        <w:numPr>
          <w:ilvl w:val="0"/>
          <w:numId w:val="2"/>
        </w:numPr>
        <w:spacing w:after="40" w:before="40"/>
      </w:pPr>
      <w:r>
        <w:rPr>
          <w:rFonts w:ascii="Arial" w:cs="Arial" w:eastAsia="Arial" w:hAnsi="Arial"/>
          <w:sz w:val="20"/>
          <w:szCs w:val="20"/>
        </w:rPr>
        <w:t xml:space="preserve">Following a material change in the regulatory or threat environment affecting the scope or risk profile</w:t>
      </w:r>
    </w:p>
    <w:p>
      <w:pPr>
        <w:pStyle w:val="ListParagraph"/>
        <w:numPr>
          <w:ilvl w:val="0"/>
          <w:numId w:val="2"/>
        </w:numPr>
        <w:spacing w:after="40" w:before="40"/>
      </w:pPr>
      <w:r>
        <w:rPr>
          <w:rFonts w:ascii="Arial" w:cs="Arial" w:eastAsia="Arial" w:hAnsi="Arial"/>
          <w:sz w:val="20"/>
          <w:szCs w:val="20"/>
        </w:rPr>
        <w:t xml:space="preserve">Following a significant security incident that reveals an unidentified context issue or gap in interested party requirements</w:t>
      </w:r>
    </w:p>
    <w:p>
      <w:pPr>
        <w:pStyle w:val="ListParagraph"/>
        <w:numPr>
          <w:ilvl w:val="0"/>
          <w:numId w:val="2"/>
        </w:numPr>
        <w:spacing w:after="40" w:before="40"/>
      </w:pPr>
      <w:r>
        <w:rPr>
          <w:rFonts w:ascii="Arial" w:cs="Arial" w:eastAsia="Arial" w:hAnsi="Arial"/>
          <w:sz w:val="20"/>
          <w:szCs w:val="20"/>
        </w:rPr>
        <w:t xml:space="preserve">Where a change in client contractual requirements introduces new ISMS obligations not currently addressed</w:t>
      </w:r>
    </w:p>
    <w:p>
      <w:pPr>
        <w:pStyle w:val="ListParagraph"/>
        <w:numPr>
          <w:ilvl w:val="0"/>
          <w:numId w:val="2"/>
        </w:numPr>
        <w:spacing w:after="40" w:before="40"/>
      </w:pPr>
      <w:r>
        <w:rPr>
          <w:rFonts w:ascii="Arial" w:cs="Arial" w:eastAsia="Arial" w:hAnsi="Arial"/>
          <w:sz w:val="20"/>
          <w:szCs w:val="20"/>
        </w:rPr>
        <w:t xml:space="preserve">At the discretion of the Information Security Manager where emerging issues warrant interim review</w:t>
      </w:r>
    </w:p>
    <w:p>
      <w:pPr>
        <w:spacing w:after="60" w:before="60"/>
      </w:pPr>
    </w:p>
    <w:p>
      <w:pPr>
        <w:spacing w:after="80" w:before="80"/>
        <w:jc w:val="left"/>
      </w:pPr>
      <w:r>
        <w:rPr>
          <w:rFonts w:ascii="Arial" w:cs="Arial" w:eastAsia="Arial" w:hAnsi="Arial"/>
          <w:b w:val="false"/>
          <w:bCs w:val="false"/>
          <w:color w:val="000000"/>
          <w:sz w:val="20"/>
          <w:szCs w:val="20"/>
        </w:rPr>
        <w:t xml:space="preserve">Changes to this document require formal approval. Material changes affecting the ISMS scope (Clause 4.3) shall be notified to the certification body in accordance with the organisation's certification agreement and escalated to the next management review.</w:t>
      </w:r>
    </w:p>
    <w:p>
      <w:pPr>
        <w:spacing w:after="120" w:before="120"/>
      </w:pPr>
    </w:p>
    <w:p>
      <w:pPr>
        <w:pStyle w:val="Heading1"/>
        <w:pBdr>
          <w:bottom w:val="single" w:color="2E75B6" w:sz="8" w:space="4"/>
        </w:pBdr>
        <w:spacing w:after="120" w:before="360"/>
      </w:pPr>
      <w:r>
        <w:rPr>
          <w:rFonts w:ascii="Arial" w:cs="Arial" w:eastAsia="Arial" w:hAnsi="Arial"/>
          <w:b/>
          <w:bCs/>
          <w:color w:val="1F3864"/>
          <w:sz w:val="34"/>
          <w:szCs w:val="34"/>
        </w:rPr>
        <w:t xml:space="preserve">9. References</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2400"/>
        <w:gridCol w:w="6860"/>
      </w:tblGrid>
      <w:tr>
        <w:trPr>
          <w:tblHeader/>
        </w:trPr>
        <w:tc>
          <w:tcPr>
            <w:tcW w:type="dxa" w:w="24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Reference</w:t>
            </w:r>
          </w:p>
        </w:tc>
        <w:tc>
          <w:tcPr>
            <w:tcW w:type="dxa" w:w="686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Document / Standard</w:t>
            </w:r>
          </w:p>
        </w:tc>
      </w:tr>
      <w:tr>
        <w:tc>
          <w:tcPr>
            <w:tcW w:type="dxa" w:w="24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ISO/IEC 27001:2022</w:t>
            </w:r>
          </w:p>
        </w:tc>
        <w:tc>
          <w:tcPr>
            <w:tcW w:type="dxa" w:w="68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Information security, cybersecurity and privacy protection — Information security management systems — Requirements. Clauses 4.1, 4.2, 4.3, 4.4.</w:t>
            </w:r>
          </w:p>
        </w:tc>
      </w:tr>
      <w:tr>
        <w:tc>
          <w:tcPr>
            <w:tcW w:type="dxa" w:w="2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ISO 31000:2018</w:t>
            </w:r>
          </w:p>
        </w:tc>
        <w:tc>
          <w:tcPr>
            <w:tcW w:type="dxa" w:w="68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Risk management — Guidelines — Clause 5.4.1: External and internal context (referenced normatively in ISO 27001:2022 Clause 4.1).</w:t>
            </w:r>
          </w:p>
        </w:tc>
      </w:tr>
      <w:tr>
        <w:tc>
          <w:tcPr>
            <w:tcW w:type="dxa" w:w="24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UK GDPR / DPA 2018</w:t>
            </w:r>
          </w:p>
        </w:tc>
        <w:tc>
          <w:tcPr>
            <w:tcW w:type="dxa" w:w="68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UK General Data Protection Regulation and Data Protection Act 2018.</w:t>
            </w:r>
          </w:p>
        </w:tc>
      </w:tr>
      <w:tr>
        <w:tc>
          <w:tcPr>
            <w:tcW w:type="dxa" w:w="2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EU GDPR 2016/679</w:t>
            </w:r>
          </w:p>
        </w:tc>
        <w:tc>
          <w:tcPr>
            <w:tcW w:type="dxa" w:w="68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General Data Protection Regulation (EU) — applicable to processing of EU data subjects' personal data.</w:t>
            </w:r>
          </w:p>
        </w:tc>
      </w:tr>
      <w:tr>
        <w:tc>
          <w:tcPr>
            <w:tcW w:type="dxa" w:w="24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NIS Regulations 2018</w:t>
            </w:r>
          </w:p>
        </w:tc>
        <w:tc>
          <w:tcPr>
            <w:tcW w:type="dxa" w:w="68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Network and Information Systems Regulations 2018 (UK).</w:t>
            </w:r>
          </w:p>
        </w:tc>
      </w:tr>
      <w:tr>
        <w:tc>
          <w:tcPr>
            <w:tcW w:type="dxa" w:w="2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ISMS-SCO-001</w:t>
            </w:r>
          </w:p>
        </w:tc>
        <w:tc>
          <w:tcPr>
            <w:tcW w:type="dxa" w:w="68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ISMS Scope Statement (standalone scope document, cross-referenced with Section 5 of this document).</w:t>
            </w:r>
          </w:p>
        </w:tc>
      </w:tr>
      <w:tr>
        <w:tc>
          <w:tcPr>
            <w:tcW w:type="dxa" w:w="24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ISMS-RA-001</w:t>
            </w:r>
          </w:p>
        </w:tc>
        <w:tc>
          <w:tcPr>
            <w:tcW w:type="dxa" w:w="68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Information Security Risk Assessment and Treatment Plan (Clause 6.1).</w:t>
            </w:r>
          </w:p>
        </w:tc>
      </w:tr>
      <w:tr>
        <w:tc>
          <w:tcPr>
            <w:tcW w:type="dxa" w:w="2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ISMS-SoA-001</w:t>
            </w:r>
          </w:p>
        </w:tc>
        <w:tc>
          <w:tcPr>
            <w:tcW w:type="dxa" w:w="68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Statement of Applicability (Clause 6.1.3(d)).</w:t>
            </w:r>
          </w:p>
        </w:tc>
      </w:tr>
      <w:tr>
        <w:tc>
          <w:tcPr>
            <w:tcW w:type="dxa" w:w="24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ISMS-POL-001</w:t>
            </w:r>
          </w:p>
        </w:tc>
        <w:tc>
          <w:tcPr>
            <w:tcW w:type="dxa" w:w="68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Information Security Policy (Clause 5.2).</w:t>
            </w:r>
          </w:p>
        </w:tc>
      </w:tr>
      <w:tr>
        <w:tc>
          <w:tcPr>
            <w:tcW w:type="dxa" w:w="2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ISMS-IAP-001</w:t>
            </w:r>
          </w:p>
        </w:tc>
        <w:tc>
          <w:tcPr>
            <w:tcW w:type="dxa" w:w="68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Internal Audit Programme (Clause 9.2).</w:t>
            </w:r>
          </w:p>
        </w:tc>
      </w:tr>
      <w:tr>
        <w:tc>
          <w:tcPr>
            <w:tcW w:type="dxa" w:w="24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ISMS-DIC-001</w:t>
            </w:r>
          </w:p>
        </w:tc>
        <w:tc>
          <w:tcPr>
            <w:tcW w:type="dxa" w:w="68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Documented Information Control Procedure (Clause 7.5).</w:t>
            </w:r>
          </w:p>
        </w:tc>
      </w:tr>
    </w:tbl>
    <w:p>
      <w:pPr>
        <w:spacing w:after="0" w:before="240"/>
      </w:pPr>
    </w:p>
    <w:p>
      <w:pPr>
        <w:spacing w:after="0" w:before="240"/>
      </w:pPr>
      <w:r>
        <w:rPr>
          <w:rFonts w:ascii="Arial" w:cs="Arial" w:eastAsia="Arial" w:hAnsi="Arial"/>
          <w:color w:val="AAAAAA"/>
          <w:sz w:val="16"/>
          <w:szCs w:val="16"/>
        </w:rPr>
        <w:t xml:space="preserve">END OF DOCUMENT — ISMS-CTX-001 v2.0</w:t>
      </w:r>
    </w:p>
    <w:sectPr>
      <w:headerReference w:type="default" r:id="rId7"/>
      <w:footerReference w:type="default" r:id="rId8"/>
      <w:pgSz w:w="11906" w:h="16838" w:orient="portrait"/>
      <w:pgMar w:top="1440" w:right="1134" w:bottom="1440"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4"/>
      </w:pBdr>
      <w:tabs>
        <w:tab w:val="center" w:pos="4680"/>
        <w:tab w:val="right" w:pos="9026"/>
      </w:tabs>
      <w:spacing w:before="120"/>
    </w:pPr>
    <w:r>
      <w:rPr>
        <w:rFonts w:ascii="Arial" w:cs="Arial" w:eastAsia="Arial" w:hAnsi="Arial"/>
        <w:b/>
        <w:bCs/>
        <w:color w:val="2E75B6"/>
        <w:sz w:val="16"/>
        <w:szCs w:val="16"/>
      </w:rPr>
      <w:t xml:space="preserve">INTERNAL</w:t>
    </w:r>
    <w:r>
      <w:rPr>
        <w:rFonts w:ascii="Arial" w:cs="Arial" w:eastAsia="Arial" w:hAnsi="Arial"/>
        <w:color w:val="888888"/>
        <w:sz w:val="16"/>
        <w:szCs w:val="16"/>
      </w:rPr>
      <w:t xml:space="preserve">	Page </w:t>
    </w:r>
    <w:fldSimple w:instr="PAGE">
      <w:r>
        <w:rPr>
          <w:rFonts w:ascii="Arial" w:cs="Arial" w:eastAsia="Arial" w:hAnsi="Arial"/>
          <w:color w:val="888888"/>
          <w:sz w:val="16"/>
          <w:szCs w:val="16"/>
        </w:rPr>
      </w:r>
    </w:fldSimple>
    <w:r>
      <w:rPr>
        <w:rFonts w:ascii="Arial" w:cs="Arial" w:eastAsia="Arial" w:hAnsi="Arial"/>
        <w:color w:val="888888"/>
        <w:sz w:val="16"/>
        <w:szCs w:val="16"/>
      </w:rPr>
      <w:t xml:space="preserve">	02 April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tabs>
        <w:tab w:val="right" w:pos="9026"/>
      </w:tabs>
      <w:spacing w:after="120"/>
    </w:pPr>
    <w:r>
      <w:rPr>
        <w:rFonts w:ascii="Arial" w:cs="Arial" w:eastAsia="Arial" w:hAnsi="Arial"/>
        <w:b/>
        <w:bCs/>
        <w:color w:val="1F3864"/>
        <w:sz w:val="18"/>
        <w:szCs w:val="18"/>
      </w:rPr>
      <w:t xml:space="preserve">Apex Managed Services Ltd — ISMS Context Document</w:t>
    </w:r>
    <w:r>
      <w:rPr>
        <w:rFonts w:ascii="Arial" w:cs="Arial" w:eastAsia="Arial" w:hAnsi="Arial"/>
        <w:color w:val="888888"/>
        <w:sz w:val="16"/>
        <w:szCs w:val="16"/>
      </w:rPr>
      <w:t xml:space="preserve">	ISMS-CTX-001 v2.0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3864"/>
      <w:sz w:val="34"/>
      <w:szCs w:val="34"/>
    </w:rPr>
  </w:style>
  <w:style w:type="paragraph" w:styleId="Heading2">
    <w:name w:val="Heading 2"/>
    <w:basedOn w:val="Normal"/>
    <w:next w:val="Normal"/>
    <w:qFormat/>
    <w:pPr>
      <w:spacing w:after="80" w:before="240"/>
      <w:outlineLvl w:val="1"/>
    </w:pPr>
    <w:rPr>
      <w:rFonts w:ascii="Arial" w:cs="Arial" w:eastAsia="Arial" w:hAnsi="Arial"/>
      <w:b/>
      <w:bCs/>
      <w:color w:val="2E75B6"/>
      <w:sz w:val="26"/>
      <w:szCs w:val="26"/>
    </w:rPr>
  </w:style>
  <w:style w:type="paragraph" w:styleId="Heading3">
    <w:name w:val="Heading 3"/>
    <w:basedOn w:val="Normal"/>
    <w:next w:val="Normal"/>
    <w:qFormat/>
    <w:pPr>
      <w:spacing w:after="60" w:before="160"/>
      <w:outlineLvl w:val="2"/>
    </w:pPr>
    <w:rPr>
      <w:rFonts w:ascii="Arial" w:cs="Arial" w:eastAsia="Arial" w:hAnsi="Arial"/>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2026-04-02T18:21:57.958Z</dcterms:created>
  <dcterms:modified xsi:type="dcterms:W3CDTF">2026-04-02T18:21:57.959Z</dcterms:modified>
</cp:coreProperties>
</file>

<file path=docProps/custom.xml><?xml version="1.0" encoding="utf-8"?>
<Properties xmlns="http://schemas.openxmlformats.org/officeDocument/2006/custom-properties" xmlns:vt="http://schemas.openxmlformats.org/officeDocument/2006/docPropsVTypes"/>
</file>