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480" w:before="0"/>
        <w:jc w:val="center"/>
      </w:pPr>
      <w:r>
        <w:rPr>
          <w:rFonts w:ascii="Arial" w:cs="Arial" w:eastAsia="Arial" w:hAnsi="Arial"/>
          <w:b/>
          <w:bCs/>
          <w:color w:val="2E75B6"/>
          <w:sz w:val="40"/>
          <w:szCs w:val="40"/>
        </w:rPr>
        <w:t xml:space="preserve">Context Register — Clause 4.1</w:t>
      </w:r>
    </w:p>
    <w:p>
      <w:pPr>
        <w:spacing w:after="80" w:before="0"/>
        <w:jc w:val="center"/>
      </w:pPr>
      <w:r>
        <w:rPr>
          <w:rFonts w:ascii="Arial" w:cs="Arial" w:eastAsia="Arial" w:hAnsi="Arial"/>
          <w:color w:val="888888"/>
          <w:sz w:val="20"/>
          <w:szCs w:val="20"/>
        </w:rPr>
        <w:t xml:space="preserve">ISMS-CTX-001  |  Version 1.0  |  02 April 2026</w:t>
      </w:r>
    </w:p>
    <w:p>
      <w:pPr>
        <w:spacing w:after="600" w:before="0"/>
        <w:jc w:val="center"/>
      </w:pPr>
      <w:r>
        <w:rPr>
          <w:rFonts w:ascii="Arial" w:cs="Arial" w:eastAsia="Arial" w:hAnsi="Arial"/>
          <w:b/>
          <w:bCs/>
          <w:color w:val="2E75B6"/>
          <w:sz w:val="22"/>
          <w:szCs w:val="22"/>
        </w:rPr>
        <w:t xml:space="preserve">INTERNAL</w:t>
      </w:r>
    </w:p>
    <w:p>
      <w:pPr>
        <w:pStyle w:val="Heading1"/>
        <w:pBdr>
          <w:bottom w:val="single" w:color="2E75B6" w:sz="6" w:space="1"/>
        </w:pBdr>
        <w:spacing w:after="120" w:before="360"/>
      </w:pPr>
      <w:r>
        <w:rPr>
          <w:rFonts w:ascii="Arial" w:cs="Arial" w:eastAsia="Arial" w:hAnsi="Arial"/>
          <w:b/>
          <w:bCs/>
          <w:color w:val="1F3864"/>
          <w:sz w:val="32"/>
          <w:szCs w:val="32"/>
        </w:rPr>
        <w:t xml:space="preserve">Document Control</w:t>
      </w:r>
    </w:p>
    <w:p>
      <w:pPr>
        <w:spacing w:after="12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200"/>
        <w:gridCol w:w="136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ISMS-CTX-001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 Context Register — Clause 4.1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triggered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 — Understanding the organisation and its context</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of ISMS Context Register for ISO 27001:2022 certification.</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1. Purpose</w:t>
      </w:r>
    </w:p>
    <w:p>
      <w:pPr>
        <w:spacing w:after="60" w:before="60"/>
        <w:jc w:val="left"/>
      </w:pPr>
      <w:r>
        <w:rPr>
          <w:rFonts w:ascii="Arial" w:cs="Arial" w:eastAsia="Arial" w:hAnsi="Arial"/>
          <w:b w:val="false"/>
          <w:bCs w:val="false"/>
          <w:color w:val="000000"/>
          <w:sz w:val="20"/>
          <w:szCs w:val="20"/>
        </w:rPr>
        <w:t xml:space="preserve">This document constitutes the ISMS Context Register for Apex Managed Services Ltd and forms the documented evidence required by ISO 27001:2022 Clause 4.1 — Understanding the Organisation and its Context.</w:t>
      </w:r>
    </w:p>
    <w:p>
      <w:pPr>
        <w:spacing w:after="120" w:before="120"/>
      </w:pPr>
    </w:p>
    <w:p>
      <w:pPr>
        <w:spacing w:after="60" w:before="60"/>
        <w:jc w:val="left"/>
      </w:pPr>
      <w:r>
        <w:rPr>
          <w:rFonts w:ascii="Arial" w:cs="Arial" w:eastAsia="Arial" w:hAnsi="Arial"/>
          <w:b w:val="false"/>
          <w:bCs w:val="false"/>
          <w:color w:val="000000"/>
          <w:sz w:val="20"/>
          <w:szCs w:val="20"/>
        </w:rPr>
        <w:t xml:space="preserve">The register identifies and records the external and internal issues that are relevant to the organisation's purpose and that affect its ability to achieve the intended outcomes of its Information Security Management System (ISMS). It is referenced by, and provides input to, the following ISMS processes:</w:t>
      </w:r>
    </w:p>
    <w:p>
      <w:pPr>
        <w:spacing w:after="120" w:before="120"/>
      </w:pPr>
    </w:p>
    <w:p>
      <w:pPr>
        <w:pStyle w:val="ListParagraph"/>
        <w:numPr>
          <w:ilvl w:val="0"/>
          <w:numId w:val="2"/>
        </w:numPr>
        <w:spacing w:after="40" w:before="40"/>
      </w:pPr>
      <w:r>
        <w:rPr>
          <w:rFonts w:ascii="Arial" w:cs="Arial" w:eastAsia="Arial" w:hAnsi="Arial"/>
          <w:sz w:val="20"/>
          <w:szCs w:val="20"/>
        </w:rPr>
        <w:t xml:space="preserve">Clause 4.2 — Understanding the needs and expectations of interested parties</w:t>
      </w:r>
    </w:p>
    <w:p>
      <w:pPr>
        <w:pStyle w:val="ListParagraph"/>
        <w:numPr>
          <w:ilvl w:val="0"/>
          <w:numId w:val="2"/>
        </w:numPr>
        <w:spacing w:after="40" w:before="40"/>
      </w:pPr>
      <w:r>
        <w:rPr>
          <w:rFonts w:ascii="Arial" w:cs="Arial" w:eastAsia="Arial" w:hAnsi="Arial"/>
          <w:sz w:val="20"/>
          <w:szCs w:val="20"/>
        </w:rPr>
        <w:t xml:space="preserve">Clause 4.3 — Determining the scope of the ISMS</w:t>
      </w:r>
    </w:p>
    <w:p>
      <w:pPr>
        <w:pStyle w:val="ListParagraph"/>
        <w:numPr>
          <w:ilvl w:val="0"/>
          <w:numId w:val="2"/>
        </w:numPr>
        <w:spacing w:after="40" w:before="40"/>
      </w:pPr>
      <w:r>
        <w:rPr>
          <w:rFonts w:ascii="Arial" w:cs="Arial" w:eastAsia="Arial" w:hAnsi="Arial"/>
          <w:sz w:val="20"/>
          <w:szCs w:val="20"/>
        </w:rPr>
        <w:t xml:space="preserve">Clause 6.1 — Actions to address risks and opportunities</w:t>
      </w:r>
    </w:p>
    <w:p>
      <w:pPr>
        <w:pStyle w:val="ListParagraph"/>
        <w:numPr>
          <w:ilvl w:val="0"/>
          <w:numId w:val="2"/>
        </w:numPr>
        <w:spacing w:after="40" w:before="40"/>
      </w:pPr>
      <w:r>
        <w:rPr>
          <w:rFonts w:ascii="Arial" w:cs="Arial" w:eastAsia="Arial" w:hAnsi="Arial"/>
          <w:sz w:val="20"/>
          <w:szCs w:val="20"/>
        </w:rPr>
        <w:t xml:space="preserve">Clause 9.3 — Management review</w:t>
      </w:r>
    </w:p>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2. Scope of Application</w:t>
      </w:r>
    </w:p>
    <w:p>
      <w:pPr>
        <w:spacing w:after="60" w:before="60"/>
        <w:jc w:val="left"/>
      </w:pPr>
      <w:r>
        <w:rPr>
          <w:rFonts w:ascii="Arial" w:cs="Arial" w:eastAsia="Arial" w:hAnsi="Arial"/>
          <w:b w:val="false"/>
          <w:bCs w:val="false"/>
          <w:color w:val="000000"/>
          <w:sz w:val="20"/>
          <w:szCs w:val="20"/>
        </w:rPr>
        <w:t xml:space="preserve">This register applies to the entirety of Apex Managed Services Ltd's ISMS as defined in document ISMS-SCO-001 (ISMS Scope Statement). The ISMS covers the provision of IT and managed services to clients located in the United Kingdom and European Union, delivered by a workforce of up to ten personnel operating across remote, hybrid, and client-site environments.</w:t>
      </w:r>
    </w:p>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3. Methodology</w:t>
      </w:r>
    </w:p>
    <w:p>
      <w:pPr>
        <w:spacing w:after="60" w:before="60"/>
        <w:jc w:val="left"/>
      </w:pPr>
      <w:r>
        <w:rPr>
          <w:rFonts w:ascii="Arial" w:cs="Arial" w:eastAsia="Arial" w:hAnsi="Arial"/>
          <w:b w:val="false"/>
          <w:bCs w:val="false"/>
          <w:color w:val="000000"/>
          <w:sz w:val="20"/>
          <w:szCs w:val="20"/>
        </w:rPr>
        <w:t xml:space="preserve">External and internal issues were identified through a structured organisational context workshop involving senior leadership and the Information Security Manager. The methodology applied was a PESTLE analysis framework for external issues and an organisational capability assessment for internal issues, supplemented by a high-level SWOT analysis.</w:t>
      </w:r>
    </w:p>
    <w:p>
      <w:pPr>
        <w:spacing w:after="120" w:before="120"/>
      </w:pPr>
    </w:p>
    <w:p>
      <w:pPr>
        <w:spacing w:after="60" w:before="60"/>
        <w:jc w:val="left"/>
      </w:pPr>
      <w:r>
        <w:rPr>
          <w:rFonts w:ascii="Arial" w:cs="Arial" w:eastAsia="Arial" w:hAnsi="Arial"/>
          <w:b w:val="false"/>
          <w:bCs w:val="false"/>
          <w:color w:val="000000"/>
          <w:sz w:val="20"/>
          <w:szCs w:val="20"/>
        </w:rPr>
        <w:t xml:space="preserve">Each identified issue was assessed against the following criteria:</w:t>
      </w:r>
    </w:p>
    <w:p>
      <w:pPr>
        <w:spacing w:after="120" w:before="120"/>
      </w:pPr>
    </w:p>
    <w:p>
      <w:pPr>
        <w:pStyle w:val="ListParagraph"/>
        <w:numPr>
          <w:ilvl w:val="0"/>
          <w:numId w:val="2"/>
        </w:numPr>
        <w:spacing w:after="40" w:before="40"/>
      </w:pPr>
      <w:r>
        <w:rPr>
          <w:rFonts w:ascii="Arial" w:cs="Arial" w:eastAsia="Arial" w:hAnsi="Arial"/>
          <w:sz w:val="20"/>
          <w:szCs w:val="20"/>
        </w:rPr>
        <w:t xml:space="preserve">Relevance to the organisation's purpose and strategic objectives</w:t>
      </w:r>
    </w:p>
    <w:p>
      <w:pPr>
        <w:pStyle w:val="ListParagraph"/>
        <w:numPr>
          <w:ilvl w:val="0"/>
          <w:numId w:val="2"/>
        </w:numPr>
        <w:spacing w:after="40" w:before="40"/>
      </w:pPr>
      <w:r>
        <w:rPr>
          <w:rFonts w:ascii="Arial" w:cs="Arial" w:eastAsia="Arial" w:hAnsi="Arial"/>
          <w:sz w:val="20"/>
          <w:szCs w:val="20"/>
        </w:rPr>
        <w:t xml:space="preserve">Potential impact on the intended outcomes of the ISMS</w:t>
      </w:r>
    </w:p>
    <w:p>
      <w:pPr>
        <w:pStyle w:val="ListParagraph"/>
        <w:numPr>
          <w:ilvl w:val="0"/>
          <w:numId w:val="2"/>
        </w:numPr>
        <w:spacing w:after="40" w:before="40"/>
      </w:pPr>
      <w:r>
        <w:rPr>
          <w:rFonts w:ascii="Arial" w:cs="Arial" w:eastAsia="Arial" w:hAnsi="Arial"/>
          <w:sz w:val="20"/>
          <w:szCs w:val="20"/>
        </w:rPr>
        <w:t xml:space="preserve">Likelihood of the issue manifesting or changing materially</w:t>
      </w:r>
    </w:p>
    <w:p>
      <w:pPr>
        <w:pStyle w:val="ListParagraph"/>
        <w:numPr>
          <w:ilvl w:val="0"/>
          <w:numId w:val="2"/>
        </w:numPr>
        <w:spacing w:after="40" w:before="40"/>
      </w:pPr>
      <w:r>
        <w:rPr>
          <w:rFonts w:ascii="Arial" w:cs="Arial" w:eastAsia="Arial" w:hAnsi="Arial"/>
          <w:sz w:val="20"/>
          <w:szCs w:val="20"/>
        </w:rPr>
        <w:t xml:space="preserve">Whether the issue is addressable through ISMS controls or requires monitoring only</w:t>
      </w:r>
    </w:p>
    <w:p>
      <w:pPr>
        <w:spacing w:after="120" w:before="120"/>
      </w:pPr>
    </w:p>
    <w:p>
      <w:pPr>
        <w:spacing w:after="60" w:before="60"/>
        <w:jc w:val="left"/>
      </w:pPr>
      <w:r>
        <w:rPr>
          <w:rFonts w:ascii="Arial" w:cs="Arial" w:eastAsia="Arial" w:hAnsi="Arial"/>
          <w:b w:val="false"/>
          <w:bCs w:val="false"/>
          <w:color w:val="000000"/>
          <w:sz w:val="20"/>
          <w:szCs w:val="20"/>
        </w:rPr>
        <w:t xml:space="preserve">Issues are rated High, Medium, or Low based on their combined significance and potential impact on the ISMS. This register is reviewed at least annually and following any material change to the organisation's operating context.</w:t>
      </w:r>
    </w:p>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4. Organisational Overview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Organisation Name</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Primary Activity</w:t>
            </w:r>
          </w:p>
        </w:tc>
        <w:tc>
          <w:tcPr>
            <w:tcW w:type="dxa" w:w="6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Provision of IT managed services, cyber security advisory, and infrastructure support</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Organisation Size</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1–10 employees (micro-organisation)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Geographic Footprint</w:t>
            </w:r>
          </w:p>
        </w:tc>
        <w:tc>
          <w:tcPr>
            <w:tcW w:type="dxa" w:w="6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United Kingdom (primary); European Union (client engagements)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Client Sectors</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Commercial, public sector, and where applicable, critical national infrastructure adjacent organisations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Regulatory Jurisdiction</w:t>
            </w:r>
          </w:p>
        </w:tc>
        <w:tc>
          <w:tcPr>
            <w:tcW w:type="dxa" w:w="6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England and Wales (primary); EU GDPR applicability for EU data subjects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 Certification Target</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27001:2022</w:t>
            </w:r>
          </w:p>
        </w:tc>
      </w:tr>
    </w:tbl>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5. High-Level SWOT Analysis</w:t>
      </w:r>
    </w:p>
    <w:p>
      <w:pPr>
        <w:spacing w:after="60" w:before="60"/>
        <w:jc w:val="left"/>
      </w:pPr>
      <w:r>
        <w:rPr>
          <w:rFonts w:ascii="Arial" w:cs="Arial" w:eastAsia="Arial" w:hAnsi="Arial"/>
          <w:b w:val="false"/>
          <w:bCs w:val="false"/>
          <w:color w:val="000000"/>
          <w:sz w:val="20"/>
          <w:szCs w:val="20"/>
        </w:rPr>
        <w:t xml:space="preserve">The following SWOT analysis provides a synthesised view of the key factors identified through the detailed issue registers in Sections 6 and 7. It is intended to support management review and strategic ISMS planning.</w:t>
      </w:r>
    </w:p>
    <w:p>
      <w:pPr>
        <w:spacing w:after="12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Strengths (Internal — Positive)</w:t>
            </w:r>
          </w:p>
        </w:tc>
        <w:tc>
          <w:tcPr>
            <w:tcW w:type="dxa" w:w="4630"/>
            <w:gridSpan w:val="1"/>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Weaknesses (Internal — Negative)</w:t>
            </w:r>
          </w:p>
        </w:tc>
      </w:tr>
      <w:tr>
        <w:tc>
          <w:tcPr>
            <w:tcW w:type="dxa" w:w="46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18"/>
                <w:szCs w:val="18"/>
              </w:rPr>
              <w:t xml:space="preserve">• Deep technical expertise in cyber security and managed services</w:t>
            </w:r>
          </w:p>
          <w:p>
            <w:pPr>
              <w:spacing w:after="60" w:before="60"/>
              <w:jc w:val="left"/>
            </w:pPr>
            <w:r>
              <w:rPr>
                <w:rFonts w:ascii="Arial" w:cs="Arial" w:eastAsia="Arial" w:hAnsi="Arial"/>
                <w:b w:val="false"/>
                <w:bCs w:val="false"/>
                <w:color w:val="000000"/>
                <w:sz w:val="18"/>
                <w:szCs w:val="18"/>
              </w:rPr>
              <w:t xml:space="preserve">• Existing Microsoft security stack (Defender, Sentinel, Entra ID)</w:t>
            </w:r>
          </w:p>
          <w:p>
            <w:pPr>
              <w:spacing w:after="60" w:before="60"/>
              <w:jc w:val="left"/>
            </w:pPr>
            <w:r>
              <w:rPr>
                <w:rFonts w:ascii="Arial" w:cs="Arial" w:eastAsia="Arial" w:hAnsi="Arial"/>
                <w:b w:val="false"/>
                <w:bCs w:val="false"/>
                <w:color w:val="000000"/>
                <w:sz w:val="18"/>
                <w:szCs w:val="18"/>
              </w:rPr>
              <w:t xml:space="preserve">• Agile, responsive organisation with short decision-making chains</w:t>
            </w:r>
          </w:p>
          <w:p>
            <w:pPr>
              <w:spacing w:after="60" w:before="60"/>
              <w:jc w:val="left"/>
            </w:pPr>
            <w:r>
              <w:rPr>
                <w:rFonts w:ascii="Arial" w:cs="Arial" w:eastAsia="Arial" w:hAnsi="Arial"/>
                <w:b w:val="false"/>
                <w:bCs w:val="false"/>
                <w:color w:val="000000"/>
                <w:sz w:val="18"/>
                <w:szCs w:val="18"/>
              </w:rPr>
              <w:t xml:space="preserve">• ISO 27001 certification pursuit signals security commitment to clients</w:t>
            </w:r>
          </w:p>
        </w:tc>
        <w:tc>
          <w:tcPr>
            <w:tcW w:type="dxa" w:w="463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18"/>
                <w:szCs w:val="18"/>
              </w:rPr>
              <w:t xml:space="preserve">• Small team limits segregation of duties and cover arrangements</w:t>
            </w:r>
          </w:p>
          <w:p>
            <w:pPr>
              <w:spacing w:after="60" w:before="60"/>
              <w:jc w:val="left"/>
            </w:pPr>
            <w:r>
              <w:rPr>
                <w:rFonts w:ascii="Arial" w:cs="Arial" w:eastAsia="Arial" w:hAnsi="Arial"/>
                <w:b w:val="false"/>
                <w:bCs w:val="false"/>
                <w:color w:val="000000"/>
                <w:sz w:val="18"/>
                <w:szCs w:val="18"/>
              </w:rPr>
              <w:t xml:space="preserve">• Reliance on key personnel for critical functions</w:t>
            </w:r>
          </w:p>
          <w:p>
            <w:pPr>
              <w:spacing w:after="60" w:before="60"/>
              <w:jc w:val="left"/>
            </w:pPr>
            <w:r>
              <w:rPr>
                <w:rFonts w:ascii="Arial" w:cs="Arial" w:eastAsia="Arial" w:hAnsi="Arial"/>
                <w:b w:val="false"/>
                <w:bCs w:val="false"/>
                <w:color w:val="000000"/>
                <w:sz w:val="18"/>
                <w:szCs w:val="18"/>
              </w:rPr>
              <w:t xml:space="preserve">• Policy and procedure documentation requires formalisation</w:t>
            </w:r>
          </w:p>
          <w:p>
            <w:pPr>
              <w:spacing w:after="60" w:before="60"/>
              <w:jc w:val="left"/>
            </w:pPr>
            <w:r>
              <w:rPr>
                <w:rFonts w:ascii="Arial" w:cs="Arial" w:eastAsia="Arial" w:hAnsi="Arial"/>
                <w:b w:val="false"/>
                <w:bCs w:val="false"/>
                <w:color w:val="000000"/>
                <w:sz w:val="18"/>
                <w:szCs w:val="18"/>
              </w:rPr>
              <w:t xml:space="preserve">• No dedicated CISO or full-time security role</w:t>
            </w:r>
          </w:p>
        </w:tc>
      </w:tr>
      <w:tr>
        <w:tc>
          <w:tcPr>
            <w:tcW w:type="dxa" w:w="4630"/>
            <w:gridSpan w:val="1"/>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Opportunities (External — Positive)</w:t>
            </w:r>
          </w:p>
        </w:tc>
        <w:tc>
          <w:tcPr>
            <w:tcW w:type="dxa" w:w="4630"/>
            <w:gridSpan w:val="1"/>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Threats (External — Negative)</w:t>
            </w:r>
          </w:p>
        </w:tc>
      </w:tr>
      <w:tr>
        <w:tc>
          <w:tcPr>
            <w:tcW w:type="dxa" w:w="463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18"/>
                <w:szCs w:val="18"/>
              </w:rPr>
              <w:t xml:space="preserve">• Growing market demand for certified MSP security providers</w:t>
            </w:r>
          </w:p>
          <w:p>
            <w:pPr>
              <w:spacing w:after="60" w:before="60"/>
              <w:jc w:val="left"/>
            </w:pPr>
            <w:r>
              <w:rPr>
                <w:rFonts w:ascii="Arial" w:cs="Arial" w:eastAsia="Arial" w:hAnsi="Arial"/>
                <w:b w:val="false"/>
                <w:bCs w:val="false"/>
                <w:color w:val="000000"/>
                <w:sz w:val="18"/>
                <w:szCs w:val="18"/>
              </w:rPr>
              <w:t xml:space="preserve">• UK public sector and CNI clients requiring supply chain assurance</w:t>
            </w:r>
          </w:p>
          <w:p>
            <w:pPr>
              <w:spacing w:after="60" w:before="60"/>
              <w:jc w:val="left"/>
            </w:pPr>
            <w:r>
              <w:rPr>
                <w:rFonts w:ascii="Arial" w:cs="Arial" w:eastAsia="Arial" w:hAnsi="Arial"/>
                <w:b w:val="false"/>
                <w:bCs w:val="false"/>
                <w:color w:val="000000"/>
                <w:sz w:val="18"/>
                <w:szCs w:val="18"/>
              </w:rPr>
              <w:t xml:space="preserve">• Expansion of EU client base leveraging UK GDPR adequacy</w:t>
            </w:r>
          </w:p>
          <w:p>
            <w:pPr>
              <w:spacing w:after="60" w:before="60"/>
              <w:jc w:val="left"/>
            </w:pPr>
            <w:r>
              <w:rPr>
                <w:rFonts w:ascii="Arial" w:cs="Arial" w:eastAsia="Arial" w:hAnsi="Arial"/>
                <w:b w:val="false"/>
                <w:bCs w:val="false"/>
                <w:color w:val="000000"/>
                <w:sz w:val="18"/>
                <w:szCs w:val="18"/>
              </w:rPr>
              <w:t xml:space="preserve">• Opportunity to differentiate via advisory-led security services</w:t>
            </w:r>
          </w:p>
        </w:tc>
        <w:tc>
          <w:tcPr>
            <w:tcW w:type="dxa" w:w="463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18"/>
                <w:szCs w:val="18"/>
              </w:rPr>
              <w:t xml:space="preserve">• Elevated threat targeting of MSPs by ransomware and nation-state actors</w:t>
            </w:r>
          </w:p>
          <w:p>
            <w:pPr>
              <w:spacing w:after="60" w:before="60"/>
              <w:jc w:val="left"/>
            </w:pPr>
            <w:r>
              <w:rPr>
                <w:rFonts w:ascii="Arial" w:cs="Arial" w:eastAsia="Arial" w:hAnsi="Arial"/>
                <w:b w:val="false"/>
                <w:bCs w:val="false"/>
                <w:color w:val="000000"/>
                <w:sz w:val="18"/>
                <w:szCs w:val="18"/>
              </w:rPr>
              <w:t xml:space="preserve">• Evolving regulatory landscape (NIS2, AI Act) adding compliance burden</w:t>
            </w:r>
          </w:p>
          <w:p>
            <w:pPr>
              <w:spacing w:after="60" w:before="60"/>
              <w:jc w:val="left"/>
            </w:pPr>
            <w:r>
              <w:rPr>
                <w:rFonts w:ascii="Arial" w:cs="Arial" w:eastAsia="Arial" w:hAnsi="Arial"/>
                <w:b w:val="false"/>
                <w:bCs w:val="false"/>
                <w:color w:val="000000"/>
                <w:sz w:val="18"/>
                <w:szCs w:val="18"/>
              </w:rPr>
              <w:t xml:space="preserve">• Vendor concentration risk and cloud platform outages</w:t>
            </w:r>
          </w:p>
          <w:p>
            <w:pPr>
              <w:spacing w:after="60" w:before="60"/>
              <w:jc w:val="left"/>
            </w:pPr>
            <w:r>
              <w:rPr>
                <w:rFonts w:ascii="Arial" w:cs="Arial" w:eastAsia="Arial" w:hAnsi="Arial"/>
                <w:b w:val="false"/>
                <w:bCs w:val="false"/>
                <w:color w:val="000000"/>
                <w:sz w:val="18"/>
                <w:szCs w:val="18"/>
              </w:rPr>
              <w:t xml:space="preserve">• Economic downturn reducing client security investment</w:t>
            </w:r>
          </w:p>
        </w:tc>
      </w:tr>
    </w:tbl>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6. External Issues Register</w:t>
      </w:r>
    </w:p>
    <w:p>
      <w:pPr>
        <w:spacing w:after="60" w:before="60"/>
        <w:jc w:val="left"/>
      </w:pPr>
      <w:r>
        <w:rPr>
          <w:rFonts w:ascii="Arial" w:cs="Arial" w:eastAsia="Arial" w:hAnsi="Arial"/>
          <w:b w:val="false"/>
          <w:bCs w:val="false"/>
          <w:color w:val="000000"/>
          <w:sz w:val="20"/>
          <w:szCs w:val="20"/>
        </w:rPr>
        <w:t xml:space="preserve">External issues are those arising from the external environment in which the organisation operates, including regulatory, market, competitive, threat, economic, geopolitical, and technological factors. External issues are outside the organisation's direct control but must be monitored and responded to through ISMS controls and strategic planning.</w:t>
      </w:r>
    </w:p>
    <w:p>
      <w:pPr>
        <w:spacing w:after="12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00"/>
        <w:gridCol w:w="800"/>
        <w:gridCol w:w="176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on ISMS</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Rating</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UK GDPR and Data Protection Act 2018 obligations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Drives information security controls, data handling procedures, and breach notification requirements across all client engagements.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&amp; Compliance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NIS Regulations 2018 (and upcoming NIS2 transposition)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impose additional obligations on clients operating as Operators of Essential Services; shapes advisory scope and contractual security requirements.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&amp; Compliance</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EU GDPR applicability (EU-based clients / data subjects)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Cross-border data flows require appropriate transfer mechanisms; ISMS controls must accommodate EU regulatory expectations.</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&amp; Compliance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Cyber Essentials / Cyber Essentials Plus scheme (NCSC)</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Certification is a common contractual prerequisite for UK public sector and CNI clients; ISMS must maintain alignment.</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Market &amp; Commercial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Increasing client demand for supply chain security assurance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Customers require evidence of ISMS certification and third-party risk controls as part of procurement; non-compliance risks contract loss.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Market &amp; Commercial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Competitive landscape — other MSPs pursuing ISO 27001 certification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Certification differentiates the organisation; failure to maintain standards risks reputational and commercial disadvantage.</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Market &amp; Commercial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Dependency on key technology vendors (Microsoft, cloud hyperscalers)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Vendor outages, licensing changes, or security incidents directly impact service delivery and client trust.</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of Technology</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Threat Landscape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Elevated ransomware and supply chain attack risk targeting MSPs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MSPs are high-value targets; compromise of the organisation could cascade to clients. Drives privileged access, segmentation, and IR controls.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Threat Landscape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Phishing, social engineering, and credential theft campaigns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Small workforce increases per-capita exposure; compromise of a single account may be business-critical.</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Threat Landscape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State-sponsored threat activity targeting UK CNI sectors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clients operate in CNI sectors (energy, health, transport), threat intelligence must inform client-facing advisory services.</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Economic</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Cost pressures and inflationary environment in the UK</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constrain investment in tooling, training, and security controls; risk appetite and resource prioritisation must be reviewed annually.</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Economic</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Macroeconomic uncertainty affecting client spending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Reduced client budgets could impact managed service contract renewals and scope; business continuity planning required.</w:t>
            </w:r>
          </w:p>
        </w:tc>
        <w:tc>
          <w:tcPr>
            <w:tcW w:type="dxa" w:w="8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Low</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Geopolitical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UK–EU post-Brexit data adequacy and trade dynamics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Adequacy decision may be subject to change; data transfer mechanisms between UK and EU must be monitored and adapted.</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&amp; Compliance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Rapid evolution of AI and automation tools in security operations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Adoption of AI tooling introduces new data processing risks and potential confidentiality concerns requiring policy governance.</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bl>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7. Internal Issues Register</w:t>
      </w:r>
    </w:p>
    <w:p>
      <w:pPr>
        <w:spacing w:after="60" w:before="60"/>
        <w:jc w:val="left"/>
      </w:pPr>
      <w:r>
        <w:rPr>
          <w:rFonts w:ascii="Arial" w:cs="Arial" w:eastAsia="Arial" w:hAnsi="Arial"/>
          <w:b w:val="false"/>
          <w:bCs w:val="false"/>
          <w:color w:val="000000"/>
          <w:sz w:val="20"/>
          <w:szCs w:val="20"/>
        </w:rPr>
        <w:t xml:space="preserve">Internal issues are those arising from within the organisation, including its governance structures, resources, capabilities, culture, and operational processes. Internal issues are within the organisation's sphere of influence and should be addressed through targeted ISMS controls, procedural improvements, and management action.</w:t>
      </w:r>
    </w:p>
    <w:p>
      <w:pPr>
        <w:spacing w:after="12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00"/>
        <w:gridCol w:w="800"/>
        <w:gridCol w:w="176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on ISMS</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Rating</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Small workforce (1–10 staff) with limited segregation of duties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Concentration of responsibilities increases insider threat risk and single points of failure; compensating controls and cross-training are essential.</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Reliance on key personnel for critical technical and security functions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Loss of key individuals could severely impact ISMS operation and service continuity; succession planning and documentation required.</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Senior leadership commitment and security culture maturity</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effectiveness depends on consistent leadership endorsement and staff adherence; culture must be actively managed.</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Absence of a dedicated CISO or full-time security resource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responsibilities shared across operational roles; formal ISMS oversight structure must compensate via defined roles and governance forums.</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&amp; Infrastructure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 of cloud-hosted infrastructure and SaaS platforms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Shared responsibility model requires clarity on provider obligations; configuration management and access control are organisational responsibilities.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of Technology</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&amp; Infrastructure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Remote and hybrid working model across UK and EU</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Increases attack surface; endpoint security, VPN policy, and device management controls must be enforced consistently.</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&amp; Infrastructure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Privileged access to client environments (managed services)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Privileged access represents highest-risk attack vector; PAM controls, MFA, and session logging are critical compensating controls.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&amp; Infrastructure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Asset management maturity and CMDB completeness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Incomplete asset registers increase risk of unmanaged or forgotten assets holding sensitive data; asset lifecycle process must be formalised.</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of Technology</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Processes &amp; Governance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Immaturity of formal documented policies and procedures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27001:2022 certification requires a documented policy framework; gaps represent non-conformity risk during audit.</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Processes &amp; Governance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response process formalisation and testing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Without tested IR procedures, response to security events will be ad hoc; tabletop exercises and runbooks are required.</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Processes &amp; Governance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Supplier and third-party risk management programme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Reliance on key vendors without formal risk assessments exposes the organisation to supply chain risk.</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Processes &amp; Governance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continuity and disaster recovery planning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Limited documented BCP/DRP for a small organisation increases recovery time risk following a major incident.</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Human Resources</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awareness training programme maturity</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Staff awareness is the primary defence against phishing and social engineering; a formal training programme must be established and tracked.</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Human Resources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Staff onboarding and offboarding procedures for access control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Joiner/mover/leaver processes must be formalised to prevent orphaned accounts and unauthorised access.</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Financial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Budget availability for ISMS tooling, certification, and training</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Constrained budgets may limit control implementation; annual ISMS budget must be formally approved and allocated.</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bl>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8. Linkage to ISMS Objectives and Risk Treatment</w:t>
      </w:r>
    </w:p>
    <w:p>
      <w:pPr>
        <w:spacing w:after="60" w:before="60"/>
        <w:jc w:val="left"/>
      </w:pPr>
      <w:r>
        <w:rPr>
          <w:rFonts w:ascii="Arial" w:cs="Arial" w:eastAsia="Arial" w:hAnsi="Arial"/>
          <w:b w:val="false"/>
          <w:bCs w:val="false"/>
          <w:color w:val="000000"/>
          <w:sz w:val="20"/>
          <w:szCs w:val="20"/>
        </w:rPr>
        <w:t xml:space="preserve">The issues identified in this register provide direct input into the following ISMS processes and documents:</w:t>
      </w:r>
    </w:p>
    <w:p>
      <w:pPr>
        <w:spacing w:after="12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700"/>
      </w:tblGrid>
      <w:tr>
        <w:trPr>
          <w:tblHeader/>
        </w:trP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ISMS Process</w:t>
            </w:r>
          </w:p>
        </w:tc>
        <w:tc>
          <w:tcPr>
            <w:tcW w:type="dxa" w:w="3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2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Interested Parties</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ISMS-CTX-002</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Context issues drive interested party needs analysis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 Scope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ISMS-SCO-001</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Context defines scope boundaries and exclusions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 Assessment</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ISMS-RA-001</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High-rated issues feed directly into risk register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 Policy</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ISMS-POL-001</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scope and objectives informed by context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Management Review</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ISMS-MR-001 (template)</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Context register reviewed as standing agenda item</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Business Continuity</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ISMS-BCP-001</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issues (key person, BCP maturity) inform BCP scope</w:t>
            </w:r>
          </w:p>
        </w:tc>
      </w:tr>
    </w:tbl>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9. Review and Maintenance</w:t>
      </w:r>
    </w:p>
    <w:p>
      <w:pPr>
        <w:spacing w:after="60" w:before="60"/>
        <w:jc w:val="left"/>
      </w:pPr>
      <w:r>
        <w:rPr>
          <w:rFonts w:ascii="Arial" w:cs="Arial" w:eastAsia="Arial" w:hAnsi="Arial"/>
          <w:b w:val="false"/>
          <w:bCs w:val="false"/>
          <w:color w:val="000000"/>
          <w:sz w:val="20"/>
          <w:szCs w:val="20"/>
        </w:rPr>
        <w:t xml:space="preserve">This register shall be reviewed and updated under the following conditions:</w:t>
      </w:r>
    </w:p>
    <w:p>
      <w:pPr>
        <w:spacing w:after="120" w:before="120"/>
      </w:pPr>
    </w:p>
    <w:p>
      <w:pPr>
        <w:pStyle w:val="ListParagraph"/>
        <w:numPr>
          <w:ilvl w:val="0"/>
          <w:numId w:val="2"/>
        </w:numPr>
        <w:spacing w:after="40" w:before="40"/>
      </w:pPr>
      <w:r>
        <w:rPr>
          <w:rFonts w:ascii="Arial" w:cs="Arial" w:eastAsia="Arial" w:hAnsi="Arial"/>
          <w:sz w:val="20"/>
          <w:szCs w:val="20"/>
        </w:rPr>
        <w:t xml:space="preserve">Annually as part of the ISMS Management Review cycle (Clause 9.3)</w:t>
      </w:r>
    </w:p>
    <w:p>
      <w:pPr>
        <w:pStyle w:val="ListParagraph"/>
        <w:numPr>
          <w:ilvl w:val="0"/>
          <w:numId w:val="2"/>
        </w:numPr>
        <w:spacing w:after="40" w:before="40"/>
      </w:pPr>
      <w:r>
        <w:rPr>
          <w:rFonts w:ascii="Arial" w:cs="Arial" w:eastAsia="Arial" w:hAnsi="Arial"/>
          <w:sz w:val="20"/>
          <w:szCs w:val="20"/>
        </w:rPr>
        <w:t xml:space="preserve">Following any significant change to the organisation's operating model, ownership, or geographic footprint</w:t>
      </w:r>
    </w:p>
    <w:p>
      <w:pPr>
        <w:pStyle w:val="ListParagraph"/>
        <w:numPr>
          <w:ilvl w:val="0"/>
          <w:numId w:val="2"/>
        </w:numPr>
        <w:spacing w:after="40" w:before="40"/>
      </w:pPr>
      <w:r>
        <w:rPr>
          <w:rFonts w:ascii="Arial" w:cs="Arial" w:eastAsia="Arial" w:hAnsi="Arial"/>
          <w:sz w:val="20"/>
          <w:szCs w:val="20"/>
        </w:rPr>
        <w:t xml:space="preserve">Following a material change in the regulatory or threat environment</w:t>
      </w:r>
    </w:p>
    <w:p>
      <w:pPr>
        <w:pStyle w:val="ListParagraph"/>
        <w:numPr>
          <w:ilvl w:val="0"/>
          <w:numId w:val="2"/>
        </w:numPr>
        <w:spacing w:after="40" w:before="40"/>
      </w:pPr>
      <w:r>
        <w:rPr>
          <w:rFonts w:ascii="Arial" w:cs="Arial" w:eastAsia="Arial" w:hAnsi="Arial"/>
          <w:sz w:val="20"/>
          <w:szCs w:val="20"/>
        </w:rPr>
        <w:t xml:space="preserve">Following a significant security incident or near-miss that reveals a previously unidentified context issue</w:t>
      </w:r>
    </w:p>
    <w:p>
      <w:pPr>
        <w:pStyle w:val="ListParagraph"/>
        <w:numPr>
          <w:ilvl w:val="0"/>
          <w:numId w:val="2"/>
        </w:numPr>
        <w:spacing w:after="40" w:before="40"/>
      </w:pPr>
      <w:r>
        <w:rPr>
          <w:rFonts w:ascii="Arial" w:cs="Arial" w:eastAsia="Arial" w:hAnsi="Arial"/>
          <w:sz w:val="20"/>
          <w:szCs w:val="20"/>
        </w:rPr>
        <w:t xml:space="preserve">At the discretion of the Information Security Manager where emerging issues warrant interim review</w:t>
      </w:r>
    </w:p>
    <w:p>
      <w:pPr>
        <w:spacing w:after="120" w:before="120"/>
      </w:pPr>
    </w:p>
    <w:p>
      <w:pPr>
        <w:spacing w:after="60" w:before="60"/>
        <w:jc w:val="left"/>
      </w:pPr>
      <w:r>
        <w:rPr>
          <w:rFonts w:ascii="Arial" w:cs="Arial" w:eastAsia="Arial" w:hAnsi="Arial"/>
          <w:b w:val="false"/>
          <w:bCs w:val="false"/>
          <w:color w:val="000000"/>
          <w:sz w:val="20"/>
          <w:szCs w:val="20"/>
        </w:rPr>
        <w:t xml:space="preserve">Changes to this register require approval by the Information Security Manager and notification to the Managing Director. Material changes that affect the ISMS scope or risk profile shall be escalated to the next management review.</w:t>
      </w:r>
    </w:p>
    <w:p>
      <w:pPr>
        <w:spacing w:after="120" w:before="120"/>
      </w:pPr>
    </w:p>
    <w:p>
      <w:pPr>
        <w:pStyle w:val="Heading1"/>
        <w:pBdr>
          <w:bottom w:val="single" w:color="2E75B6" w:sz="6" w:space="1"/>
        </w:pBdr>
        <w:spacing w:after="120" w:before="360"/>
      </w:pPr>
      <w:r>
        <w:rPr>
          <w:rFonts w:ascii="Arial" w:cs="Arial" w:eastAsia="Arial" w:hAnsi="Arial"/>
          <w:b/>
          <w:bCs/>
          <w:color w:val="1F3864"/>
          <w:sz w:val="32"/>
          <w:szCs w:val="32"/>
        </w:rPr>
        <w:t xml:space="preserve">10.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cybersecurity and privacy protection — Clause 4.1: Understanding the organisation and its context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31000:2018</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management — Guidelines — Clause 5.4.1: External and internal context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UK GDPR / DPA 2018</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UK General Data Protection Regulation and Data Protection Act 2018</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EU GDPR 2016/679</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General Data Protection Regulation (EU) applicable to EU data subjects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NIS Regulations 2018</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and Information Systems Regulations 2018 (UK)</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ISMS-CTX-002</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Interested Parties Register (Clause 4.2)</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ISMS-SCO-001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 Scope Statement (Clause 4.3)</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ISMS-RA-001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Risk Assessment and Treatment Plan (Clause 6.1)</w:t>
            </w:r>
          </w:p>
        </w:tc>
      </w:tr>
    </w:tbl>
    <w:p>
      <w:pPr>
        <w:spacing w:after="120" w:before="120"/>
      </w:pPr>
    </w:p>
    <w:p>
      <w:pPr>
        <w:spacing w:after="0" w:before="240"/>
      </w:pPr>
      <w:r>
        <w:rPr>
          <w:rFonts w:ascii="Arial" w:cs="Arial" w:eastAsia="Arial" w:hAnsi="Arial"/>
          <w:color w:val="AAAAAA"/>
          <w:sz w:val="16"/>
          <w:szCs w:val="16"/>
        </w:rPr>
        <w:t xml:space="preserve">END OF DOCUMENT — ISMS-CTX-001 v1.0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ISMS Context Register</w:t>
    </w:r>
    <w:r>
      <w:rPr>
        <w:rFonts w:ascii="Arial" w:cs="Arial" w:eastAsia="Arial" w:hAnsi="Arial"/>
        <w:color w:val="888888"/>
        <w:sz w:val="16"/>
        <w:szCs w:val="16"/>
      </w:rPr>
      <w:t xml:space="preserve">	ISMS-CTX-001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2026-04-02T18:13:48.690Z</dcterms:created>
  <dcterms:modified xsi:type="dcterms:W3CDTF">2026-04-02T18:13:48.691Z</dcterms:modified>
</cp:coreProperties>
</file>

<file path=docProps/custom.xml><?xml version="1.0" encoding="utf-8"?>
<Properties xmlns="http://schemas.openxmlformats.org/officeDocument/2006/custom-properties" xmlns:vt="http://schemas.openxmlformats.org/officeDocument/2006/docPropsVTypes"/>
</file>