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</w:p>
    <w:p>
      <w:pPr>
        <w:pBdr>
          <w:bottom w:val="single" w:color="2E75B6" w:sz="18" w:space="4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Apex Managed Services Ltd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Information Security Management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HR Security Policy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Joiner — Mover — Leaver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ISO/IEC 27001:2022 — A.6.1, A.6.2, A.6.4, A.6.5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ISMS-HR-001  |  Version 1.0  |  02 April 2026  |  INTERNAL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1800"/>
        <w:gridCol w:w="19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Reference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ISMS-HR-001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HR Security Policy — Joiner / Mover / Leaver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 April 2026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Apex Managed Services Ltd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 Security Manager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A.6.1, A.6.2, A.6.4, A.6.5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72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Managing Director — Signature: ____________________  Date: ____________________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Purpose and Scope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establishes the information security requirements that apply throughout the employment and contractor engagement lifecycle at Apex Managed Services Ltd. It governs pre-employment screening, security obligations during engagement, and the secure offboarding of all personnel.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It applies to all employees, fixed-term contractors, and third-party contractors who are granted access to organisational or client information assets. It implements the Joiner / Mover / Leaver (JML) process that governs all provisioning and revocation events referenced in ISMS-ACC-001.</w:t>
      </w:r>
    </w:p>
    <w:p>
      <w:pPr>
        <w:spacing w:after="100" w:before="100"/>
      </w:pPr>
    </w:p>
    <w:p>
      <w:pPr>
        <w:pStyle w:val="Heading1"/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Pre-Employment Screening (Joiner — Before Access Granted)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individual is granted access to organisational systems, client environments, or ISMS documented information until the following screening steps have been completed and documented in ISMS-TRN-REC: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60"/>
        <w:gridCol w:w="34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Screening Check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Retained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Identity Verification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Government-issued photo ID verified before contract signing. Passport preferred; driving licence acceptable.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Copy of ID document held in HR file. Not retained beyond employment plus 6 years.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Right to Work (UK)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Right to work in the UK confirmed per Home Office guidance before commencement of employment. For contractors: verified at each renewal.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Right to Work check record in HR file.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Employment History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Previous employment history verified for the last 3 years minimum. Unexplained gaps queried and resolved.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Reference check records in HR file.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References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Minimum one professional reference from a previous employer or, for contractors, a client reference. Reference checked by the MD.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Written reference or reference check notes in HR file.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DBS Check (where applicable)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Basic DBS check conducted where role involves access to particularly sensitive client environments or personal data. Assessment made by MD on appointment.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DBS certificate sighted and result noted. Certificate not retained — result recorded only.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NDA / Confidentiality Agreement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Non-disclosure and confidentiality agreement signed before any access is granted or any information about clients or the ISMS is disclosed.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Signed NDA retained in HR file for duration of engagement plus 6 years.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Security Briefing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Brief verbal or written security orientation covering: this policy, the IS policy (ISMS-POL-001), incident reporting procedure, and acceptable use requirements.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Confirmed in Joiner Checklist (Section 2.1). Full induction training (TRN-002) completed within first week.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Joiner Checklist — Day 1 to Week 1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160"/>
        <w:gridCol w:w="900"/>
      </w:tblGrid>
      <w:tr>
        <w:trPr>
          <w:tblHeader/>
        </w:trP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JOINER CHECKLIST — Complete before / on Day 1 of access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Screening completed and documented in HR file (see Section 2 above)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MD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NDA signed and filed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MD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Employment contract (including IS responsibilities clause) signed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MD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Entra ID account created — role-appropriate licence, RBAC groups assigned (ISMS-ACC-001 §3)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MFA enrolled — phishing-resistant MFA for any privileged account (ISMS-ACC-001 §5)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PAM enrolment completed if role requires privileged access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 Policy (ISMS-POL-001) provided and acknowledgement form (Annex A) signed — filed in ISMS-TRN-REC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ISM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Acceptable Use Policy communicated and confirmed understood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ISM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 induction training (TRN-002) assigned in LMS — target completion within 5 working days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ISM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Protection / UK GDPR awareness (TRN-003) assigned — target completion within 5 working days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ISM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Incident reporting channel communicated — person knows how and to whom to report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ISM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Access to client environments provisioned only where active engagement exists — not pre-emptively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Asset issued (if applicable) — recorded in ISMS-AST-001, encryption confirmed, Intune enrolment completed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Joiner record created in ISMS-TRN-REC Training Register — all mandatory modules assigned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ISM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Security Obligations During Engagement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Contractual Security Requirements (A.6.2)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employment contracts and contractor engagement agreements include the following information security clauses: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Obligation to comply with the Information Security Policy (ISMS-POL-001) and all related ISMS procedures.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Confidentiality obligations in respect of client data, ISMS documentation, and commercially sensitive information — surviving termination.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Obligation to report security incidents, near-misses, and suspected vulnerabilities without delay.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Prohibition on installing unauthorised software on organisational or client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Prohibition on sharing credentials or allowing third parties to use organisational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Acknowledgement that systems and communications may be monitored for security purposes (in accordance with monitoring policy and staff notice).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Consequences of non-compliance — up to and including termination and legal action.</w:t>
      </w:r>
    </w:p>
    <w:p>
      <w:pPr>
        <w:spacing w:after="10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Ongoing Training Requirements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During engagement, all personnel must complete the following: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60"/>
        <w:gridCol w:w="40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Training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Security Awareness (TRN-001)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Annual — KPI-013 target ≥95% within 30 days of launch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LMS completion record in ISMS-TRN-REC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Data Protection / UK GDPR (TRN-003)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Annual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LMS completion record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Phishing Simulation (TRN-006)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Quarterly — KPI-014/015 targets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Phishing platform per-exercise results in ISMS-TRN-REC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 Policy Acknowledgement (ISMS-POL-001)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Annual and on policy revision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Signed Annex A form in ISMS-TRN-REC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Role-specific training (TRN-008 to TRN-012)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 required by role — see ISMS-TRN-REC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Certificate or LMS record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Mover — Role Change Procedure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When an individual's role changes, the following access management steps must be completed before the effective date of the role change:</w:t>
      </w:r>
    </w:p>
    <w:p>
      <w:pPr>
        <w:spacing w:after="40" w:before="4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160"/>
        <w:gridCol w:w="900"/>
      </w:tblGrid>
      <w:tr>
        <w:trPr>
          <w:tblHeader/>
        </w:trP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MOVER CHECKLIST — Complete on or before effective date of role change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Previous RBAC group memberships reviewed — remove any access no longer required in new role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role RBAC groups assigned per ISMS-ACC-001 §4 role profile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Privileged access reviewed — deactivate PIM eligibility for roles no longer required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Client environment access reviewed — remove access to clients no longer in delivery scope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training requirements identified and assigned in LMS (ISMS-TRN-REC)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ISM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 Policy acknowledgement confirmed current (re-sign if &gt;12 months since last signature)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ISM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Access change logged in access review log (OPS-001 evidence)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ISM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Disciplinary Procedure (A.6.4)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Non-compliance with information security policies is treated as a disciplinary matter. The following framework applies: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60"/>
        <w:gridCol w:w="30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Minor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First-time policy violation; accidental disclosure of non-sensitive information; forgotten password leading to lockout.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Informal discussion with ISM. Remedial training assigned. Documented in HR file.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Serious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Repeated minor violations; deliberate circumvention of controls; sharing credentials; installing unauthorised software.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Formal written warning. ISM and MD involved. Training required. Access reviewed and potentially restricted.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Gross Misconduct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Deliberate data exfiltration; intentional breach of confidentiality; fraud; accessing systems without authorisation; disclosure of client data.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Summary dismissal / termination of contractor engagement. Legal action where warranted. Police referral for criminal offences.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Leaver — Secure Offboarding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 ACCESS MUST BE REVOKED WITHIN 4 HOURS OF CONFIRMED DEPARTURE — KPI-003</w:t>
            </w:r>
          </w:p>
        </w:tc>
      </w:tr>
    </w:tbl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 receipt of notice of departure — whether resignation, termination, contract end, or death — the ISM initiates the leaver process immediately. The following checklist must be completed within the stated timelines: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160"/>
        <w:gridCol w:w="900"/>
      </w:tblGrid>
      <w:tr>
        <w:trPr>
          <w:tblHeader/>
        </w:trP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LEAVER CHECKLIST — P1: Immediate (within 4 hours of departure confirmation)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Entra ID account DISABLED — do not delete; disable and retain for audit trail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active Entra ID sessions revoked (Revoke Sessions in Entra ID admin portal)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refresh tokens invalidated (PowerShell: Revoke-AzureADUserAllRefreshToken)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Privileged role deactivated in PIM — before account is disabled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PAM access revoked — credentials rotated for any shared accounts the individual held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Client environment guest accounts removed from all client Entra ID tenants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M365 mailbox set to auto-reply with contact redirect; mail forwarding configured per business need for max 30 days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KPI-003 event recorded — timestamp of departure confirmation vs. timestamp of account disable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ISM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160"/>
        <w:gridCol w:w="900"/>
      </w:tblGrid>
      <w:tr>
        <w:trPr>
          <w:tblHeader/>
        </w:trP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LEAVER CHECKLIST — P2: Within 1 Business Day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organisational devices retrieved — laptop, mobile, hardware MFA keys (YubiKey etc.)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MD / ISM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Device remote wipe initiated via Intune if device cannot be physically retrieved — confirm wipe completion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Retrieve any physical access tokens, keycards, or documents relating to client environments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MD / ISM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and preserve any relevant emails or documents per legal hold or business continuity requirements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ISM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Transfer or archive mailbox contents per data retention policy (ISMS-SPT-001 §6.6)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Personal data on organisational devices wiped per GDPR data minimisation requirements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160"/>
        <w:gridCol w:w="900"/>
      </w:tblGrid>
      <w:tr>
        <w:trPr>
          <w:tblHeader/>
        </w:trP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LEAVER CHECKLIST — P3: Within 5 Working Days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Confirm NDA and post-employment confidentiality obligations communicated in writing to leaver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MD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 ISMS-TRN-REC — mark person as 'Leaver' with departure date. Do NOT delete records.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ISM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 ISMS-AST-001 — remove departed person from asset ownership records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ISM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Notify clients where the individual was a named contact or had privileged access to their environment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MD / ISM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Conduct targeted access review — verify no residual access remains anywhere (ISMS-ACC-001 §7)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Complete leaver record in HR file — departure date, reason (coded), assets returned, access revoked date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MD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Assess whether any client notifications are required under contractual or GDPR obligations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ISM / DPL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Post-Employment Obligations (A.6.5)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NDAs and confidentiality agreements survive termination and remain enforceable.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Former employees and contractors may not remove or retain copies of client data, ISMS documentation, or proprietary information.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suspected breach of post-employment confidentiality obligations is reported to the ISM immediately and escalated to legal counsel and MD.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Personal data of former employees is retained per the retention schedule in ISMS-SPT-001 §6.6 and then securely deleted.</w:t>
      </w:r>
    </w:p>
    <w:p>
      <w:pPr>
        <w:spacing w:after="100" w:before="100"/>
      </w:pPr>
    </w:p>
    <w:p>
      <w:pPr>
        <w:pStyle w:val="Heading1"/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Linkage to Other Documents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60"/>
        <w:gridCol w:w="40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ISMS-ACC-001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Access Control Policy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Defines the technical access controls provisioned and revoked by the JML procedure in this policy.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ISMS-TRN-REC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Training and Competence Records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Training assignments, completions, and policy acknowledgements triggered by the JML process are recorded here.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ISMS-AST-001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Asset Register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Device issuance and return at joiner/leaver events are tracked in the asset register.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ISMS-PLN-001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Risk Register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ISK-007 (insider threat) and ISK-006 (key person dependency) are treated by this policy.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ISMS-IRP-001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Incident Response Plan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Security incidents involving staff (insider threat, account compromise by former employee) are handled via IRP Playbooks 3 and 4.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ISMS-PEV-001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 Evaluation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KPI-003 (leaver deprovisioning SLA) is measured against the 4-hour SLA in this policy.</w:t>
            </w:r>
          </w:p>
        </w:tc>
      </w:tr>
    </w:tbl>
    <w:p>
      <w:pPr>
        <w:spacing w:after="60" w:before="120"/>
      </w:pPr>
    </w:p>
    <w:p>
      <w:pPr>
        <w:spacing w:after="0" w:before="60"/>
        <w:jc w:val="center"/>
      </w:pPr>
      <w:r>
        <w:rPr>
          <w:rFonts w:ascii="Arial" w:cs="Arial" w:eastAsia="Arial" w:hAnsi="Arial"/>
          <w:color w:val="AAAAAA"/>
          <w:sz w:val="14"/>
          <w:szCs w:val="14"/>
        </w:rPr>
        <w:t xml:space="preserve">END OF DOCUMENT — ISMS-HR-001 v1.0</w:t>
      </w:r>
    </w:p>
    <w:sectPr>
      <w:headerReference w:type="default" r:id="rId7"/>
      <w:footerReference w:type="default" r:id="rId8"/>
      <w:pgSz w:w="11906" w:h="16838" w:orient="portrait"/>
      <w:pgMar w:top="1260" w:right="1134" w:bottom="126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center" w:pos="4680"/>
        <w:tab w:val="right" w:pos="9026"/>
      </w:tabs>
      <w:spacing w:before="100"/>
    </w:pPr>
    <w:r>
      <w:rPr>
        <w:rFonts w:ascii="Arial" w:cs="Arial" w:eastAsia="Arial" w:hAnsi="Arial"/>
        <w:b/>
        <w:bCs/>
        <w:color w:val="2E75B6"/>
        <w:sz w:val="15"/>
        <w:szCs w:val="15"/>
      </w:rPr>
      <w:t xml:space="preserve">INTERNAL</w:t>
    </w:r>
    <w:r>
      <w:rPr>
        <w:rFonts w:ascii="Arial" w:cs="Arial" w:eastAsia="Arial" w:hAnsi="Arial"/>
        <w:color w:val="888888"/>
        <w:sz w:val="15"/>
        <w:szCs w:val="15"/>
      </w:rPr>
      <w:t xml:space="preserve">	Page </w:t>
    </w:r>
    <w:fldSimple w:instr="PAGE">
      <w:r>
        <w:rPr>
          <w:rFonts w:ascii="Arial" w:cs="Arial" w:eastAsia="Arial" w:hAnsi="Arial"/>
          <w:color w:val="888888"/>
          <w:sz w:val="15"/>
          <w:szCs w:val="15"/>
        </w:rPr>
      </w:r>
    </w:fldSimple>
    <w:r>
      <w:rPr>
        <w:rFonts w:ascii="Arial" w:cs="Arial" w:eastAsia="Arial" w:hAnsi="Arial"/>
        <w:color w:val="888888"/>
        <w:sz w:val="15"/>
        <w:szCs w:val="15"/>
      </w:rPr>
      <w:t xml:space="preserve">	02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1F3864"/>
        <w:sz w:val="17"/>
        <w:szCs w:val="17"/>
      </w:rPr>
      <w:t xml:space="preserve">Apex Managed Services Ltd — HR Security Policy — Joiner / Mover / Leaver</w:t>
    </w:r>
    <w:r>
      <w:rPr>
        <w:rFonts w:ascii="Arial" w:cs="Arial" w:eastAsia="Arial" w:hAnsi="Arial"/>
        <w:color w:val="888888"/>
        <w:sz w:val="15"/>
        <w:szCs w:val="15"/>
      </w:rPr>
      <w:t xml:space="preserve">	ISMS-HR-001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2026-04-03T10:40:58.058Z</dcterms:created>
  <dcterms:modified xsi:type="dcterms:W3CDTF">2026-04-03T10:40:58.059Z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