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pBdr>
          <w:bottom w:val="single" w:color="2E75B6" w:sz="18" w:space="4"/>
        </w:pBdr>
        <w:spacing w:after="160" w:before="0"/>
        <w:jc w:val="center"/>
      </w:pPr>
      <w:r>
        <w:rPr>
          <w:rFonts w:ascii="Arial" w:cs="Arial" w:eastAsia="Arial" w:hAnsi="Arial"/>
          <w:b/>
          <w:bCs/>
          <w:color w:val="1F3864"/>
          <w:sz w:val="44"/>
          <w:szCs w:val="44"/>
        </w:rPr>
        <w:t xml:space="preserve">Apex Managed Services Ltd</w:t>
      </w:r>
    </w:p>
    <w:p>
      <w:pPr>
        <w:spacing w:after="80" w:before="160"/>
        <w:jc w:val="center"/>
      </w:pPr>
      <w:r>
        <w:rPr>
          <w:rFonts w:ascii="Arial" w:cs="Arial" w:eastAsia="Arial" w:hAnsi="Arial"/>
          <w:color w:val="404040"/>
          <w:sz w:val="26"/>
          <w:szCs w:val="26"/>
        </w:rPr>
        <w:t xml:space="preserve">Information Security Management System</w:t>
      </w:r>
    </w:p>
    <w:p>
      <w:pPr>
        <w:spacing w:after="60" w:before="0"/>
        <w:jc w:val="center"/>
      </w:pPr>
      <w:r>
        <w:rPr>
          <w:rFonts w:ascii="Arial" w:cs="Arial" w:eastAsia="Arial" w:hAnsi="Arial"/>
          <w:b/>
          <w:bCs/>
          <w:color w:val="2E75B6"/>
          <w:sz w:val="36"/>
          <w:szCs w:val="36"/>
        </w:rPr>
        <w:t xml:space="preserve">Security Awareness</w:t>
      </w:r>
    </w:p>
    <w:p>
      <w:pPr>
        <w:spacing w:after="280" w:before="0"/>
        <w:jc w:val="center"/>
      </w:pPr>
      <w:r>
        <w:rPr>
          <w:rFonts w:ascii="Arial" w:cs="Arial" w:eastAsia="Arial" w:hAnsi="Arial"/>
          <w:b/>
          <w:bCs/>
          <w:color w:val="2E75B6"/>
          <w:sz w:val="26"/>
          <w:szCs w:val="26"/>
        </w:rPr>
        <w:t xml:space="preserve">Training Procedure</w:t>
      </w:r>
    </w:p>
    <w:p>
      <w:pPr>
        <w:spacing w:after="60" w:before="0"/>
        <w:jc w:val="center"/>
      </w:pPr>
      <w:r>
        <w:rPr>
          <w:rFonts w:ascii="Arial" w:cs="Arial" w:eastAsia="Arial" w:hAnsi="Arial"/>
          <w:color w:val="404040"/>
          <w:sz w:val="18"/>
          <w:szCs w:val="18"/>
        </w:rPr>
        <w:t xml:space="preserve">ISO/IEC 27001:2022 — 7.2, 7.3, A.6.3</w:t>
      </w:r>
    </w:p>
    <w:p>
      <w:pPr>
        <w:spacing w:after="280" w:before="0"/>
        <w:jc w:val="center"/>
      </w:pPr>
      <w:r>
        <w:rPr>
          <w:rFonts w:ascii="Arial" w:cs="Arial" w:eastAsia="Arial" w:hAnsi="Arial"/>
          <w:color w:val="888888"/>
          <w:sz w:val="17"/>
          <w:szCs w:val="17"/>
        </w:rPr>
        <w:t xml:space="preserve">ISMS-HR-002  |  Version 1.0  |  02 April 2026  |  INTERNAL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1800"/>
        <w:gridCol w:w="1900"/>
      </w:tblGrid>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ISMS-HR-002</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Security Awareness — Training Procedure</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9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7.2, 7.3, A.6.3</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Approved By</w:t>
            </w:r>
          </w:p>
        </w:tc>
        <w:tc>
          <w:tcPr>
            <w:tcW w:type="dxa" w:w="7260"/>
            <w:gridSpan w:val="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Managing Director — Signature: __________________  Date: __________________</w:t>
            </w:r>
          </w:p>
        </w:tc>
      </w:tr>
    </w:tbl>
    <w:p>
      <w:r>
        <w:br w:type="page"/>
      </w:r>
    </w:p>
    <w:p>
      <w:pPr>
        <w:pStyle w:val="Heading1"/>
        <w:pBdr>
          <w:bottom w:val="single" w:color="2E75B6" w:sz="8" w:space="4"/>
        </w:pBdr>
        <w:spacing w:after="100" w:before="300"/>
      </w:pPr>
      <w:r>
        <w:rPr>
          <w:rFonts w:ascii="Arial" w:cs="Arial" w:eastAsia="Arial" w:hAnsi="Arial"/>
          <w:b/>
          <w:bCs/>
          <w:color w:val="1F3864"/>
          <w:sz w:val="30"/>
          <w:szCs w:val="30"/>
        </w:rPr>
        <w:t xml:space="preserve">1.  Purpose and Scope</w:t>
      </w:r>
    </w:p>
    <w:p>
      <w:pPr>
        <w:spacing w:after="80" w:before="80"/>
        <w:jc w:val="left"/>
      </w:pPr>
      <w:r>
        <w:rPr>
          <w:rFonts w:ascii="Arial" w:cs="Arial" w:eastAsia="Arial" w:hAnsi="Arial"/>
          <w:b w:val="false"/>
          <w:bCs w:val="false"/>
          <w:color w:val="000000"/>
          <w:sz w:val="20"/>
          <w:szCs w:val="20"/>
        </w:rPr>
        <w:t xml:space="preserve">This document operationalises the security awareness programme defined in ISMS-SPT-001 §4. It provides the detailed procedures for the ISM to plan, deliver, measure, and improve the organisation's security awareness activities, covering annual mandatory training, phishing simulations, and targeted remedial programmes.</w:t>
      </w:r>
    </w:p>
    <w:p>
      <w:pPr>
        <w:spacing w:after="60" w:before="60"/>
      </w:pPr>
    </w:p>
    <w:p>
      <w:pPr>
        <w:spacing w:after="80" w:before="80"/>
        <w:jc w:val="left"/>
      </w:pPr>
      <w:r>
        <w:rPr>
          <w:rFonts w:ascii="Arial" w:cs="Arial" w:eastAsia="Arial" w:hAnsi="Arial"/>
          <w:b w:val="false"/>
          <w:bCs w:val="false"/>
          <w:color w:val="000000"/>
          <w:sz w:val="20"/>
          <w:szCs w:val="20"/>
        </w:rPr>
        <w:t xml:space="preserve">This procedure applies to all employees and contractors. It implements Clause 7.3 (Awareness) and A.6.3 (Information security awareness), and is the primary mechanism for achieving KPI-013 (training completion ≥95%), KPI-014 (phishing click rate ≤10%), and KPI-015 (phishing report rate ≥50%).</w:t>
      </w:r>
    </w:p>
    <w:p>
      <w:pPr>
        <w:spacing w:after="100" w:before="100"/>
      </w:pPr>
    </w:p>
    <w:p>
      <w:pPr>
        <w:pStyle w:val="Heading1"/>
        <w:pBdr>
          <w:bottom w:val="single" w:color="2E75B6" w:sz="8" w:space="4"/>
        </w:pBdr>
        <w:spacing w:after="100" w:before="300"/>
      </w:pPr>
      <w:r>
        <w:rPr>
          <w:rFonts w:ascii="Arial" w:cs="Arial" w:eastAsia="Arial" w:hAnsi="Arial"/>
          <w:b/>
          <w:bCs/>
          <w:color w:val="1F3864"/>
          <w:sz w:val="30"/>
          <w:szCs w:val="30"/>
        </w:rPr>
        <w:t xml:space="preserve">2.  Awareness Programme Components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60"/>
        <w:gridCol w:w="32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KPI</w:t>
            </w:r>
          </w:p>
        </w:tc>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Delivery Method</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Annual Security Awareness Training (TRN-001)</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Annual — 30-day completion window</w:t>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KPI-013 ≥95%</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LMS platform — short-form video modules with quiz. Completion tracked automatically. Non-completers receive automated reminders at day 7, day 14, day 21.</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IS Policy Acknowledgement (ISMS-POL-001)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Annual + post-revision</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KPI-025 = 100%</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Signed Annex A form (paper or digital e-signature). Filed in ISMS-TRN-REC. ISM chases outstanding signatures within 5 working days.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Phishing Simulation (TRN-006)</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Quarterly</w:t>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KPI-014 ≤10%, KPI-015 ≥50%</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Simulated phishing emails via awareness platform. Clickers receive immediate micro-training. Results logged in ISMS-TRN-REC Sheet 4.</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Induction Training (TRN-002, 003, 004, 005, 007)</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Onboarding — within 5 working days</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N/A — compliance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LMS modules assigned at Joiner. ISM monitors completion. ISMS-HR-001 Joiner checklist requires completion before client environment access.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Quarterly Security Briefing</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Quarterly — CI-009</w:t>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N/A — culture</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30-minute ISM-delivered briefing: current threat landscape, recent near-misses, policy updates. Attendance recorded. Slides retained as evidence.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Remedial Training (post-phishing click)</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Per event — triggered</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Supports KPI-014 trend</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Targeted micro-training immediately on phishing click. If individual clicks in 2+ consecutive simulations: ISM-led one-to-one session with documented outcome.</w:t>
            </w:r>
          </w:p>
        </w:tc>
      </w:tr>
    </w:tbl>
    <w:p>
      <w:pPr>
        <w:spacing w:after="100" w:before="100"/>
      </w:pPr>
    </w:p>
    <w:p>
      <w:pPr>
        <w:pStyle w:val="Heading1"/>
        <w:pBdr>
          <w:bottom w:val="single" w:color="2E75B6" w:sz="8" w:space="4"/>
        </w:pBdr>
        <w:spacing w:after="100" w:before="300"/>
      </w:pPr>
      <w:r>
        <w:rPr>
          <w:rFonts w:ascii="Arial" w:cs="Arial" w:eastAsia="Arial" w:hAnsi="Arial"/>
          <w:b/>
          <w:bCs/>
          <w:color w:val="1F3864"/>
          <w:sz w:val="30"/>
          <w:szCs w:val="30"/>
        </w:rPr>
        <w:t xml:space="preserve">3.  Annual Training Cycle — Operational Procedure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000"/>
        <w:gridCol w:w="3660"/>
        <w:gridCol w:w="2000"/>
      </w:tblGrid>
      <w:tr>
        <w:trPr>
          <w:tblHeader/>
        </w:trPr>
        <w:tc>
          <w:tcPr>
            <w:tcW w:type="dxa" w:w="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Activity</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3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Platform Configuration (Month 0)</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3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Configure the awareness platform for the new training year: load selected modules (minimum TRN-001, TRN-003, TRN-006); set up user groups; configure automated reminders; set completion deadline (30 days from launch).</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3"/>
                <w:szCs w:val="13"/>
              </w:rPr>
              <w:t xml:space="preserve">Platform ready confirmation</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User Enrolment (Month 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 / HoT</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Enrol all current employees and contractors in the platform. Verify against HR headcount (ISMS-TRN-REC Sheet 2). New joiners are enrolled as part of the Joiner process (ISMS-HR-001).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3"/>
                <w:szCs w:val="13"/>
              </w:rPr>
              <w:t xml:space="preserve">Enrolment list vs. HR headcount reconciled</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Training Launch (Day 1)</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3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Send launch communication to all staff: purpose of training, deadline, how to access the platform, who to contact for issues. MD sends a brief message endorsing the programme.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3"/>
                <w:szCs w:val="13"/>
              </w:rPr>
              <w:t xml:space="preserve">Launch email; MD endorsement</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Completion Monitoring (Days 7, 14, 21)</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Review completion dashboard at days 7, 14, and 21. Platform sends automated reminders. ISM sends a personal nudge to any individual at 50% below the group completion rate at day 21.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3"/>
                <w:szCs w:val="13"/>
              </w:rPr>
              <w:t xml:space="preserve">Completion dashboard screenshots at each checkpoint</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30-Day Close</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3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At 30 days: export completion report. Calculate KPI-013. Any non-completers: ISM escalates to MD. MD initiates disciplinary conversation per ISMS-HR-001 §3.4 if individual does not complete within 7 further days of personal escalation.</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3"/>
                <w:szCs w:val="13"/>
              </w:rPr>
              <w:t xml:space="preserve">Completion report; KPI-013 calculated; escalation record if required</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Effectiveness Review</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3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Compare completion rate, quiz scores, and phishing simulation results before and after training. Has the phishing click rate improved? Are quiz scores acceptable (pass mark typically 80%)? Document effectiveness evaluation in ISMS-TRN-REC.</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3"/>
                <w:szCs w:val="13"/>
              </w:rPr>
              <w:t xml:space="preserve">Effectiveness evaluation record in ISMS-TRN-REC Sheet 6</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7</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KPI Reporting</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3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Enter KPI-013 into ISMS-MR-002 monthly column for the launch month. Report at quarterly KPI review and annual management review.</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3"/>
                <w:szCs w:val="13"/>
              </w:rPr>
              <w:t xml:space="preserve">ISMS-MR-002 KPI-013 entry</w:t>
            </w:r>
          </w:p>
        </w:tc>
      </w:tr>
    </w:tbl>
    <w:p>
      <w:pPr>
        <w:spacing w:after="100" w:before="100"/>
      </w:pPr>
    </w:p>
    <w:p>
      <w:pPr>
        <w:pStyle w:val="Heading1"/>
        <w:pBdr>
          <w:bottom w:val="single" w:color="2E75B6" w:sz="8" w:space="4"/>
        </w:pBdr>
        <w:spacing w:after="100" w:before="300"/>
      </w:pPr>
      <w:r>
        <w:rPr>
          <w:rFonts w:ascii="Arial" w:cs="Arial" w:eastAsia="Arial" w:hAnsi="Arial"/>
          <w:b/>
          <w:bCs/>
          <w:color w:val="1F3864"/>
          <w:sz w:val="30"/>
          <w:szCs w:val="30"/>
        </w:rPr>
        <w:t xml:space="preserve">4.  Phishing Simulation Programme</w:t>
      </w:r>
    </w:p>
    <w:p>
      <w:pPr>
        <w:pStyle w:val="Heading2"/>
        <w:spacing w:after="80" w:before="200"/>
      </w:pPr>
      <w:r>
        <w:rPr>
          <w:rFonts w:ascii="Arial" w:cs="Arial" w:eastAsia="Arial" w:hAnsi="Arial"/>
          <w:b/>
          <w:bCs/>
          <w:color w:val="2E75B6"/>
          <w:sz w:val="24"/>
          <w:szCs w:val="24"/>
        </w:rPr>
        <w:t xml:space="preserve">4.1  Quarterly Simulation Procedure</w:t>
      </w:r>
    </w:p>
    <w:p>
      <w:pPr>
        <w:pStyle w:val="ListParagraph"/>
        <w:numPr>
          <w:ilvl w:val="0"/>
          <w:numId w:val="2"/>
        </w:numPr>
        <w:spacing w:after="40" w:before="40"/>
      </w:pPr>
      <w:r>
        <w:rPr>
          <w:rFonts w:ascii="Arial" w:cs="Arial" w:eastAsia="Arial" w:hAnsi="Arial"/>
          <w:sz w:val="20"/>
          <w:szCs w:val="20"/>
        </w:rPr>
        <w:t xml:space="preserve">ISM selects a phishing template from the awareness platform library — rotate between difficulty levels (Easy, Medium, Hard) across the four quarterly exercises.</w:t>
      </w:r>
    </w:p>
    <w:p>
      <w:pPr>
        <w:pStyle w:val="ListParagraph"/>
        <w:numPr>
          <w:ilvl w:val="0"/>
          <w:numId w:val="2"/>
        </w:numPr>
        <w:spacing w:after="40" w:before="40"/>
      </w:pPr>
      <w:r>
        <w:rPr>
          <w:rFonts w:ascii="Arial" w:cs="Arial" w:eastAsia="Arial" w:hAnsi="Arial"/>
          <w:sz w:val="20"/>
          <w:szCs w:val="20"/>
        </w:rPr>
        <w:t xml:space="preserve">Configure the simulation: target all active users, set reporting button in email client, set simulation send date (avoid Mondays and Fridays), randomise send time over a 48-hour window to prevent word spreading.</w:t>
      </w:r>
    </w:p>
    <w:p>
      <w:pPr>
        <w:pStyle w:val="ListParagraph"/>
        <w:numPr>
          <w:ilvl w:val="0"/>
          <w:numId w:val="2"/>
        </w:numPr>
        <w:spacing w:after="40" w:before="40"/>
      </w:pPr>
      <w:r>
        <w:rPr>
          <w:rFonts w:ascii="Arial" w:cs="Arial" w:eastAsia="Arial" w:hAnsi="Arial"/>
          <w:sz w:val="20"/>
          <w:szCs w:val="20"/>
        </w:rPr>
        <w:t xml:space="preserve">Do not pre-announce the simulation. Debrief communications are sent after the simulation window closes (typically 5 days).</w:t>
      </w:r>
    </w:p>
    <w:p>
      <w:pPr>
        <w:pStyle w:val="ListParagraph"/>
        <w:numPr>
          <w:ilvl w:val="0"/>
          <w:numId w:val="2"/>
        </w:numPr>
        <w:spacing w:after="40" w:before="40"/>
      </w:pPr>
      <w:r>
        <w:rPr>
          <w:rFonts w:ascii="Arial" w:cs="Arial" w:eastAsia="Arial" w:hAnsi="Arial"/>
          <w:sz w:val="20"/>
          <w:szCs w:val="20"/>
        </w:rPr>
        <w:t xml:space="preserve">After the simulation window: export click rate and report rate. Enter into ISMS-TRN-REC Sheet 4. Enter KPI-014 and KPI-015 values into ISMS-MR-002.</w:t>
      </w:r>
    </w:p>
    <w:p>
      <w:pPr>
        <w:pStyle w:val="ListParagraph"/>
        <w:numPr>
          <w:ilvl w:val="0"/>
          <w:numId w:val="2"/>
        </w:numPr>
        <w:spacing w:after="40" w:before="40"/>
      </w:pPr>
      <w:r>
        <w:rPr>
          <w:rFonts w:ascii="Arial" w:cs="Arial" w:eastAsia="Arial" w:hAnsi="Arial"/>
          <w:sz w:val="20"/>
          <w:szCs w:val="20"/>
        </w:rPr>
        <w:t xml:space="preserve">Clickers automatically receive immediate micro-training from the platform. ISM reviews click list — any individual clicking for the second consecutive quarter receives ISM-led targeted session.</w:t>
      </w:r>
    </w:p>
    <w:p>
      <w:pPr>
        <w:spacing w:after="60" w:before="60"/>
      </w:pPr>
    </w:p>
    <w:p>
      <w:pPr>
        <w:pStyle w:val="Heading2"/>
        <w:spacing w:after="80" w:before="200"/>
      </w:pPr>
      <w:r>
        <w:rPr>
          <w:rFonts w:ascii="Arial" w:cs="Arial" w:eastAsia="Arial" w:hAnsi="Arial"/>
          <w:b/>
          <w:bCs/>
          <w:color w:val="2E75B6"/>
          <w:sz w:val="24"/>
          <w:szCs w:val="24"/>
        </w:rPr>
        <w:t xml:space="preserve">4.2  Debrief Communication</w:t>
      </w:r>
    </w:p>
    <w:p>
      <w:pPr>
        <w:spacing w:after="80" w:before="80"/>
        <w:jc w:val="left"/>
      </w:pPr>
      <w:r>
        <w:rPr>
          <w:rFonts w:ascii="Arial" w:cs="Arial" w:eastAsia="Arial" w:hAnsi="Arial"/>
          <w:b w:val="false"/>
          <w:bCs w:val="false"/>
          <w:color w:val="000000"/>
          <w:sz w:val="20"/>
          <w:szCs w:val="20"/>
        </w:rPr>
        <w:t xml:space="preserve">Within 5 working days of the simulation window closing, ISM sends a debrief to all staff covering: the simulation was run and why; what the indicators were that it was a phishing email; the overall click and report rates (not individuals); how to report phishing using the reporting button; link to quick-reference phishing awareness guide.</w:t>
      </w:r>
    </w:p>
    <w:p>
      <w:pPr>
        <w:spacing w:after="100" w:before="100"/>
      </w:pPr>
    </w:p>
    <w:p>
      <w:pPr>
        <w:pStyle w:val="Heading1"/>
        <w:pBdr>
          <w:bottom w:val="single" w:color="2E75B6" w:sz="8" w:space="4"/>
        </w:pBdr>
        <w:spacing w:after="100" w:before="300"/>
      </w:pPr>
      <w:r>
        <w:rPr>
          <w:rFonts w:ascii="Arial" w:cs="Arial" w:eastAsia="Arial" w:hAnsi="Arial"/>
          <w:b/>
          <w:bCs/>
          <w:color w:val="1F3864"/>
          <w:sz w:val="30"/>
          <w:szCs w:val="30"/>
        </w:rPr>
        <w:t xml:space="preserve">5.  Awareness Effectiveness Measurement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Measurement</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Training completion rate (KPI-013)</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LMS completion report at 30-day window close.</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≥95% of enrolled users pass within 30 days.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Quiz pass rate</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LMS quiz results export. Average score across all users.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≥80% average pass score. Individuals below 70% complete module again.</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Phishing click rate (KPI-014)</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Platform per-exercise click rate = clickers ÷ sent.</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≤10% per exercise. Improving trend over 4 quarters.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Phishing report rate (KPI-015)</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Platform per-exercise report rate = reporters ÷ sent.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≥50% per exercise. Improving trend.</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Policy acknowledgement compliance (KPI-025)</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ISMS-TRN-REC Sheet 5 — Current vs. total active personnel.</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100% Current at all times.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Remedial training completion</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ISMS-TRN-REC Sheet 6 — Gap actions for repeat clickers.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100% closed within 30 days of trigger.</w:t>
            </w:r>
          </w:p>
        </w:tc>
      </w:tr>
    </w:tbl>
    <w:p>
      <w:pPr>
        <w:spacing w:after="60" w:before="60"/>
      </w:pPr>
    </w:p>
    <w:p>
      <w:pPr>
        <w:spacing w:after="80" w:before="80"/>
        <w:jc w:val="left"/>
      </w:pPr>
      <w:r>
        <w:rPr>
          <w:rFonts w:ascii="Arial" w:cs="Arial" w:eastAsia="Arial" w:hAnsi="Arial"/>
          <w:b w:val="false"/>
          <w:bCs w:val="false"/>
          <w:color w:val="595959"/>
          <w:sz w:val="17"/>
          <w:szCs w:val="17"/>
        </w:rPr>
        <w:t xml:space="preserve">All effectiveness metrics are presented at the quarterly KPI review (ISMS-MR-001 MRI-004) and the annual management review. Declining trends over two or more quarters trigger a review of training content and delivery method.</w:t>
      </w:r>
    </w:p>
    <w:p>
      <w:pPr>
        <w:spacing w:after="60" w:before="120"/>
      </w:pPr>
    </w:p>
    <w:p>
      <w:pPr>
        <w:spacing w:after="0" w:before="60"/>
        <w:jc w:val="center"/>
      </w:pPr>
      <w:r>
        <w:rPr>
          <w:rFonts w:ascii="Arial" w:cs="Arial" w:eastAsia="Arial" w:hAnsi="Arial"/>
          <w:color w:val="AAAAAA"/>
          <w:sz w:val="14"/>
          <w:szCs w:val="14"/>
        </w:rPr>
        <w:t xml:space="preserve">END OF DOCUMENT — ISMS-HR-002 v1.0</w:t>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00"/>
    </w:pPr>
    <w:r>
      <w:rPr>
        <w:rFonts w:ascii="Arial" w:cs="Arial" w:eastAsia="Arial" w:hAnsi="Arial"/>
        <w:b/>
        <w:bCs/>
        <w:color w:val="2E75B6"/>
        <w:sz w:val="15"/>
        <w:szCs w:val="15"/>
      </w:rPr>
      <w:t xml:space="preserve">INTERNAL</w:t>
    </w:r>
    <w:r>
      <w:rPr>
        <w:rFonts w:ascii="Arial" w:cs="Arial" w:eastAsia="Arial" w:hAnsi="Arial"/>
        <w:color w:val="888888"/>
        <w:sz w:val="15"/>
        <w:szCs w:val="15"/>
      </w:rPr>
      <w:t xml:space="preserve">	Page </w:t>
    </w:r>
    <w:fldSimple w:instr="PAGE">
      <w:r>
        <w:rPr>
          <w:rFonts w:ascii="Arial" w:cs="Arial" w:eastAsia="Arial" w:hAnsi="Arial"/>
          <w:color w:val="888888"/>
          <w:sz w:val="15"/>
          <w:szCs w:val="15"/>
        </w:rPr>
      </w:r>
    </w:fldSimple>
    <w:r>
      <w:rPr>
        <w:rFonts w:ascii="Arial" w:cs="Arial" w:eastAsia="Arial" w:hAnsi="Arial"/>
        <w:color w:val="888888"/>
        <w:sz w:val="15"/>
        <w:szCs w:val="15"/>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00"/>
    </w:pPr>
    <w:r>
      <w:rPr>
        <w:rFonts w:ascii="Arial" w:cs="Arial" w:eastAsia="Arial" w:hAnsi="Arial"/>
        <w:b/>
        <w:bCs/>
        <w:color w:val="1F3864"/>
        <w:sz w:val="17"/>
        <w:szCs w:val="17"/>
      </w:rPr>
      <w:t xml:space="preserve">Apex Managed Services Ltd — Security Awareness Training Procedure</w:t>
    </w:r>
    <w:r>
      <w:rPr>
        <w:rFonts w:ascii="Arial" w:cs="Arial" w:eastAsia="Arial" w:hAnsi="Arial"/>
        <w:color w:val="888888"/>
        <w:sz w:val="15"/>
        <w:szCs w:val="15"/>
      </w:rPr>
      <w:t xml:space="preserve">	ISMS-HR-002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2026-04-03T11:22:01.534Z</dcterms:created>
  <dcterms:modified xsi:type="dcterms:W3CDTF">2026-04-03T11:22:01.534Z</dcterms:modified>
</cp:coreProperties>
</file>

<file path=docProps/custom.xml><?xml version="1.0" encoding="utf-8"?>
<Properties xmlns="http://schemas.openxmlformats.org/officeDocument/2006/custom-properties" xmlns:vt="http://schemas.openxmlformats.org/officeDocument/2006/docPropsVTypes"/>
</file>