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bottom w:val="single" w:color="2E75B6" w:sz="18" w:space="4"/>
        </w:pBdr>
        <w:spacing w:after="240" w:before="0"/>
        <w:jc w:val="center"/>
      </w:pPr>
      <w:r>
        <w:rPr>
          <w:rFonts w:ascii="Arial" w:cs="Arial" w:eastAsia="Arial" w:hAnsi="Arial"/>
          <w:b/>
          <w:bCs/>
          <w:color w:val="1F3864"/>
          <w:sz w:val="52"/>
          <w:szCs w:val="52"/>
        </w:rPr>
        <w:t xml:space="preserve">Apex Managed Services Ltd</w:t>
      </w:r>
    </w:p>
    <w:p>
      <w:pPr>
        <w:spacing w:after="120" w:before="240"/>
        <w:jc w:val="center"/>
      </w:pPr>
      <w:r>
        <w:rPr>
          <w:rFonts w:ascii="Arial" w:cs="Arial" w:eastAsia="Arial" w:hAnsi="Arial"/>
          <w:color w:val="404040"/>
          <w:sz w:val="32"/>
          <w:szCs w:val="32"/>
        </w:rPr>
        <w:t xml:space="preserve">Information Security Management System</w:t>
      </w:r>
    </w:p>
    <w:p>
      <w:pPr>
        <w:spacing w:after="480" w:before="0"/>
        <w:jc w:val="center"/>
      </w:pPr>
      <w:r>
        <w:rPr>
          <w:rFonts w:ascii="Arial" w:cs="Arial" w:eastAsia="Arial" w:hAnsi="Arial"/>
          <w:b/>
          <w:bCs/>
          <w:color w:val="2E75B6"/>
          <w:sz w:val="44"/>
          <w:szCs w:val="44"/>
        </w:rPr>
        <w:t xml:space="preserve">Internal Audit Programme</w:t>
      </w:r>
    </w:p>
    <w:p>
      <w:pPr>
        <w:spacing w:after="120" w:before="0"/>
        <w:jc w:val="center"/>
      </w:pPr>
      <w:r>
        <w:rPr>
          <w:rFonts w:ascii="Arial" w:cs="Arial" w:eastAsia="Arial" w:hAnsi="Arial"/>
          <w:color w:val="404040"/>
          <w:sz w:val="22"/>
          <w:szCs w:val="22"/>
        </w:rPr>
        <w:t xml:space="preserve">ISO/IEC 27001:2022 — Clause 9.2</w:t>
      </w:r>
    </w:p>
    <w:p>
      <w:pPr>
        <w:spacing w:after="600" w:before="60"/>
        <w:jc w:val="center"/>
      </w:pPr>
      <w:r>
        <w:rPr>
          <w:rFonts w:ascii="Arial" w:cs="Arial" w:eastAsia="Arial" w:hAnsi="Arial"/>
          <w:color w:val="888888"/>
          <w:sz w:val="20"/>
          <w:szCs w:val="20"/>
        </w:rPr>
        <w:t xml:space="preserve">ISMS-IAP-001  |  Version 1.0  |  02 April 2026  |  INTERNAL</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Document Control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860"/>
        <w:gridCol w:w="1800"/>
        <w:gridCol w:w="120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ISMS-IAP-001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 Audit Programme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Frequency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9.2 — Internal Audit</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bl>
    <w:p>
      <w:pPr>
        <w:spacing w:after="120" w:before="120"/>
      </w:pPr>
    </w:p>
    <w:p>
      <w:pPr>
        <w:pStyle w:val="Heading2"/>
        <w:spacing w:after="80" w:before="240"/>
      </w:pPr>
      <w:r>
        <w:rPr>
          <w:rFonts w:ascii="Arial" w:cs="Arial" w:eastAsia="Arial" w:hAnsi="Arial"/>
          <w:b/>
          <w:bCs/>
          <w:color w:val="2E75B6"/>
          <w:sz w:val="26"/>
          <w:szCs w:val="26"/>
        </w:rPr>
        <w:t xml:space="preserve">Document 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26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 (ISM)</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Reviewed By (Auditor)</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 By (MD)</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pPr>
        <w:pStyle w:val="Heading2"/>
        <w:spacing w:after="80" w:before="240"/>
      </w:pPr>
      <w:r>
        <w:rPr>
          <w:rFonts w:ascii="Arial" w:cs="Arial" w:eastAsia="Arial" w:hAnsi="Arial"/>
          <w:b/>
          <w:bCs/>
          <w:color w:val="2E75B6"/>
          <w:sz w:val="26"/>
          <w:szCs w:val="26"/>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60"/>
        <w:gridCol w:w="23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Covers audit programme governance, planning and scheduling (AUD-2026-001 pre-certification audit), auditor competence and independence requirements, full clause and Annex A audit checklist (21 clause areas + 4 Annex A themes), audit execution procedure, finding classification, report template, and findings log.</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r>
    </w:tbl>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Contents</w:t>
      </w:r>
    </w:p>
    <w:p>
      <w:pPr>
        <w:spacing w:after="80" w:before="80"/>
        <w:jc w:val="left"/>
      </w:pPr>
      <w:r>
        <w:rPr>
          <w:rFonts w:ascii="Arial" w:cs="Arial" w:eastAsia="Arial" w:hAnsi="Arial"/>
          <w:b w:val="false"/>
          <w:bCs w:val="false"/>
          <w:color w:val="000000"/>
          <w:sz w:val="20"/>
          <w:szCs w:val="20"/>
        </w:rPr>
        <w:t xml:space="preserve">1.  Purpose and Scope</w:t>
      </w:r>
    </w:p>
    <w:p>
      <w:pPr>
        <w:spacing w:after="80" w:before="80"/>
        <w:jc w:val="left"/>
      </w:pPr>
      <w:r>
        <w:rPr>
          <w:rFonts w:ascii="Arial" w:cs="Arial" w:eastAsia="Arial" w:hAnsi="Arial"/>
          <w:b w:val="false"/>
          <w:bCs w:val="false"/>
          <w:color w:val="000000"/>
          <w:sz w:val="20"/>
          <w:szCs w:val="20"/>
        </w:rPr>
        <w:t xml:space="preserve">2.  Audit Programme Governance</w:t>
      </w:r>
    </w:p>
    <w:p>
      <w:pPr>
        <w:spacing w:after="80" w:before="80"/>
        <w:jc w:val="left"/>
      </w:pPr>
      <w:r>
        <w:rPr>
          <w:rFonts w:ascii="Arial" w:cs="Arial" w:eastAsia="Arial" w:hAnsi="Arial"/>
          <w:b w:val="false"/>
          <w:bCs w:val="false"/>
          <w:color w:val="000000"/>
          <w:sz w:val="20"/>
          <w:szCs w:val="20"/>
        </w:rPr>
        <w:t xml:space="preserve">    2.1  Audit Objectives</w:t>
      </w:r>
    </w:p>
    <w:p>
      <w:pPr>
        <w:spacing w:after="80" w:before="80"/>
        <w:jc w:val="left"/>
      </w:pPr>
      <w:r>
        <w:rPr>
          <w:rFonts w:ascii="Arial" w:cs="Arial" w:eastAsia="Arial" w:hAnsi="Arial"/>
          <w:b w:val="false"/>
          <w:bCs w:val="false"/>
          <w:color w:val="000000"/>
          <w:sz w:val="20"/>
          <w:szCs w:val="20"/>
        </w:rPr>
        <w:t xml:space="preserve">    2.2  Audit Criteria</w:t>
      </w:r>
    </w:p>
    <w:p>
      <w:pPr>
        <w:spacing w:after="80" w:before="80"/>
        <w:jc w:val="left"/>
      </w:pPr>
      <w:r>
        <w:rPr>
          <w:rFonts w:ascii="Arial" w:cs="Arial" w:eastAsia="Arial" w:hAnsi="Arial"/>
          <w:b w:val="false"/>
          <w:bCs w:val="false"/>
          <w:color w:val="000000"/>
          <w:sz w:val="20"/>
          <w:szCs w:val="20"/>
        </w:rPr>
        <w:t xml:space="preserve">    2.3  Auditor Competence Requirements</w:t>
      </w:r>
    </w:p>
    <w:p>
      <w:pPr>
        <w:spacing w:after="80" w:before="80"/>
        <w:jc w:val="left"/>
      </w:pPr>
      <w:r>
        <w:rPr>
          <w:rFonts w:ascii="Arial" w:cs="Arial" w:eastAsia="Arial" w:hAnsi="Arial"/>
          <w:b w:val="false"/>
          <w:bCs w:val="false"/>
          <w:color w:val="000000"/>
          <w:sz w:val="20"/>
          <w:szCs w:val="20"/>
        </w:rPr>
        <w:t xml:space="preserve">    2.4  Auditor Independence — Requirements and Controls</w:t>
      </w:r>
    </w:p>
    <w:p>
      <w:pPr>
        <w:spacing w:after="80" w:before="80"/>
        <w:jc w:val="left"/>
      </w:pPr>
      <w:r>
        <w:rPr>
          <w:rFonts w:ascii="Arial" w:cs="Arial" w:eastAsia="Arial" w:hAnsi="Arial"/>
          <w:b w:val="false"/>
          <w:bCs w:val="false"/>
          <w:color w:val="000000"/>
          <w:sz w:val="20"/>
          <w:szCs w:val="20"/>
        </w:rPr>
        <w:t xml:space="preserve">    2.5  Auditor Independence Declaration</w:t>
      </w:r>
    </w:p>
    <w:p>
      <w:pPr>
        <w:spacing w:after="80" w:before="80"/>
        <w:jc w:val="left"/>
      </w:pPr>
      <w:r>
        <w:rPr>
          <w:rFonts w:ascii="Arial" w:cs="Arial" w:eastAsia="Arial" w:hAnsi="Arial"/>
          <w:b w:val="false"/>
          <w:bCs w:val="false"/>
          <w:color w:val="000000"/>
          <w:sz w:val="20"/>
          <w:szCs w:val="20"/>
        </w:rPr>
        <w:t xml:space="preserve">3.  Audit Planning and Scheduling</w:t>
      </w:r>
    </w:p>
    <w:p>
      <w:pPr>
        <w:spacing w:after="80" w:before="80"/>
        <w:jc w:val="left"/>
      </w:pPr>
      <w:r>
        <w:rPr>
          <w:rFonts w:ascii="Arial" w:cs="Arial" w:eastAsia="Arial" w:hAnsi="Arial"/>
          <w:b w:val="false"/>
          <w:bCs w:val="false"/>
          <w:color w:val="000000"/>
          <w:sz w:val="20"/>
          <w:szCs w:val="20"/>
        </w:rPr>
        <w:t xml:space="preserve">    3.1  Audit Programme Schedule</w:t>
      </w:r>
    </w:p>
    <w:p>
      <w:pPr>
        <w:spacing w:after="80" w:before="80"/>
        <w:jc w:val="left"/>
      </w:pPr>
      <w:r>
        <w:rPr>
          <w:rFonts w:ascii="Arial" w:cs="Arial" w:eastAsia="Arial" w:hAnsi="Arial"/>
          <w:b w:val="false"/>
          <w:bCs w:val="false"/>
          <w:color w:val="000000"/>
          <w:sz w:val="20"/>
          <w:szCs w:val="20"/>
        </w:rPr>
        <w:t xml:space="preserve">    3.2  Audit Frequency and Triggers</w:t>
      </w:r>
    </w:p>
    <w:p>
      <w:pPr>
        <w:spacing w:after="80" w:before="80"/>
        <w:jc w:val="left"/>
      </w:pPr>
      <w:r>
        <w:rPr>
          <w:rFonts w:ascii="Arial" w:cs="Arial" w:eastAsia="Arial" w:hAnsi="Arial"/>
          <w:b w:val="false"/>
          <w:bCs w:val="false"/>
          <w:color w:val="000000"/>
          <w:sz w:val="20"/>
          <w:szCs w:val="20"/>
        </w:rPr>
        <w:t xml:space="preserve">    3.3  Risk-Based Prioritisation</w:t>
      </w:r>
    </w:p>
    <w:p>
      <w:pPr>
        <w:spacing w:after="80" w:before="80"/>
        <w:jc w:val="left"/>
      </w:pPr>
      <w:r>
        <w:rPr>
          <w:rFonts w:ascii="Arial" w:cs="Arial" w:eastAsia="Arial" w:hAnsi="Arial"/>
          <w:b w:val="false"/>
          <w:bCs w:val="false"/>
          <w:color w:val="000000"/>
          <w:sz w:val="20"/>
          <w:szCs w:val="20"/>
        </w:rPr>
        <w:t xml:space="preserve">    3.4  Audit Plan — AUD-2026-001 (Pre-Certification)</w:t>
      </w:r>
    </w:p>
    <w:p>
      <w:pPr>
        <w:spacing w:after="80" w:before="80"/>
        <w:jc w:val="left"/>
      </w:pPr>
      <w:r>
        <w:rPr>
          <w:rFonts w:ascii="Arial" w:cs="Arial" w:eastAsia="Arial" w:hAnsi="Arial"/>
          <w:b w:val="false"/>
          <w:bCs w:val="false"/>
          <w:color w:val="000000"/>
          <w:sz w:val="20"/>
          <w:szCs w:val="20"/>
        </w:rPr>
        <w:t xml:space="preserve">4.  Audit Execution Procedure</w:t>
      </w:r>
    </w:p>
    <w:p>
      <w:pPr>
        <w:spacing w:after="80" w:before="80"/>
        <w:jc w:val="left"/>
      </w:pPr>
      <w:r>
        <w:rPr>
          <w:rFonts w:ascii="Arial" w:cs="Arial" w:eastAsia="Arial" w:hAnsi="Arial"/>
          <w:b w:val="false"/>
          <w:bCs w:val="false"/>
          <w:color w:val="000000"/>
          <w:sz w:val="20"/>
          <w:szCs w:val="20"/>
        </w:rPr>
        <w:t xml:space="preserve">    4.1  Pre-Audit Activities</w:t>
      </w:r>
    </w:p>
    <w:p>
      <w:pPr>
        <w:spacing w:after="80" w:before="80"/>
        <w:jc w:val="left"/>
      </w:pPr>
      <w:r>
        <w:rPr>
          <w:rFonts w:ascii="Arial" w:cs="Arial" w:eastAsia="Arial" w:hAnsi="Arial"/>
          <w:b w:val="false"/>
          <w:bCs w:val="false"/>
          <w:color w:val="000000"/>
          <w:sz w:val="20"/>
          <w:szCs w:val="20"/>
        </w:rPr>
        <w:t xml:space="preserve">    4.2  Document Review (Stage 1 Desk Review)</w:t>
      </w:r>
    </w:p>
    <w:p>
      <w:pPr>
        <w:spacing w:after="80" w:before="80"/>
        <w:jc w:val="left"/>
      </w:pPr>
      <w:r>
        <w:rPr>
          <w:rFonts w:ascii="Arial" w:cs="Arial" w:eastAsia="Arial" w:hAnsi="Arial"/>
          <w:b w:val="false"/>
          <w:bCs w:val="false"/>
          <w:color w:val="000000"/>
          <w:sz w:val="20"/>
          <w:szCs w:val="20"/>
        </w:rPr>
        <w:t xml:space="preserve">    4.3  Fieldwork</w:t>
      </w:r>
    </w:p>
    <w:p>
      <w:pPr>
        <w:spacing w:after="80" w:before="80"/>
        <w:jc w:val="left"/>
      </w:pPr>
      <w:r>
        <w:rPr>
          <w:rFonts w:ascii="Arial" w:cs="Arial" w:eastAsia="Arial" w:hAnsi="Arial"/>
          <w:b w:val="false"/>
          <w:bCs w:val="false"/>
          <w:color w:val="000000"/>
          <w:sz w:val="20"/>
          <w:szCs w:val="20"/>
        </w:rPr>
        <w:t xml:space="preserve">    4.4  Opening and Closing Meetings</w:t>
      </w:r>
    </w:p>
    <w:p>
      <w:pPr>
        <w:spacing w:after="80" w:before="80"/>
        <w:jc w:val="left"/>
      </w:pPr>
      <w:r>
        <w:rPr>
          <w:rFonts w:ascii="Arial" w:cs="Arial" w:eastAsia="Arial" w:hAnsi="Arial"/>
          <w:b w:val="false"/>
          <w:bCs w:val="false"/>
          <w:color w:val="000000"/>
          <w:sz w:val="20"/>
          <w:szCs w:val="20"/>
        </w:rPr>
        <w:t xml:space="preserve">    4.5  Evidence Collection Principles</w:t>
      </w:r>
    </w:p>
    <w:p>
      <w:pPr>
        <w:spacing w:after="80" w:before="80"/>
        <w:jc w:val="left"/>
      </w:pPr>
      <w:r>
        <w:rPr>
          <w:rFonts w:ascii="Arial" w:cs="Arial" w:eastAsia="Arial" w:hAnsi="Arial"/>
          <w:b w:val="false"/>
          <w:bCs w:val="false"/>
          <w:color w:val="000000"/>
          <w:sz w:val="20"/>
          <w:szCs w:val="20"/>
        </w:rPr>
        <w:t xml:space="preserve">    4.6  Sampling Approach</w:t>
      </w:r>
    </w:p>
    <w:p>
      <w:pPr>
        <w:spacing w:after="80" w:before="80"/>
        <w:jc w:val="left"/>
      </w:pPr>
      <w:r>
        <w:rPr>
          <w:rFonts w:ascii="Arial" w:cs="Arial" w:eastAsia="Arial" w:hAnsi="Arial"/>
          <w:b w:val="false"/>
          <w:bCs w:val="false"/>
          <w:color w:val="000000"/>
          <w:sz w:val="20"/>
          <w:szCs w:val="20"/>
        </w:rPr>
        <w:t xml:space="preserve">5.  Finding Classification and Escalation</w:t>
      </w:r>
    </w:p>
    <w:p>
      <w:pPr>
        <w:spacing w:after="80" w:before="80"/>
        <w:jc w:val="left"/>
      </w:pPr>
      <w:r>
        <w:rPr>
          <w:rFonts w:ascii="Arial" w:cs="Arial" w:eastAsia="Arial" w:hAnsi="Arial"/>
          <w:b w:val="false"/>
          <w:bCs w:val="false"/>
          <w:color w:val="000000"/>
          <w:sz w:val="20"/>
          <w:szCs w:val="20"/>
        </w:rPr>
        <w:t xml:space="preserve">6.  Audit Reporting</w:t>
      </w:r>
    </w:p>
    <w:p>
      <w:pPr>
        <w:spacing w:after="80" w:before="80"/>
        <w:jc w:val="left"/>
      </w:pPr>
      <w:r>
        <w:rPr>
          <w:rFonts w:ascii="Arial" w:cs="Arial" w:eastAsia="Arial" w:hAnsi="Arial"/>
          <w:b w:val="false"/>
          <w:bCs w:val="false"/>
          <w:color w:val="000000"/>
          <w:sz w:val="20"/>
          <w:szCs w:val="20"/>
        </w:rPr>
        <w:t xml:space="preserve">    6.1  Report Requirements</w:t>
      </w:r>
    </w:p>
    <w:p>
      <w:pPr>
        <w:spacing w:after="80" w:before="80"/>
        <w:jc w:val="left"/>
      </w:pPr>
      <w:r>
        <w:rPr>
          <w:rFonts w:ascii="Arial" w:cs="Arial" w:eastAsia="Arial" w:hAnsi="Arial"/>
          <w:b w:val="false"/>
          <w:bCs w:val="false"/>
          <w:color w:val="000000"/>
          <w:sz w:val="20"/>
          <w:szCs w:val="20"/>
        </w:rPr>
        <w:t xml:space="preserve">    6.2  Report Template</w:t>
      </w:r>
    </w:p>
    <w:p>
      <w:pPr>
        <w:spacing w:after="80" w:before="80"/>
        <w:jc w:val="left"/>
      </w:pPr>
      <w:r>
        <w:rPr>
          <w:rFonts w:ascii="Arial" w:cs="Arial" w:eastAsia="Arial" w:hAnsi="Arial"/>
          <w:b w:val="false"/>
          <w:bCs w:val="false"/>
          <w:color w:val="000000"/>
          <w:sz w:val="20"/>
          <w:szCs w:val="20"/>
        </w:rPr>
        <w:t xml:space="preserve">    6.3  Distribution and Confidentiality</w:t>
      </w:r>
    </w:p>
    <w:p>
      <w:pPr>
        <w:spacing w:after="80" w:before="80"/>
        <w:jc w:val="left"/>
      </w:pPr>
      <w:r>
        <w:rPr>
          <w:rFonts w:ascii="Arial" w:cs="Arial" w:eastAsia="Arial" w:hAnsi="Arial"/>
          <w:b w:val="false"/>
          <w:bCs w:val="false"/>
          <w:color w:val="000000"/>
          <w:sz w:val="20"/>
          <w:szCs w:val="20"/>
        </w:rPr>
        <w:t xml:space="preserve">7.  Corrective Action and Follow-Up</w:t>
      </w:r>
    </w:p>
    <w:p>
      <w:pPr>
        <w:spacing w:after="80" w:before="80"/>
        <w:jc w:val="left"/>
      </w:pPr>
      <w:r>
        <w:rPr>
          <w:rFonts w:ascii="Arial" w:cs="Arial" w:eastAsia="Arial" w:hAnsi="Arial"/>
          <w:b w:val="false"/>
          <w:bCs w:val="false"/>
          <w:color w:val="000000"/>
          <w:sz w:val="20"/>
          <w:szCs w:val="20"/>
        </w:rPr>
        <w:t xml:space="preserve">8.  Audit Checklist — ISO 27001:2022 Clauses 4–10</w:t>
      </w:r>
    </w:p>
    <w:p>
      <w:pPr>
        <w:spacing w:after="80" w:before="80"/>
        <w:jc w:val="left"/>
      </w:pPr>
      <w:r>
        <w:rPr>
          <w:rFonts w:ascii="Arial" w:cs="Arial" w:eastAsia="Arial" w:hAnsi="Arial"/>
          <w:b w:val="false"/>
          <w:bCs w:val="false"/>
          <w:color w:val="000000"/>
          <w:sz w:val="20"/>
          <w:szCs w:val="20"/>
        </w:rPr>
        <w:t xml:space="preserve">9.  Audit Checklist — Annex A Control Themes</w:t>
      </w:r>
    </w:p>
    <w:p>
      <w:pPr>
        <w:spacing w:after="80" w:before="80"/>
        <w:jc w:val="left"/>
      </w:pPr>
      <w:r>
        <w:rPr>
          <w:rFonts w:ascii="Arial" w:cs="Arial" w:eastAsia="Arial" w:hAnsi="Arial"/>
          <w:b w:val="false"/>
          <w:bCs w:val="false"/>
          <w:color w:val="000000"/>
          <w:sz w:val="20"/>
          <w:szCs w:val="20"/>
        </w:rPr>
        <w:t xml:space="preserve">10. Audit Findings Log</w:t>
      </w:r>
    </w:p>
    <w:p>
      <w:pPr>
        <w:spacing w:after="80" w:before="80"/>
        <w:jc w:val="left"/>
      </w:pPr>
      <w:r>
        <w:rPr>
          <w:rFonts w:ascii="Arial" w:cs="Arial" w:eastAsia="Arial" w:hAnsi="Arial"/>
          <w:b w:val="false"/>
          <w:bCs w:val="false"/>
          <w:color w:val="000000"/>
          <w:sz w:val="20"/>
          <w:szCs w:val="20"/>
        </w:rPr>
        <w:t xml:space="preserve">11. Linkage to Other ISMS Documents</w:t>
      </w:r>
    </w:p>
    <w:p>
      <w:pPr>
        <w:spacing w:after="80" w:before="80"/>
        <w:jc w:val="left"/>
      </w:pPr>
      <w:r>
        <w:rPr>
          <w:rFonts w:ascii="Arial" w:cs="Arial" w:eastAsia="Arial" w:hAnsi="Arial"/>
          <w:b w:val="false"/>
          <w:bCs w:val="false"/>
          <w:color w:val="000000"/>
          <w:sz w:val="20"/>
          <w:szCs w:val="20"/>
        </w:rPr>
        <w:t xml:space="preserve">12. References</w:t>
      </w:r>
    </w:p>
    <w:p>
      <w:pPr>
        <w:spacing w:after="60" w:before="60"/>
      </w:pPr>
    </w:p>
    <w:p>
      <w:pPr>
        <w:spacing w:after="80" w:before="80"/>
        <w:jc w:val="left"/>
      </w:pPr>
      <w:r>
        <w:rPr>
          <w:rFonts w:ascii="Arial" w:cs="Arial" w:eastAsia="Arial" w:hAnsi="Arial"/>
          <w:b w:val="false"/>
          <w:bCs w:val="false"/>
          <w:color w:val="888888"/>
          <w:sz w:val="18"/>
          <w:szCs w:val="18"/>
        </w:rPr>
        <w:t xml:space="preserve">Note: Update this page manually or use Word's built-in TOC feature after opening.</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 Purpose and Scope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9.2</w:t>
            </w:r>
          </w:p>
          <w:p>
            <w:pPr>
              <w:jc w:val="center"/>
            </w:pPr>
            <w:r>
              <w:rPr>
                <w:rFonts w:ascii="Arial" w:cs="Arial" w:eastAsia="Arial" w:hAnsi="Arial"/>
                <w:color w:val="D6E4F0"/>
                <w:sz w:val="14"/>
                <w:szCs w:val="14"/>
              </w:rPr>
              <w:t xml:space="preserve">Internal Audit</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conduct internal audits at planned intervals to provide information on whether the ISMS: (a) conforms to the organisation's own requirements and ISO 27001:2022; (b) is effectively implemented and maintained. The organisation shall plan, establish, implement, and maintain an audit programme. Auditors shall ensure objectivity and impartiality. Results shall be reported to relevant management. Documented information shall be retained as evidence of the results.</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This document is the Internal Audit Programme for Apex Managed Services Ltd. It establishes the governance, planning, scheduling, execution procedure, checklist, reporting template, and findings log for all internal ISMS audits. It is the primary operational document enabling compliance with ISO/IEC 27001:2022 Clause 9.2.</w:t>
      </w:r>
    </w:p>
    <w:p>
      <w:pPr>
        <w:spacing w:after="60" w:before="60"/>
      </w:pPr>
    </w:p>
    <w:p>
      <w:pPr>
        <w:spacing w:after="80" w:before="80"/>
        <w:jc w:val="left"/>
      </w:pPr>
      <w:r>
        <w:rPr>
          <w:rFonts w:ascii="Arial" w:cs="Arial" w:eastAsia="Arial" w:hAnsi="Arial"/>
          <w:b w:val="false"/>
          <w:bCs w:val="false"/>
          <w:color w:val="000000"/>
          <w:sz w:val="20"/>
          <w:szCs w:val="20"/>
        </w:rPr>
        <w:t xml:space="preserve">This programme covers:</w:t>
      </w:r>
    </w:p>
    <w:p>
      <w:pPr>
        <w:spacing w:after="60" w:before="60"/>
      </w:pPr>
    </w:p>
    <w:p>
      <w:pPr>
        <w:pStyle w:val="ListParagraph"/>
        <w:numPr>
          <w:ilvl w:val="0"/>
          <w:numId w:val="2"/>
        </w:numPr>
        <w:spacing w:after="40" w:before="40"/>
      </w:pPr>
      <w:r>
        <w:rPr>
          <w:rFonts w:ascii="Arial" w:cs="Arial" w:eastAsia="Arial" w:hAnsi="Arial"/>
          <w:sz w:val="20"/>
          <w:szCs w:val="20"/>
        </w:rPr>
        <w:t xml:space="preserve">All mandatory ISO 27001:2022 clauses (Clauses 4 through 10)</w:t>
      </w:r>
    </w:p>
    <w:p>
      <w:pPr>
        <w:pStyle w:val="ListParagraph"/>
        <w:numPr>
          <w:ilvl w:val="0"/>
          <w:numId w:val="2"/>
        </w:numPr>
        <w:spacing w:after="40" w:before="40"/>
      </w:pPr>
      <w:r>
        <w:rPr>
          <w:rFonts w:ascii="Arial" w:cs="Arial" w:eastAsia="Arial" w:hAnsi="Arial"/>
          <w:sz w:val="20"/>
          <w:szCs w:val="20"/>
        </w:rPr>
        <w:t xml:space="preserve">All Annex A control themes (Themes 5, 6, 7, and 8) within the scope of the SoA (ISMS-SoA-001)</w:t>
      </w:r>
    </w:p>
    <w:p>
      <w:pPr>
        <w:pStyle w:val="ListParagraph"/>
        <w:numPr>
          <w:ilvl w:val="0"/>
          <w:numId w:val="2"/>
        </w:numPr>
        <w:spacing w:after="40" w:before="40"/>
      </w:pPr>
      <w:r>
        <w:rPr>
          <w:rFonts w:ascii="Arial" w:cs="Arial" w:eastAsia="Arial" w:hAnsi="Arial"/>
          <w:sz w:val="20"/>
          <w:szCs w:val="20"/>
        </w:rPr>
        <w:t xml:space="preserve">The organisation's own ISMS requirements as documented in the ISMS policy framework</w:t>
      </w:r>
    </w:p>
    <w:p>
      <w:pPr>
        <w:pStyle w:val="ListParagraph"/>
        <w:numPr>
          <w:ilvl w:val="0"/>
          <w:numId w:val="2"/>
        </w:numPr>
        <w:spacing w:after="40" w:before="40"/>
      </w:pPr>
      <w:r>
        <w:rPr>
          <w:rFonts w:ascii="Arial" w:cs="Arial" w:eastAsia="Arial" w:hAnsi="Arial"/>
          <w:sz w:val="20"/>
          <w:szCs w:val="20"/>
        </w:rPr>
        <w:t xml:space="preserve">Applicable legal and regulatory obligations within the ISMS scope (UK GDPR, NIS Regulations)</w:t>
      </w:r>
    </w:p>
    <w:p>
      <w:pPr>
        <w:spacing w:after="60" w:before="60"/>
      </w:pPr>
    </w:p>
    <w:p>
      <w:pPr>
        <w:spacing w:after="80" w:before="80"/>
        <w:jc w:val="left"/>
      </w:pPr>
      <w:r>
        <w:rPr>
          <w:rFonts w:ascii="Arial" w:cs="Arial" w:eastAsia="Arial" w:hAnsi="Arial"/>
          <w:b w:val="false"/>
          <w:bCs w:val="false"/>
          <w:color w:val="000000"/>
          <w:sz w:val="20"/>
          <w:szCs w:val="20"/>
        </w:rPr>
        <w:t xml:space="preserve">The programme applies to all ISMS processes, controls, and documented information within the scope defined in ISMS-CTX-001 §5 and ISMS-SCO-001.</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2. Audit Programme Governance</w:t>
      </w:r>
    </w:p>
    <w:p>
      <w:pPr>
        <w:pStyle w:val="Heading2"/>
        <w:spacing w:after="80" w:before="240"/>
      </w:pPr>
      <w:r>
        <w:rPr>
          <w:rFonts w:ascii="Arial" w:cs="Arial" w:eastAsia="Arial" w:hAnsi="Arial"/>
          <w:b/>
          <w:bCs/>
          <w:color w:val="2E75B6"/>
          <w:sz w:val="26"/>
          <w:szCs w:val="26"/>
        </w:rPr>
        <w:t xml:space="preserve">2.1 Audit Objectives</w:t>
      </w:r>
    </w:p>
    <w:p>
      <w:pPr>
        <w:spacing w:after="80" w:before="80"/>
        <w:jc w:val="left"/>
      </w:pPr>
      <w:r>
        <w:rPr>
          <w:rFonts w:ascii="Arial" w:cs="Arial" w:eastAsia="Arial" w:hAnsi="Arial"/>
          <w:b w:val="false"/>
          <w:bCs w:val="false"/>
          <w:color w:val="000000"/>
          <w:sz w:val="20"/>
          <w:szCs w:val="20"/>
        </w:rPr>
        <w:t xml:space="preserve">The internal audit programme is designed to achieve the following objectives:</w:t>
      </w:r>
    </w:p>
    <w:p>
      <w:pPr>
        <w:spacing w:after="60" w:before="60"/>
      </w:pPr>
    </w:p>
    <w:p>
      <w:pPr>
        <w:pStyle w:val="ListParagraph"/>
        <w:numPr>
          <w:ilvl w:val="0"/>
          <w:numId w:val="2"/>
        </w:numPr>
        <w:spacing w:after="40" w:before="40"/>
      </w:pPr>
      <w:r>
        <w:rPr>
          <w:rFonts w:ascii="Arial" w:cs="Arial" w:eastAsia="Arial" w:hAnsi="Arial"/>
          <w:sz w:val="20"/>
          <w:szCs w:val="20"/>
        </w:rPr>
        <w:t xml:space="preserve">Provide independent, evidence-based assurance to top management that the ISMS conforms to ISO 27001:2022 and the organisation's own requirements.</w:t>
      </w:r>
    </w:p>
    <w:p>
      <w:pPr>
        <w:pStyle w:val="ListParagraph"/>
        <w:numPr>
          <w:ilvl w:val="0"/>
          <w:numId w:val="2"/>
        </w:numPr>
        <w:spacing w:after="40" w:before="40"/>
      </w:pPr>
      <w:r>
        <w:rPr>
          <w:rFonts w:ascii="Arial" w:cs="Arial" w:eastAsia="Arial" w:hAnsi="Arial"/>
          <w:sz w:val="20"/>
          <w:szCs w:val="20"/>
        </w:rPr>
        <w:t xml:space="preserve">Identify nonconformities, observations, and improvement opportunities before they are identified by the certification body.</w:t>
      </w:r>
    </w:p>
    <w:p>
      <w:pPr>
        <w:pStyle w:val="ListParagraph"/>
        <w:numPr>
          <w:ilvl w:val="0"/>
          <w:numId w:val="2"/>
        </w:numPr>
        <w:spacing w:after="40" w:before="40"/>
      </w:pPr>
      <w:r>
        <w:rPr>
          <w:rFonts w:ascii="Arial" w:cs="Arial" w:eastAsia="Arial" w:hAnsi="Arial"/>
          <w:sz w:val="20"/>
          <w:szCs w:val="20"/>
        </w:rPr>
        <w:t xml:space="preserve">Verify that risk treatment controls determined in ISMS-PLN-001 are implemented and operating effectively.</w:t>
      </w:r>
    </w:p>
    <w:p>
      <w:pPr>
        <w:pStyle w:val="ListParagraph"/>
        <w:numPr>
          <w:ilvl w:val="0"/>
          <w:numId w:val="2"/>
        </w:numPr>
        <w:spacing w:after="40" w:before="40"/>
      </w:pPr>
      <w:r>
        <w:rPr>
          <w:rFonts w:ascii="Arial" w:cs="Arial" w:eastAsia="Arial" w:hAnsi="Arial"/>
          <w:sz w:val="20"/>
          <w:szCs w:val="20"/>
        </w:rPr>
        <w:t xml:space="preserve">Assess whether ISMS objectives (ISMS-PLN-001 §5) are being achieved.</w:t>
      </w:r>
    </w:p>
    <w:p>
      <w:pPr>
        <w:pStyle w:val="ListParagraph"/>
        <w:numPr>
          <w:ilvl w:val="0"/>
          <w:numId w:val="2"/>
        </w:numPr>
        <w:spacing w:after="40" w:before="40"/>
      </w:pPr>
      <w:r>
        <w:rPr>
          <w:rFonts w:ascii="Arial" w:cs="Arial" w:eastAsia="Arial" w:hAnsi="Arial"/>
          <w:sz w:val="20"/>
          <w:szCs w:val="20"/>
        </w:rPr>
        <w:t xml:space="preserve">Provide input to the management review (ISMS-MR-001) and corrective action process (ISMS-CAR-001).</w:t>
      </w:r>
    </w:p>
    <w:p>
      <w:pPr>
        <w:pStyle w:val="ListParagraph"/>
        <w:numPr>
          <w:ilvl w:val="0"/>
          <w:numId w:val="2"/>
        </w:numPr>
        <w:spacing w:after="40" w:before="40"/>
      </w:pPr>
      <w:r>
        <w:rPr>
          <w:rFonts w:ascii="Arial" w:cs="Arial" w:eastAsia="Arial" w:hAnsi="Arial"/>
          <w:sz w:val="20"/>
          <w:szCs w:val="20"/>
        </w:rPr>
        <w:t xml:space="preserve">Support continual improvement of the ISMS as required by Clause 10.1.</w:t>
      </w:r>
    </w:p>
    <w:p>
      <w:pPr>
        <w:spacing w:after="120" w:before="120"/>
      </w:pPr>
    </w:p>
    <w:p>
      <w:pPr>
        <w:pStyle w:val="Heading2"/>
        <w:spacing w:after="80" w:before="240"/>
      </w:pPr>
      <w:r>
        <w:rPr>
          <w:rFonts w:ascii="Arial" w:cs="Arial" w:eastAsia="Arial" w:hAnsi="Arial"/>
          <w:b/>
          <w:bCs/>
          <w:color w:val="2E75B6"/>
          <w:sz w:val="26"/>
          <w:szCs w:val="26"/>
        </w:rPr>
        <w:t xml:space="preserve">2.2 Audit Criteria</w:t>
      </w:r>
    </w:p>
    <w:p>
      <w:pPr>
        <w:spacing w:after="80" w:before="80"/>
        <w:jc w:val="left"/>
      </w:pPr>
      <w:r>
        <w:rPr>
          <w:rFonts w:ascii="Arial" w:cs="Arial" w:eastAsia="Arial" w:hAnsi="Arial"/>
          <w:b w:val="false"/>
          <w:bCs w:val="false"/>
          <w:color w:val="000000"/>
          <w:sz w:val="20"/>
          <w:szCs w:val="20"/>
        </w:rPr>
        <w:t xml:space="preserve">Audits are conducted against the following criteria, applied consistently across all audit cycles: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6660"/>
      </w:tblGrid>
      <w:tr>
        <w:trPr>
          <w:tblHeader/>
        </w:trPr>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Criteria Category</w:t>
            </w:r>
          </w:p>
        </w:tc>
        <w:tc>
          <w:tcPr>
            <w:tcW w:type="dxa" w:w="6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ISO 27001:2022</w:t>
            </w:r>
          </w:p>
        </w:tc>
        <w:tc>
          <w:tcPr>
            <w:tcW w:type="dxa" w:w="6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requirements of ISO/IEC 27001:2022, including Clauses 4–10 and Annex A controls included in the SoA.</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 Policy Framework</w:t>
            </w:r>
          </w:p>
        </w:tc>
        <w:tc>
          <w:tcPr>
            <w:tcW w:type="dxa" w:w="6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ISMS policies, procedures, and documented information produced by the organisation and listed in ISMS-REG-001. Includes ISMS-PLN-001, ISMS-LDR-001, ISMS-OPS-001, ISMS-SPT-001, and all operational procedures.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UK GDPR / DPA 2018</w:t>
            </w:r>
          </w:p>
        </w:tc>
        <w:tc>
          <w:tcPr>
            <w:tcW w:type="dxa" w:w="6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Applicable data protection obligations within the ISMS scope, including lawful basis for processing, data subject rights, breach notification, and RoPA maintenance.</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NIS Regulations 2018</w:t>
            </w:r>
          </w:p>
        </w:tc>
        <w:tc>
          <w:tcPr>
            <w:tcW w:type="dxa" w:w="6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Applicable NIS obligations for client sectors where relevant to the organisation's service delivery.</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Client Contractual Obligations</w:t>
            </w:r>
          </w:p>
        </w:tc>
        <w:tc>
          <w:tcPr>
            <w:tcW w:type="dxa" w:w="6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requirements from client contracts that have been incorporated into the ISMS scope and controls.</w:t>
            </w:r>
          </w:p>
        </w:tc>
      </w:tr>
    </w:tbl>
    <w:p>
      <w:pPr>
        <w:spacing w:after="120" w:before="120"/>
      </w:pPr>
    </w:p>
    <w:p>
      <w:pPr>
        <w:pStyle w:val="Heading2"/>
        <w:spacing w:after="80" w:before="240"/>
      </w:pPr>
      <w:r>
        <w:rPr>
          <w:rFonts w:ascii="Arial" w:cs="Arial" w:eastAsia="Arial" w:hAnsi="Arial"/>
          <w:b/>
          <w:bCs/>
          <w:color w:val="2E75B6"/>
          <w:sz w:val="26"/>
          <w:szCs w:val="26"/>
        </w:rPr>
        <w:t xml:space="preserve">2.3 Auditor Competence Requirements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Competence Area</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Formal Qualification</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27001:2022 Internal Auditor certification from a recognised body (CQI/IRCA, BSI, or equivalent). Certificate must be on file in ISMS-TRN-REC before the audit commences.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Information Security Knowledge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Demonstrated understanding of information security principles, common threats and vulnerabilities, and the ISO 27001:2022 control framework. Assessed through qualification or verifiable experience.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Audit Methodology</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Understanding of audit evidence collection, sampling techniques, finding classification, and report writing. Reference: ISO 19011:2018 — Guidelines for auditing management systems.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Sector Knowledge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Understanding of IT managed services delivery model, cloud environments (Microsoft Azure/M365), and privileged access management context. Desirable but not mandatory if supported by ISM briefing.</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External Auditor Option</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Where an external auditor is engaged, their qualification must be verified before engagement, and a conflict of interest declaration obtained. The external auditor must have no commercial relationship with the organisation other than the audit engagement.</w:t>
            </w:r>
          </w:p>
        </w:tc>
      </w:tr>
    </w:tbl>
    <w:p>
      <w:pPr>
        <w:spacing w:after="120" w:before="120"/>
      </w:pPr>
    </w:p>
    <w:p>
      <w:pPr>
        <w:pStyle w:val="Heading2"/>
        <w:spacing w:after="80" w:before="240"/>
      </w:pPr>
      <w:r>
        <w:rPr>
          <w:rFonts w:ascii="Arial" w:cs="Arial" w:eastAsia="Arial" w:hAnsi="Arial"/>
          <w:b/>
          <w:bCs/>
          <w:color w:val="2E75B6"/>
          <w:sz w:val="26"/>
          <w:szCs w:val="26"/>
        </w:rPr>
        <w:t xml:space="preserve">2.4 Auditor Independence — Requirements and Controls</w:t>
      </w:r>
    </w:p>
    <w:p>
      <w:pPr>
        <w:spacing w:after="80" w:before="80"/>
        <w:jc w:val="left"/>
      </w:pPr>
      <w:r>
        <w:rPr>
          <w:rFonts w:ascii="Arial" w:cs="Arial" w:eastAsia="Arial" w:hAnsi="Arial"/>
          <w:b w:val="false"/>
          <w:bCs w:val="false"/>
          <w:color w:val="000000"/>
          <w:sz w:val="20"/>
          <w:szCs w:val="20"/>
        </w:rPr>
        <w:t xml:space="preserve">ISO 27001:2022 Clause 9.2 requires auditors to ensure objectivity and impartiality. The following rules govern independence at Apex Managed Services Ltd:</w:t>
      </w:r>
    </w:p>
    <w:p>
      <w:pPr>
        <w:spacing w:after="60" w:before="60"/>
      </w:pPr>
    </w:p>
    <w:p>
      <w:pPr>
        <w:pStyle w:val="ListParagraph"/>
        <w:numPr>
          <w:ilvl w:val="0"/>
          <w:numId w:val="2"/>
        </w:numPr>
        <w:spacing w:after="40" w:before="40"/>
      </w:pPr>
      <w:r>
        <w:rPr>
          <w:rFonts w:ascii="Arial" w:cs="Arial" w:eastAsia="Arial" w:hAnsi="Arial"/>
          <w:sz w:val="20"/>
          <w:szCs w:val="20"/>
        </w:rPr>
        <w:t xml:space="preserve">The auditor shall not audit any process, control, or document for which they are personally responsible for creating, operating, or maintaining.</w:t>
      </w:r>
    </w:p>
    <w:p>
      <w:pPr>
        <w:pStyle w:val="ListParagraph"/>
        <w:numPr>
          <w:ilvl w:val="0"/>
          <w:numId w:val="2"/>
        </w:numPr>
        <w:spacing w:after="40" w:before="40"/>
      </w:pPr>
      <w:r>
        <w:rPr>
          <w:rFonts w:ascii="Arial" w:cs="Arial" w:eastAsia="Arial" w:hAnsi="Arial"/>
          <w:sz w:val="20"/>
          <w:szCs w:val="20"/>
        </w:rPr>
        <w:t xml:space="preserve">Where the ISM is the primary responsible person for a process being audited, an external auditor or another qualified individual must audit that process. The ISM may audit processes owned by the HoT or other personnel, provided independence is preserved.</w:t>
      </w:r>
    </w:p>
    <w:p>
      <w:pPr>
        <w:pStyle w:val="ListParagraph"/>
        <w:numPr>
          <w:ilvl w:val="0"/>
          <w:numId w:val="2"/>
        </w:numPr>
        <w:spacing w:after="40" w:before="40"/>
      </w:pPr>
      <w:r>
        <w:rPr>
          <w:rFonts w:ascii="Arial" w:cs="Arial" w:eastAsia="Arial" w:hAnsi="Arial"/>
          <w:sz w:val="20"/>
          <w:szCs w:val="20"/>
        </w:rPr>
        <w:t xml:space="preserve">An auditor who participated in the design or implementation of a control during the audit period may not audit that control in the same audit cycle.</w:t>
      </w:r>
    </w:p>
    <w:p>
      <w:pPr>
        <w:pStyle w:val="ListParagraph"/>
        <w:numPr>
          <w:ilvl w:val="0"/>
          <w:numId w:val="2"/>
        </w:numPr>
        <w:spacing w:after="40" w:before="40"/>
      </w:pPr>
      <w:r>
        <w:rPr>
          <w:rFonts w:ascii="Arial" w:cs="Arial" w:eastAsia="Arial" w:hAnsi="Arial"/>
          <w:sz w:val="20"/>
          <w:szCs w:val="20"/>
        </w:rPr>
        <w:t xml:space="preserve">The auditor's findings must be reported directly to the Managing Director — they must not be filtered or amended by the ISM where the ISM is an auditee.</w:t>
      </w:r>
    </w:p>
    <w:p>
      <w:pPr>
        <w:pStyle w:val="ListParagraph"/>
        <w:numPr>
          <w:ilvl w:val="0"/>
          <w:numId w:val="2"/>
        </w:numPr>
        <w:spacing w:after="40" w:before="40"/>
      </w:pPr>
      <w:r>
        <w:rPr>
          <w:rFonts w:ascii="Arial" w:cs="Arial" w:eastAsia="Arial" w:hAnsi="Arial"/>
          <w:sz w:val="20"/>
          <w:szCs w:val="20"/>
        </w:rPr>
        <w:t xml:space="preserve">Any real or perceived conflict of interest must be declared to the MD before the audit commences. The MD determines whether the conflict is material.</w:t>
      </w:r>
    </w:p>
    <w:p>
      <w:pPr>
        <w:spacing w:after="120" w:before="120"/>
      </w:pPr>
    </w:p>
    <w:p>
      <w:pPr>
        <w:pStyle w:val="Heading2"/>
        <w:spacing w:after="80" w:before="240"/>
      </w:pPr>
      <w:r>
        <w:rPr>
          <w:rFonts w:ascii="Arial" w:cs="Arial" w:eastAsia="Arial" w:hAnsi="Arial"/>
          <w:b/>
          <w:bCs/>
          <w:color w:val="2E75B6"/>
          <w:sz w:val="26"/>
          <w:szCs w:val="26"/>
        </w:rPr>
        <w:t xml:space="preserve">2.5 Auditor Independence Declaration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jc w:val="center"/>
            </w:pPr>
            <w:r>
              <w:rPr>
                <w:rFonts w:ascii="Arial" w:cs="Arial" w:eastAsia="Arial" w:hAnsi="Arial"/>
                <w:b/>
                <w:bCs/>
                <w:color w:val="FFFFFF"/>
                <w:sz w:val="18"/>
                <w:szCs w:val="18"/>
              </w:rPr>
              <w:t xml:space="preserve">AUDITOR INDEPENDENCE AND IMPARTIALITY DECLARATION</w:t>
            </w:r>
          </w:p>
        </w:tc>
      </w:tr>
      <w:tr>
        <w:tc>
          <w:tcPr>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80" w:before="80"/>
              <w:jc w:val="left"/>
            </w:pPr>
            <w:r>
              <w:rPr>
                <w:rFonts w:ascii="Arial" w:cs="Arial" w:eastAsia="Arial" w:hAnsi="Arial"/>
                <w:b w:val="false"/>
                <w:bCs w:val="false"/>
                <w:color w:val="000000"/>
                <w:sz w:val="20"/>
                <w:szCs w:val="20"/>
              </w:rPr>
              <w:t xml:space="preserve">I confirm that, to the best of my knowledge and belief:</w:t>
            </w:r>
          </w:p>
          <w:p>
            <w:pPr>
              <w:spacing w:after="60" w:before="60"/>
            </w:pPr>
          </w:p>
          <w:p>
            <w:pPr>
              <w:spacing w:after="80" w:before="80"/>
              <w:jc w:val="left"/>
            </w:pPr>
            <w:r>
              <w:rPr>
                <w:rFonts w:ascii="Arial" w:cs="Arial" w:eastAsia="Arial" w:hAnsi="Arial"/>
                <w:b w:val="false"/>
                <w:bCs w:val="false"/>
                <w:color w:val="000000"/>
                <w:sz w:val="20"/>
                <w:szCs w:val="20"/>
              </w:rPr>
              <w:t xml:space="preserve">1.  I have no financial interest in the outcome of this audit.</w:t>
            </w:r>
          </w:p>
          <w:p>
            <w:pPr>
              <w:spacing w:after="80" w:before="80"/>
              <w:jc w:val="left"/>
            </w:pPr>
            <w:r>
              <w:rPr>
                <w:rFonts w:ascii="Arial" w:cs="Arial" w:eastAsia="Arial" w:hAnsi="Arial"/>
                <w:b w:val="false"/>
                <w:bCs w:val="false"/>
                <w:color w:val="000000"/>
                <w:sz w:val="20"/>
                <w:szCs w:val="20"/>
              </w:rPr>
              <w:t xml:space="preserve">2.  I have no personal relationship with any auditee that could impair my objectivity.</w:t>
            </w:r>
          </w:p>
          <w:p>
            <w:pPr>
              <w:spacing w:after="80" w:before="80"/>
              <w:jc w:val="left"/>
            </w:pPr>
            <w:r>
              <w:rPr>
                <w:rFonts w:ascii="Arial" w:cs="Arial" w:eastAsia="Arial" w:hAnsi="Arial"/>
                <w:b w:val="false"/>
                <w:bCs w:val="false"/>
                <w:color w:val="000000"/>
                <w:sz w:val="20"/>
                <w:szCs w:val="20"/>
              </w:rPr>
              <w:t xml:space="preserve">3.  I have not been involved in the design, implementation, or operation of any process or control I will be auditing in this cycle, within the preceding 12 months.</w:t>
            </w:r>
          </w:p>
          <w:p>
            <w:pPr>
              <w:spacing w:after="80" w:before="80"/>
              <w:jc w:val="left"/>
            </w:pPr>
            <w:r>
              <w:rPr>
                <w:rFonts w:ascii="Arial" w:cs="Arial" w:eastAsia="Arial" w:hAnsi="Arial"/>
                <w:b w:val="false"/>
                <w:bCs w:val="false"/>
                <w:color w:val="000000"/>
                <w:sz w:val="20"/>
                <w:szCs w:val="20"/>
              </w:rPr>
              <w:t xml:space="preserve">4.  I am not aware of any other circumstance that could give rise to a real or perceived conflict of interest.</w:t>
            </w:r>
          </w:p>
          <w:p>
            <w:pPr>
              <w:spacing w:after="80" w:before="80"/>
              <w:jc w:val="left"/>
            </w:pPr>
            <w:r>
              <w:rPr>
                <w:rFonts w:ascii="Arial" w:cs="Arial" w:eastAsia="Arial" w:hAnsi="Arial"/>
                <w:b w:val="false"/>
                <w:bCs w:val="false"/>
                <w:color w:val="000000"/>
                <w:sz w:val="20"/>
                <w:szCs w:val="20"/>
              </w:rPr>
              <w:t xml:space="preserve">5.  I will conduct this audit objectively, report findings factually, and not allow any external pressure to influence my findings.</w:t>
            </w:r>
          </w:p>
          <w:p>
            <w:pPr>
              <w:spacing w:after="60" w:before="60"/>
            </w:pPr>
          </w:p>
          <w:p>
            <w:pPr>
              <w:spacing w:after="80" w:before="80"/>
              <w:jc w:val="left"/>
            </w:pPr>
            <w:r>
              <w:rPr>
                <w:rFonts w:ascii="Arial" w:cs="Arial" w:eastAsia="Arial" w:hAnsi="Arial"/>
                <w:b w:val="false"/>
                <w:bCs w:val="false"/>
                <w:color w:val="000000"/>
                <w:sz w:val="20"/>
                <w:szCs w:val="20"/>
              </w:rPr>
              <w:t xml:space="preserve">If any circumstance arises during the audit that may affect my independence, I will report it to the Managing Director immediately.</w:t>
            </w:r>
          </w:p>
          <w:p>
            <w:pPr>
              <w:spacing w:after="60" w:before="60"/>
            </w:pPr>
          </w:p>
          <w:p>
            <w:r>
              <w:rPr>
                <w:rFonts w:ascii="Arial" w:cs="Arial" w:eastAsia="Arial" w:hAnsi="Arial"/>
              </w:rPr>
              <w:t xml:space="preserve">Auditor Name: ______________________________    </w:t>
            </w:r>
            <w:r>
              <w:rPr>
                <w:rFonts w:ascii="Arial" w:cs="Arial" w:eastAsia="Arial" w:hAnsi="Arial"/>
              </w:rPr>
              <w:t xml:space="preserve">Qualification: ______________________________</w:t>
            </w:r>
          </w:p>
          <w:p>
            <w:pPr>
              <w:spacing w:after="60" w:before="60"/>
            </w:pPr>
          </w:p>
          <w:p>
            <w:r>
              <w:rPr>
                <w:rFonts w:ascii="Arial" w:cs="Arial" w:eastAsia="Arial" w:hAnsi="Arial"/>
              </w:rPr>
              <w:t xml:space="preserve">Signature: ______________________________    </w:t>
            </w:r>
            <w:r>
              <w:rPr>
                <w:rFonts w:ascii="Arial" w:cs="Arial" w:eastAsia="Arial" w:hAnsi="Arial"/>
              </w:rPr>
              <w:t xml:space="preserve">Date: ______________________________</w:t>
            </w:r>
          </w:p>
          <w:p>
            <w:pPr>
              <w:spacing w:after="60" w:before="60"/>
            </w:pPr>
          </w:p>
          <w:p>
            <w:pPr>
              <w:spacing w:after="80" w:before="80"/>
              <w:jc w:val="left"/>
            </w:pPr>
            <w:r>
              <w:rPr>
                <w:rFonts w:ascii="Arial" w:cs="Arial" w:eastAsia="Arial" w:hAnsi="Arial"/>
                <w:b w:val="false"/>
                <w:bCs w:val="false"/>
                <w:color w:val="000000"/>
                <w:sz w:val="20"/>
                <w:szCs w:val="20"/>
              </w:rPr>
              <w:t xml:space="preserve">Acknowledged by MD: ______________________________    Date: ______________________________</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3. Audit Planning and Scheduling</w:t>
      </w:r>
    </w:p>
    <w:p>
      <w:pPr>
        <w:pStyle w:val="Heading2"/>
        <w:spacing w:after="80" w:before="240"/>
      </w:pPr>
      <w:r>
        <w:rPr>
          <w:rFonts w:ascii="Arial" w:cs="Arial" w:eastAsia="Arial" w:hAnsi="Arial"/>
          <w:b/>
          <w:bCs/>
          <w:color w:val="2E75B6"/>
          <w:sz w:val="26"/>
          <w:szCs w:val="26"/>
        </w:rPr>
        <w:t xml:space="preserve">3.1 Audit Programme Schedule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1200"/>
        <w:gridCol w:w="1000"/>
        <w:gridCol w:w="1000"/>
        <w:gridCol w:w="800"/>
        <w:gridCol w:w="1060"/>
        <w:gridCol w:w="400"/>
      </w:tblGrid>
      <w:tr>
        <w:trPr>
          <w:tblHeader/>
        </w:trP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ID</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Planned Period</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Duration</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Auditor</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Report Due</w:t>
            </w:r>
          </w:p>
        </w:tc>
        <w:tc>
          <w:tcPr>
            <w:tcW w:type="dxa" w:w="1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Report Ref</w:t>
            </w:r>
          </w:p>
        </w:tc>
        <w:tc>
          <w:tcPr>
            <w:tcW w:type="dxa" w:w="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AUD-2026-001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Pre-certification Internal Audit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Full scope — all Clauses 4–10 and all Annex A themes (prioritised by risk)</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July–August 2026</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2 days fieldwork + 1 week document review</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[Auditor TBC — internal or external contractor]</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AUD-2026-001-RPT</w:t>
            </w:r>
          </w:p>
        </w:tc>
        <w:tc>
          <w:tcPr>
            <w:tcW w:type="dxa" w:w="1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Scheduled</w:t>
            </w:r>
          </w:p>
        </w:tc>
        <w:tc>
          <w:tcPr>
            <w:tcW w:type="dxa" w:w="4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AUD-2027-001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Year 1 Post-Certification Annual Audit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Full scope — continued certification surveillance focus. Emphasis on: controls not yet fully implemented at AUD-2026-001, CAR effectiveness verification, KPI trend evidence.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July–August 2027</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2 days fieldwork</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[Auditor TBC]</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AUD-2027-001-RPT</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Planned</w:t>
            </w:r>
          </w:p>
        </w:tc>
        <w:tc>
          <w:tcPr>
            <w:tcW w:type="dxa" w:w="4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r>
          </w:p>
        </w:tc>
      </w:tr>
    </w:tbl>
    <w:p>
      <w:pPr>
        <w:spacing w:after="120" w:before="120"/>
      </w:pPr>
    </w:p>
    <w:p>
      <w:pPr>
        <w:pStyle w:val="Heading2"/>
        <w:spacing w:after="80" w:before="240"/>
      </w:pPr>
      <w:r>
        <w:rPr>
          <w:rFonts w:ascii="Arial" w:cs="Arial" w:eastAsia="Arial" w:hAnsi="Arial"/>
          <w:b/>
          <w:bCs/>
          <w:color w:val="2E75B6"/>
          <w:sz w:val="26"/>
          <w:szCs w:val="26"/>
        </w:rPr>
        <w:t xml:space="preserve">3.2 Audit Frequency and Triggers</w:t>
      </w:r>
    </w:p>
    <w:p>
      <w:pPr>
        <w:spacing w:after="80" w:before="80"/>
        <w:jc w:val="left"/>
      </w:pPr>
      <w:r>
        <w:rPr>
          <w:rFonts w:ascii="Arial" w:cs="Arial" w:eastAsia="Arial" w:hAnsi="Arial"/>
          <w:b w:val="false"/>
          <w:bCs w:val="false"/>
          <w:color w:val="000000"/>
          <w:sz w:val="20"/>
          <w:szCs w:val="20"/>
        </w:rPr>
        <w:t xml:space="preserve">Internal audits are conducted at planned intervals in accordance with Clause 9.2. The following frequency and trigger rules apply: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5260"/>
        <w:gridCol w:w="2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Type</w:t>
            </w:r>
          </w:p>
        </w:tc>
        <w:tc>
          <w:tcPr>
            <w:tcW w:type="dxa" w:w="5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 and Frequency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Minimum Notice to Auditees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Full Annual Audit</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Conducted once per 12-month cycle, scheduled in Q3 (July–August) to allow findings to be addressed before the annual management review (Q4) and before certification body surveillance audits.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 calendar days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Triggered Audit</w:t>
            </w:r>
          </w:p>
        </w:tc>
        <w:tc>
          <w:tcPr>
            <w:tcW w:type="dxa" w:w="5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targeted audit of specific clauses or controls may be triggered by: a Major NC requiring urgent independent verification; a significant security incident revealing systemic control failure; a material change to ISMS scope; or a certification body recommendation.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 working days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Follow-Up Verification</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Where a Major NC corrective action requires independent verification before the next annual audit, the auditor conducts a targeted follow-up to confirm effectiveness. Counts as part of the annual programme.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 working days</w:t>
            </w:r>
          </w:p>
        </w:tc>
      </w:tr>
    </w:tbl>
    <w:p>
      <w:pPr>
        <w:spacing w:after="120" w:before="120"/>
      </w:pPr>
    </w:p>
    <w:p>
      <w:pPr>
        <w:pStyle w:val="Heading2"/>
        <w:spacing w:after="80" w:before="240"/>
      </w:pPr>
      <w:r>
        <w:rPr>
          <w:rFonts w:ascii="Arial" w:cs="Arial" w:eastAsia="Arial" w:hAnsi="Arial"/>
          <w:b/>
          <w:bCs/>
          <w:color w:val="2E75B6"/>
          <w:sz w:val="26"/>
          <w:szCs w:val="26"/>
        </w:rPr>
        <w:t xml:space="preserve">3.3 Risk-Based Prioritisation</w:t>
      </w:r>
    </w:p>
    <w:p>
      <w:pPr>
        <w:spacing w:after="80" w:before="80"/>
        <w:jc w:val="left"/>
      </w:pPr>
      <w:r>
        <w:rPr>
          <w:rFonts w:ascii="Arial" w:cs="Arial" w:eastAsia="Arial" w:hAnsi="Arial"/>
          <w:b w:val="false"/>
          <w:bCs w:val="false"/>
          <w:color w:val="000000"/>
          <w:sz w:val="20"/>
          <w:szCs w:val="20"/>
        </w:rPr>
        <w:t xml:space="preserve">Audit depth and time allocation are prioritised using a risk-based approach, ensuring the most critical and highest-risk areas receive the most thorough scrutiny. Risk ratings for each audit area are defined in the checklist (Sections 8 and 9) using the following criteria:</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430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Risk Rating</w:t>
            </w:r>
          </w:p>
        </w:tc>
        <w:tc>
          <w:tcPr>
            <w:tcW w:type="dxa" w:w="3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Prioritisation Criteria</w:t>
            </w:r>
          </w:p>
        </w:tc>
        <w:tc>
          <w:tcPr>
            <w:tcW w:type="dxa" w:w="4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Examples</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High</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Control directly addresses a High or Critical risk in the risk register; or the area has previously produced a Major NC; or the area is likely to be scrutinised by the certification body at Stage 2.</w:t>
            </w:r>
          </w:p>
        </w:tc>
        <w:tc>
          <w:tcPr>
            <w:tcW w:type="dxa" w:w="4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5.1 (Leadership — CB will test this heavily); 6.1 (Risk Assessment — core ISO 27001 requirement); 8.3 (Treatment implementation evidence); 9.3 (Management review evidence); A.8 (Technological controls — widest attack surface).</w:t>
            </w:r>
          </w:p>
        </w:tc>
      </w:tr>
      <w:tr>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Medium</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Control addresses a Medium risk; or the area is new to this audit cycle; or compliance is partially established with gaps known.</w:t>
            </w:r>
          </w:p>
        </w:tc>
        <w:tc>
          <w:tcPr>
            <w:tcW w:type="dxa" w:w="4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4.1/4.2 (Context — low risk of major gap); 7.4 (Communication — low complexity); 8.1 (Operational planning — partially implemented); A.7 (Physical — mostly excluded).</w:t>
            </w:r>
          </w:p>
        </w:tc>
      </w:tr>
      <w:tr>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Low</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Control addresses a Low risk; evidence is largely administrative and unlikely to produce significant findings; or the area was conforming in the prior audit.</w:t>
            </w:r>
          </w:p>
        </w:tc>
        <w:tc>
          <w:tcPr>
            <w:tcW w:type="dxa" w:w="4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4.4 (ISMS establishment — administrative); 6.3 (Change planning — low complexity); 7.4 (Communication records); 9.2 (Internal audit — self-referential, treat carefully).</w:t>
            </w:r>
          </w:p>
        </w:tc>
      </w:tr>
    </w:tbl>
    <w:p>
      <w:pPr>
        <w:spacing w:after="120" w:before="120"/>
      </w:pPr>
    </w:p>
    <w:p>
      <w:pPr>
        <w:pStyle w:val="Heading2"/>
        <w:spacing w:after="80" w:before="240"/>
      </w:pPr>
      <w:r>
        <w:rPr>
          <w:rFonts w:ascii="Arial" w:cs="Arial" w:eastAsia="Arial" w:hAnsi="Arial"/>
          <w:b/>
          <w:bCs/>
          <w:color w:val="2E75B6"/>
          <w:sz w:val="26"/>
          <w:szCs w:val="26"/>
        </w:rPr>
        <w:t xml:space="preserve">3.4 Audit Plan — AUD-2026-001 (Pre-Certification)</w:t>
      </w:r>
    </w:p>
    <w:p>
      <w:pPr>
        <w:spacing w:after="80" w:before="80"/>
        <w:jc w:val="left"/>
      </w:pPr>
      <w:r>
        <w:rPr>
          <w:rFonts w:ascii="Arial" w:cs="Arial" w:eastAsia="Arial" w:hAnsi="Arial"/>
          <w:b w:val="false"/>
          <w:bCs w:val="false"/>
          <w:color w:val="000000"/>
          <w:sz w:val="20"/>
          <w:szCs w:val="20"/>
        </w:rPr>
        <w:t xml:space="preserve">The following is the detailed audit plan for AUD-2026-001. This plan must be issued to all auditees at least 14 calendar days before fieldwork commences. Auditees are responsible for ensuring evidence is compiled and accessible before the fieldwork dates.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Reference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AUD-2026-001</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Title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Pre-Certification Full Scope Internal Audit — ISO/IEC 27001:2022</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Scope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clauses of ISO/IEC 27001:2022 (Clauses 4–10) and all Annex A control themes (5, 6, 7, 8) within the ISMS scope defined in ISMS-SCO-001.</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Criteria</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ISO/IEC 27001:2022; ISMS policy framework (all documents in ISMS-REG-001); UK GDPR / DPA 2018; NIS Regulations 2018.</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Planned Dates</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 review: 13–17 July 2026. Fieldwork: 27–28 July 2026. Report: by 31 August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Auditor</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[Auditor Name and Qualification — to be confirmed]</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Auditees</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Managing Director (leadership, policy, management review interviews); Information Security Manager (all ISMS processes, documentation); Head of Technology (technical controls, operational processes).</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Notification</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plan to be distributed to all auditees by 13 June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Compilation Deadline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evidence listed in the audit checklist (Sections 8–9) to be compiled and available in the designated evidence folder in SharePoint by 21 July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Opening Meeting</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 July 2026, 09:00 — All attendees. Agenda: audit scope confirmation, logistics, process for raising findings, closing meeting schedule.</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Closing Meeting</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 July 2026, 16:00 — All attendees. Agenda: preliminary findings summary, initial classification discussion, next steps and report timeline.</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Report Due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 August 2026. Draft for factual accuracy review to auditees by 21 August 2026 (5 working day review window).</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4. Audit Execution Procedure</w:t>
      </w:r>
    </w:p>
    <w:p>
      <w:pPr>
        <w:pStyle w:val="Heading2"/>
        <w:spacing w:after="80" w:before="240"/>
      </w:pPr>
      <w:r>
        <w:rPr>
          <w:rFonts w:ascii="Arial" w:cs="Arial" w:eastAsia="Arial" w:hAnsi="Arial"/>
          <w:b/>
          <w:bCs/>
          <w:color w:val="2E75B6"/>
          <w:sz w:val="26"/>
          <w:szCs w:val="26"/>
        </w:rPr>
        <w:t xml:space="preserve">4.1 Pre-Audit Activities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400"/>
        <w:gridCol w:w="3260"/>
        <w:gridCol w:w="1600"/>
        <w:gridCol w:w="1000"/>
      </w:tblGrid>
      <w:tr>
        <w:trPr>
          <w:tblHeader/>
        </w:trPr>
        <w:tc>
          <w:tcPr>
            <w:tcW w:type="dxa" w:w="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Timing</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Appoint Auditor</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MD</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Confirm auditor identity and qualification. Obtain independence declaration (Section 2.5). Confirm no conflicts of interest. Agree fee if external.</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Auditor appointment confirmation; signed independence declaration in ISMS-TRN-REC.</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8 weeks before fieldwork</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Confirm Audit Plan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Finalise audit plan (Section 3.4). Issue to all auditees with minimum 14 days notice. Confirm evidence compilation deadline.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Issued audit plan; distribution record.</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6 weeks before fieldwork</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Evidence Compilation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HoT / MD</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Each auditee compiles evidence for their areas per the checklist (Sections 8–9). Organise evidence in a structured SharePoint folder accessible to auditor. Notify ISM when complete.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Evidence folder in SharePoint; checklist marked with evidence location references.</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By evidence compilation deadline</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Auditor Briefing</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Auditor</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Brief the auditor on: organisation structure, ISMS scope, key documents, areas of particular concern, and logistics. Provide access to document management system.</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Briefing notes; system access confirmation.</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1 week before document review</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Document Review</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Auditor</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Auditor reviews all ISMS documentation independently for completeness and conformance before fieldwork. Preliminary findings documented. Questions for fieldwork identified.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Document review notes; preliminary finding log.</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Document review week</w:t>
            </w:r>
          </w:p>
        </w:tc>
      </w:tr>
    </w:tbl>
    <w:p>
      <w:pPr>
        <w:spacing w:after="120" w:before="120"/>
      </w:pPr>
    </w:p>
    <w:p>
      <w:pPr>
        <w:pStyle w:val="Heading2"/>
        <w:spacing w:after="80" w:before="240"/>
      </w:pPr>
      <w:r>
        <w:rPr>
          <w:rFonts w:ascii="Arial" w:cs="Arial" w:eastAsia="Arial" w:hAnsi="Arial"/>
          <w:b/>
          <w:bCs/>
          <w:color w:val="2E75B6"/>
          <w:sz w:val="26"/>
          <w:szCs w:val="26"/>
        </w:rPr>
        <w:t xml:space="preserve">4.2 Document Review (Stage 1 Desk Review)</w:t>
      </w:r>
    </w:p>
    <w:p>
      <w:pPr>
        <w:spacing w:after="80" w:before="80"/>
        <w:jc w:val="left"/>
      </w:pPr>
      <w:r>
        <w:rPr>
          <w:rFonts w:ascii="Arial" w:cs="Arial" w:eastAsia="Arial" w:hAnsi="Arial"/>
          <w:b w:val="false"/>
          <w:bCs w:val="false"/>
          <w:color w:val="000000"/>
          <w:sz w:val="20"/>
          <w:szCs w:val="20"/>
        </w:rPr>
        <w:t xml:space="preserve">The document review is conducted before fieldwork. Its purpose is to determine whether the ISMS documentation is complete and sufficient before examining implementation. Key activities:</w:t>
      </w:r>
    </w:p>
    <w:p>
      <w:pPr>
        <w:spacing w:after="60" w:before="60"/>
      </w:pPr>
    </w:p>
    <w:p>
      <w:pPr>
        <w:pStyle w:val="ListParagraph"/>
        <w:numPr>
          <w:ilvl w:val="0"/>
          <w:numId w:val="2"/>
        </w:numPr>
        <w:spacing w:after="40" w:before="40"/>
      </w:pPr>
      <w:r>
        <w:rPr>
          <w:rFonts w:ascii="Arial" w:cs="Arial" w:eastAsia="Arial" w:hAnsi="Arial"/>
          <w:sz w:val="20"/>
          <w:szCs w:val="20"/>
        </w:rPr>
        <w:t xml:space="preserve">Verify all mandatory ISO 27001:2022 documented information is present (reference ISMS-REG-001 Mandatory column).</w:t>
      </w:r>
    </w:p>
    <w:p>
      <w:pPr>
        <w:pStyle w:val="ListParagraph"/>
        <w:numPr>
          <w:ilvl w:val="0"/>
          <w:numId w:val="2"/>
        </w:numPr>
        <w:spacing w:after="40" w:before="40"/>
      </w:pPr>
      <w:r>
        <w:rPr>
          <w:rFonts w:ascii="Arial" w:cs="Arial" w:eastAsia="Arial" w:hAnsi="Arial"/>
          <w:sz w:val="20"/>
          <w:szCs w:val="20"/>
        </w:rPr>
        <w:t xml:space="preserve">Check that documents carry correct identification (ref, version, date, owner, classification) per Clause 7.5.2.</w:t>
      </w:r>
    </w:p>
    <w:p>
      <w:pPr>
        <w:pStyle w:val="ListParagraph"/>
        <w:numPr>
          <w:ilvl w:val="0"/>
          <w:numId w:val="2"/>
        </w:numPr>
        <w:spacing w:after="40" w:before="40"/>
      </w:pPr>
      <w:r>
        <w:rPr>
          <w:rFonts w:ascii="Arial" w:cs="Arial" w:eastAsia="Arial" w:hAnsi="Arial"/>
          <w:sz w:val="20"/>
          <w:szCs w:val="20"/>
        </w:rPr>
        <w:t xml:space="preserve">Assess whether policy content meets ISO 27001:2022 requirements (e.g. IS Policy content vs. Clause 5.2 requirements).</w:t>
      </w:r>
    </w:p>
    <w:p>
      <w:pPr>
        <w:pStyle w:val="ListParagraph"/>
        <w:numPr>
          <w:ilvl w:val="0"/>
          <w:numId w:val="2"/>
        </w:numPr>
        <w:spacing w:after="40" w:before="40"/>
      </w:pPr>
      <w:r>
        <w:rPr>
          <w:rFonts w:ascii="Arial" w:cs="Arial" w:eastAsia="Arial" w:hAnsi="Arial"/>
          <w:sz w:val="20"/>
          <w:szCs w:val="20"/>
        </w:rPr>
        <w:t xml:space="preserve">Review risk assessment and SoA for logical consistency — risk register risks should map to SoA controls.</w:t>
      </w:r>
    </w:p>
    <w:p>
      <w:pPr>
        <w:pStyle w:val="ListParagraph"/>
        <w:numPr>
          <w:ilvl w:val="0"/>
          <w:numId w:val="2"/>
        </w:numPr>
        <w:spacing w:after="40" w:before="40"/>
      </w:pPr>
      <w:r>
        <w:rPr>
          <w:rFonts w:ascii="Arial" w:cs="Arial" w:eastAsia="Arial" w:hAnsi="Arial"/>
          <w:sz w:val="20"/>
          <w:szCs w:val="20"/>
        </w:rPr>
        <w:t xml:space="preserve">Identify documentation gaps that will require field verification or constitute preliminary findings.</w:t>
      </w:r>
    </w:p>
    <w:p>
      <w:pPr>
        <w:pStyle w:val="ListParagraph"/>
        <w:numPr>
          <w:ilvl w:val="0"/>
          <w:numId w:val="2"/>
        </w:numPr>
        <w:spacing w:after="40" w:before="40"/>
      </w:pPr>
      <w:r>
        <w:rPr>
          <w:rFonts w:ascii="Arial" w:cs="Arial" w:eastAsia="Arial" w:hAnsi="Arial"/>
          <w:sz w:val="20"/>
          <w:szCs w:val="20"/>
        </w:rPr>
        <w:t xml:space="preserve">Prepare targeted questions for fieldwork interviews based on document review findings.</w:t>
      </w:r>
    </w:p>
    <w:p>
      <w:pPr>
        <w:spacing w:after="60" w:before="60"/>
      </w:pPr>
    </w:p>
    <w:p>
      <w:pPr>
        <w:spacing w:after="80" w:before="80"/>
        <w:jc w:val="left"/>
      </w:pPr>
      <w:r>
        <w:rPr>
          <w:rFonts w:ascii="Arial" w:cs="Arial" w:eastAsia="Arial" w:hAnsi="Arial"/>
          <w:b w:val="false"/>
          <w:bCs w:val="false"/>
          <w:color w:val="595959"/>
          <w:sz w:val="18"/>
          <w:szCs w:val="18"/>
        </w:rPr>
        <w:t xml:space="preserve">Document review findings are documented in a preliminary findings log. They are presented to auditees at the opening meeting for awareness — not for debate or revision before fieldwork.</w:t>
      </w:r>
    </w:p>
    <w:p>
      <w:pPr>
        <w:spacing w:after="120" w:before="120"/>
      </w:pPr>
    </w:p>
    <w:p>
      <w:pPr>
        <w:pStyle w:val="Heading2"/>
        <w:spacing w:after="80" w:before="240"/>
      </w:pPr>
      <w:r>
        <w:rPr>
          <w:rFonts w:ascii="Arial" w:cs="Arial" w:eastAsia="Arial" w:hAnsi="Arial"/>
          <w:b/>
          <w:bCs/>
          <w:color w:val="2E75B6"/>
          <w:sz w:val="26"/>
          <w:szCs w:val="26"/>
        </w:rPr>
        <w:t xml:space="preserve">4.3 Fieldwork</w:t>
      </w:r>
    </w:p>
    <w:p>
      <w:pPr>
        <w:spacing w:after="80" w:before="80"/>
        <w:jc w:val="left"/>
      </w:pPr>
      <w:r>
        <w:rPr>
          <w:rFonts w:ascii="Arial" w:cs="Arial" w:eastAsia="Arial" w:hAnsi="Arial"/>
          <w:b w:val="false"/>
          <w:bCs w:val="false"/>
          <w:color w:val="000000"/>
          <w:sz w:val="20"/>
          <w:szCs w:val="20"/>
        </w:rPr>
        <w:t xml:space="preserve">Fieldwork involves direct interaction with auditees to gather evidence of ISMS implementation and effectiveness. Fieldwork activities include:</w:t>
      </w:r>
    </w:p>
    <w:p>
      <w:pPr>
        <w:spacing w:after="60" w:before="60"/>
      </w:pPr>
    </w:p>
    <w:p>
      <w:pPr>
        <w:pStyle w:val="ListParagraph"/>
        <w:numPr>
          <w:ilvl w:val="0"/>
          <w:numId w:val="2"/>
        </w:numPr>
        <w:spacing w:after="40" w:before="40"/>
      </w:pPr>
      <w:r>
        <w:rPr>
          <w:rFonts w:ascii="Arial" w:cs="Arial" w:eastAsia="Arial" w:hAnsi="Arial"/>
          <w:sz w:val="20"/>
          <w:szCs w:val="20"/>
        </w:rPr>
        <w:t xml:space="preserve">Structured interviews with the MD (leadership commitment, management review), ISM (ISMS governance, risk, corrective action), and HoT (technical controls, operational processes).</w:t>
      </w:r>
    </w:p>
    <w:p>
      <w:pPr>
        <w:pStyle w:val="ListParagraph"/>
        <w:numPr>
          <w:ilvl w:val="0"/>
          <w:numId w:val="2"/>
        </w:numPr>
        <w:spacing w:after="40" w:before="40"/>
      </w:pPr>
      <w:r>
        <w:rPr>
          <w:rFonts w:ascii="Arial" w:cs="Arial" w:eastAsia="Arial" w:hAnsi="Arial"/>
          <w:sz w:val="20"/>
          <w:szCs w:val="20"/>
        </w:rPr>
        <w:t xml:space="preserve">Evidence review — examining platform reports, logs, training records, configuration exports, and other operational evidence.</w:t>
      </w:r>
    </w:p>
    <w:p>
      <w:pPr>
        <w:pStyle w:val="ListParagraph"/>
        <w:numPr>
          <w:ilvl w:val="0"/>
          <w:numId w:val="2"/>
        </w:numPr>
        <w:spacing w:after="40" w:before="40"/>
      </w:pPr>
      <w:r>
        <w:rPr>
          <w:rFonts w:ascii="Arial" w:cs="Arial" w:eastAsia="Arial" w:hAnsi="Arial"/>
          <w:sz w:val="20"/>
          <w:szCs w:val="20"/>
        </w:rPr>
        <w:t xml:space="preserve">Process observation — where possible, observing processes in action (e.g. alert triage, access provisioning).</w:t>
      </w:r>
    </w:p>
    <w:p>
      <w:pPr>
        <w:pStyle w:val="ListParagraph"/>
        <w:numPr>
          <w:ilvl w:val="0"/>
          <w:numId w:val="2"/>
        </w:numPr>
        <w:spacing w:after="40" w:before="40"/>
      </w:pPr>
      <w:r>
        <w:rPr>
          <w:rFonts w:ascii="Arial" w:cs="Arial" w:eastAsia="Arial" w:hAnsi="Arial"/>
          <w:sz w:val="20"/>
          <w:szCs w:val="20"/>
        </w:rPr>
        <w:t xml:space="preserve">Record sampling — testing a representative sample of records against defined criteria (see Section 4.6).</w:t>
      </w:r>
    </w:p>
    <w:p>
      <w:pPr>
        <w:pStyle w:val="ListParagraph"/>
        <w:numPr>
          <w:ilvl w:val="0"/>
          <w:numId w:val="2"/>
        </w:numPr>
        <w:spacing w:after="40" w:before="40"/>
      </w:pPr>
      <w:r>
        <w:rPr>
          <w:rFonts w:ascii="Arial" w:cs="Arial" w:eastAsia="Arial" w:hAnsi="Arial"/>
          <w:sz w:val="20"/>
          <w:szCs w:val="20"/>
        </w:rPr>
        <w:t xml:space="preserve">Cross-referencing — verifying consistency between documented procedures and actual practice.</w:t>
      </w:r>
    </w:p>
    <w:p>
      <w:pPr>
        <w:spacing w:after="60" w:before="60"/>
      </w:pPr>
    </w:p>
    <w:p>
      <w:pPr>
        <w:spacing w:after="80" w:before="80"/>
        <w:jc w:val="left"/>
      </w:pPr>
      <w:r>
        <w:rPr>
          <w:rFonts w:ascii="Arial" w:cs="Arial" w:eastAsia="Arial" w:hAnsi="Arial"/>
          <w:b w:val="false"/>
          <w:bCs w:val="false"/>
          <w:color w:val="595959"/>
          <w:sz w:val="18"/>
          <w:szCs w:val="18"/>
        </w:rPr>
        <w:t xml:space="preserve">The auditor documents findings in real time using the finding log (Section 10). Preliminary findings are not shared with auditees during fieldwork — only at the closing meeting.</w:t>
      </w:r>
    </w:p>
    <w:p>
      <w:pPr>
        <w:spacing w:after="120" w:before="120"/>
      </w:pPr>
    </w:p>
    <w:p>
      <w:pPr>
        <w:pStyle w:val="Heading2"/>
        <w:spacing w:after="80" w:before="240"/>
      </w:pPr>
      <w:r>
        <w:rPr>
          <w:rFonts w:ascii="Arial" w:cs="Arial" w:eastAsia="Arial" w:hAnsi="Arial"/>
          <w:b/>
          <w:bCs/>
          <w:color w:val="2E75B6"/>
          <w:sz w:val="26"/>
          <w:szCs w:val="26"/>
        </w:rPr>
        <w:t xml:space="preserve">4.4 Opening and Closing Meetings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3830"/>
        <w:gridCol w:w="3830"/>
      </w:tblGrid>
      <w:tr>
        <w:trPr>
          <w:tblHeader/>
        </w:trP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383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Opening Meeting</w:t>
            </w:r>
          </w:p>
        </w:tc>
        <w:tc>
          <w:tcPr>
            <w:tcW w:type="dxa" w:w="383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Closing Meeting</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Purpose</w:t>
            </w:r>
          </w:p>
        </w:tc>
        <w:tc>
          <w:tcPr>
            <w:tcW w:type="dxa" w:w="383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 scope, criteria, and logistics. Set expectations. Introduce auditor to all auditees.</w:t>
            </w:r>
          </w:p>
        </w:tc>
        <w:tc>
          <w:tcPr>
            <w:tcW w:type="dxa" w:w="383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Present preliminary findings. Discuss factual accuracy. Confirm classification of each finding. Agree next steps and report timeline.</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Attendees</w:t>
            </w:r>
          </w:p>
        </w:tc>
        <w:tc>
          <w:tcPr>
            <w:tcW w:type="dxa" w:w="383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auditees (MD, ISM, HoT); Auditor.</w:t>
            </w:r>
          </w:p>
        </w:tc>
        <w:tc>
          <w:tcPr>
            <w:tcW w:type="dxa" w:w="383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auditees; Auditor. MD must attend — findings are reported directly to top management.</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Key Points</w:t>
            </w:r>
          </w:p>
        </w:tc>
        <w:tc>
          <w:tcPr>
            <w:tcW w:type="dxa" w:w="383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Auditor confirms independence; auditees confirm evidence is available; logistics confirmed; audit plan confirmed.</w:t>
            </w:r>
          </w:p>
        </w:tc>
        <w:tc>
          <w:tcPr>
            <w:tcW w:type="dxa" w:w="383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Auditor presents each finding; auditees may provide factual corrections only (not negotiate classification); classification is the auditor's decision.</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Minutes</w:t>
            </w:r>
          </w:p>
        </w:tc>
        <w:tc>
          <w:tcPr>
            <w:tcW w:type="dxa" w:w="383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takes minutes. Distributed within 2 working days.</w:t>
            </w:r>
          </w:p>
        </w:tc>
        <w:tc>
          <w:tcPr>
            <w:tcW w:type="dxa" w:w="383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takes minutes. Preliminary findings list appended. Distributed within 2 working days.</w:t>
            </w:r>
          </w:p>
        </w:tc>
      </w:tr>
    </w:tbl>
    <w:p>
      <w:pPr>
        <w:spacing w:after="120" w:before="120"/>
      </w:pPr>
    </w:p>
    <w:p>
      <w:pPr>
        <w:pStyle w:val="Heading2"/>
        <w:spacing w:after="80" w:before="240"/>
      </w:pPr>
      <w:r>
        <w:rPr>
          <w:rFonts w:ascii="Arial" w:cs="Arial" w:eastAsia="Arial" w:hAnsi="Arial"/>
          <w:b/>
          <w:bCs/>
          <w:color w:val="2E75B6"/>
          <w:sz w:val="26"/>
          <w:szCs w:val="26"/>
        </w:rPr>
        <w:t xml:space="preserve">4.5 Evidence Collection Principles</w:t>
      </w:r>
    </w:p>
    <w:p>
      <w:pPr>
        <w:pStyle w:val="ListParagraph"/>
        <w:numPr>
          <w:ilvl w:val="0"/>
          <w:numId w:val="2"/>
        </w:numPr>
        <w:spacing w:after="40" w:before="40"/>
      </w:pPr>
      <w:r>
        <w:rPr>
          <w:rFonts w:ascii="Arial" w:cs="Arial" w:eastAsia="Arial" w:hAnsi="Arial"/>
          <w:sz w:val="20"/>
          <w:szCs w:val="20"/>
        </w:rPr>
        <w:t xml:space="preserve">Evidence must be objective — based on verifiable facts, not assertions or statements of intent.</w:t>
      </w:r>
    </w:p>
    <w:p>
      <w:pPr>
        <w:pStyle w:val="ListParagraph"/>
        <w:numPr>
          <w:ilvl w:val="0"/>
          <w:numId w:val="2"/>
        </w:numPr>
        <w:spacing w:after="40" w:before="40"/>
      </w:pPr>
      <w:r>
        <w:rPr>
          <w:rFonts w:ascii="Arial" w:cs="Arial" w:eastAsia="Arial" w:hAnsi="Arial"/>
          <w:sz w:val="20"/>
          <w:szCs w:val="20"/>
        </w:rPr>
        <w:t xml:space="preserve">Three types of audit evidence: documents (policies, procedures, records), interviews (confirmatory, not sole basis for conformity), and observation (most reliable — seeing a process in action).</w:t>
      </w:r>
    </w:p>
    <w:p>
      <w:pPr>
        <w:pStyle w:val="ListParagraph"/>
        <w:numPr>
          <w:ilvl w:val="0"/>
          <w:numId w:val="2"/>
        </w:numPr>
        <w:spacing w:after="40" w:before="40"/>
      </w:pPr>
      <w:r>
        <w:rPr>
          <w:rFonts w:ascii="Arial" w:cs="Arial" w:eastAsia="Arial" w:hAnsi="Arial"/>
          <w:sz w:val="20"/>
          <w:szCs w:val="20"/>
        </w:rPr>
        <w:t xml:space="preserve">Absence of evidence is evidence of absence — if a required document or record does not exist, this is a finding regardless of verbal assurance that it exists.</w:t>
      </w:r>
    </w:p>
    <w:p>
      <w:pPr>
        <w:pStyle w:val="ListParagraph"/>
        <w:numPr>
          <w:ilvl w:val="0"/>
          <w:numId w:val="2"/>
        </w:numPr>
        <w:spacing w:after="40" w:before="40"/>
      </w:pPr>
      <w:r>
        <w:rPr>
          <w:rFonts w:ascii="Arial" w:cs="Arial" w:eastAsia="Arial" w:hAnsi="Arial"/>
          <w:sz w:val="20"/>
          <w:szCs w:val="20"/>
        </w:rPr>
        <w:t xml:space="preserve">Electronic evidence is preferred where it carries timestamps — platform-generated reports (Intune, Defender, Sentinel, Entra ID) are higher-quality evidence than manually compiled summaries.</w:t>
      </w:r>
    </w:p>
    <w:p>
      <w:pPr>
        <w:pStyle w:val="ListParagraph"/>
        <w:numPr>
          <w:ilvl w:val="0"/>
          <w:numId w:val="2"/>
        </w:numPr>
        <w:spacing w:after="40" w:before="40"/>
      </w:pPr>
      <w:r>
        <w:rPr>
          <w:rFonts w:ascii="Arial" w:cs="Arial" w:eastAsia="Arial" w:hAnsi="Arial"/>
          <w:sz w:val="20"/>
          <w:szCs w:val="20"/>
        </w:rPr>
        <w:t xml:space="preserve">Screenshots must include date/time stamp and be sourced from the production environment.</w:t>
      </w:r>
    </w:p>
    <w:p>
      <w:pPr>
        <w:pStyle w:val="ListParagraph"/>
        <w:numPr>
          <w:ilvl w:val="0"/>
          <w:numId w:val="2"/>
        </w:numPr>
        <w:spacing w:after="40" w:before="40"/>
      </w:pPr>
      <w:r>
        <w:rPr>
          <w:rFonts w:ascii="Arial" w:cs="Arial" w:eastAsia="Arial" w:hAnsi="Arial"/>
          <w:sz w:val="20"/>
          <w:szCs w:val="20"/>
        </w:rPr>
        <w:t xml:space="preserve">Interview notes are supplementary evidence only — they corroborate or contextualise documentary and technical evidence; they cannot be the sole basis for a Conforming finding on a High-risk clause.</w:t>
      </w:r>
    </w:p>
    <w:p>
      <w:pPr>
        <w:spacing w:after="120" w:before="120"/>
      </w:pPr>
    </w:p>
    <w:p>
      <w:pPr>
        <w:pStyle w:val="Heading2"/>
        <w:spacing w:after="80" w:before="240"/>
      </w:pPr>
      <w:r>
        <w:rPr>
          <w:rFonts w:ascii="Arial" w:cs="Arial" w:eastAsia="Arial" w:hAnsi="Arial"/>
          <w:b/>
          <w:bCs/>
          <w:color w:val="2E75B6"/>
          <w:sz w:val="26"/>
          <w:szCs w:val="26"/>
        </w:rPr>
        <w:t xml:space="preserve">4.6 Sampling Approach</w:t>
      </w:r>
    </w:p>
    <w:p>
      <w:pPr>
        <w:spacing w:after="80" w:before="80"/>
        <w:jc w:val="left"/>
      </w:pPr>
      <w:r>
        <w:rPr>
          <w:rFonts w:ascii="Arial" w:cs="Arial" w:eastAsia="Arial" w:hAnsi="Arial"/>
          <w:b w:val="false"/>
          <w:bCs w:val="false"/>
          <w:color w:val="000000"/>
          <w:sz w:val="20"/>
          <w:szCs w:val="20"/>
        </w:rPr>
        <w:t xml:space="preserve">Given the organisation's size (1–10 personnel), sampling of personnel records should approach 100% where feasible. For technical and operational records: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260"/>
        <w:gridCol w:w="360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Record Type</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Sample Size Guidance</w:t>
            </w:r>
          </w:p>
        </w:tc>
        <w:tc>
          <w:tcPr>
            <w:tcW w:type="dxa" w:w="3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Personnel records (training, screening, acknowledgements)</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100% — all staff and contractors (≤10 people).</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Small team size makes 100% sampling achievable and expected by certification bodies.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Vulnerability remediation records</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Sample 5 Critical/High vulnerabilities from last 90 days — verify SLA compliance dates.</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Tests whether the SLA policy is being applied in practice, not just documented.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Access review records</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 accounts reviewed in last quarterly cycle — verify process was followed.</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Access review integrity is critical given PAM and ISK-001 risk.</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Sentinel alert triage records</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Sample 10 High/Critical alerts from last 30 days — verify triage SLA compliance.</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Tests KPI-009/010 claims; evidences SIEM operational effectiveness.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Change management records</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Review all entries in operational change log — verify completeness and classification.</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Change log volume will be low at this stage; full review is appropriate.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Backup/restore records</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Last 3 months of backup success logs; most recent restoration test report.</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Tests OPS-006 criteria compliance; KPI-022/023 evidence.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Supplier assessments</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 critical/high suppliers in ISMS-SUP-001 — verify assessment currency (≤12 months).</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KPI-021 test; ISK-012 treatment verification.</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5. Finding Classification and Escalation</w:t>
      </w:r>
    </w:p>
    <w:p>
      <w:pPr>
        <w:spacing w:after="80" w:before="80"/>
        <w:jc w:val="left"/>
      </w:pPr>
      <w:r>
        <w:rPr>
          <w:rFonts w:ascii="Arial" w:cs="Arial" w:eastAsia="Arial" w:hAnsi="Arial"/>
          <w:b w:val="false"/>
          <w:bCs w:val="false"/>
          <w:color w:val="000000"/>
          <w:sz w:val="20"/>
          <w:szCs w:val="20"/>
        </w:rPr>
        <w:t xml:space="preserve">All audit findings are classified using the four-tier system below. Classification is the auditor's sole determination — auditees may provide factual corrections at the closing meeting but may not negotiate the classification of a finding. Where the auditor and auditee disagree on classification, the dispute is escalated to the Managing Director for resolution.</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2460"/>
        <w:gridCol w:w="2400"/>
        <w:gridCol w:w="1600"/>
        <w:gridCol w:w="140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2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Test</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Mandatory Response</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CB Implication</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Major NC</w:t>
            </w:r>
          </w:p>
        </w:tc>
        <w:tc>
          <w:tcPr>
            <w:tcW w:type="dxa" w:w="2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Complete absence or total failure of a required process or control; creates significant doubt about ISMS achieving intended outcomes; or a critical regulatory compliance failure.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 mandatory 'shall' requirement is completely absent or totally ineffective.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CAR within 5 WD; action plan within 30 days; MD notified immediately.</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May prevent certification; must be closed before Stage 2 or at first surveillance.</w:t>
            </w:r>
          </w:p>
        </w:tc>
      </w:tr>
      <w:tr>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Minor NC</w:t>
            </w:r>
          </w:p>
        </w:tc>
        <w:tc>
          <w:tcPr>
            <w:tcW w:type="dxa" w:w="2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Isolated failure of a control or process; partial fulfilment of a requirement where key elements are present; likely to develop into a Major NC if unaddressed.</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 'shall' requirement is partially met or has isolated failures — not systemic.</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CAR within 10 WD; action plan within 60 days; MD informed at next review.</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Does not prevent certification but must be addressed; CB expects evidence of action at surveillance.</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Observation</w:t>
            </w:r>
          </w:p>
        </w:tc>
        <w:tc>
          <w:tcPr>
            <w:tcW w:type="dxa" w:w="2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Not currently a nonconformity but may become one; potential for improvement; risk worth monitoring without mandatory corrective action.</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Requirement is met but implementation is weak, narrow, or at risk of degrading.</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ISM review within 10 WD; CI entry raised if warranted; reviewed at next audit.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No certification impact; CB may note observations and track resolution at surveillance.</w:t>
            </w:r>
          </w:p>
        </w:tc>
      </w:tr>
      <w:tr>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Conforming</w:t>
            </w:r>
          </w:p>
        </w:tc>
        <w:tc>
          <w:tcPr>
            <w:tcW w:type="dxa" w:w="2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Requirement is implemented; evidence of effective operation exists. Positive finding recorded in report.</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Requirement met with objective evidence of consistent implementation.</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No action required.</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Contributes to CB confidence in the ISMS.</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6. Audit Reporting</w:t>
      </w:r>
    </w:p>
    <w:p>
      <w:pPr>
        <w:pStyle w:val="Heading2"/>
        <w:spacing w:after="80" w:before="240"/>
      </w:pPr>
      <w:r>
        <w:rPr>
          <w:rFonts w:ascii="Arial" w:cs="Arial" w:eastAsia="Arial" w:hAnsi="Arial"/>
          <w:b/>
          <w:bCs/>
          <w:color w:val="2E75B6"/>
          <w:sz w:val="26"/>
          <w:szCs w:val="26"/>
        </w:rPr>
        <w:t xml:space="preserve">6.1 Report Requirements</w:t>
      </w:r>
    </w:p>
    <w:p>
      <w:pPr>
        <w:pStyle w:val="ListParagraph"/>
        <w:numPr>
          <w:ilvl w:val="0"/>
          <w:numId w:val="2"/>
        </w:numPr>
        <w:spacing w:after="40" w:before="40"/>
      </w:pPr>
      <w:r>
        <w:rPr>
          <w:rFonts w:ascii="Arial" w:cs="Arial" w:eastAsia="Arial" w:hAnsi="Arial"/>
          <w:sz w:val="20"/>
          <w:szCs w:val="20"/>
        </w:rPr>
        <w:t xml:space="preserve">The audit report must be produced within 10 working days of fieldwork completion.</w:t>
      </w:r>
    </w:p>
    <w:p>
      <w:pPr>
        <w:pStyle w:val="ListParagraph"/>
        <w:numPr>
          <w:ilvl w:val="0"/>
          <w:numId w:val="2"/>
        </w:numPr>
        <w:spacing w:after="40" w:before="40"/>
      </w:pPr>
      <w:r>
        <w:rPr>
          <w:rFonts w:ascii="Arial" w:cs="Arial" w:eastAsia="Arial" w:hAnsi="Arial"/>
          <w:sz w:val="20"/>
          <w:szCs w:val="20"/>
        </w:rPr>
        <w:t xml:space="preserve">A draft for factual accuracy review is issued to auditees within 8 working days. Auditees have 5 working days to submit factual corrections only — they may not alter findings or classifications.</w:t>
      </w:r>
    </w:p>
    <w:p>
      <w:pPr>
        <w:pStyle w:val="ListParagraph"/>
        <w:numPr>
          <w:ilvl w:val="0"/>
          <w:numId w:val="2"/>
        </w:numPr>
        <w:spacing w:after="40" w:before="40"/>
      </w:pPr>
      <w:r>
        <w:rPr>
          <w:rFonts w:ascii="Arial" w:cs="Arial" w:eastAsia="Arial" w:hAnsi="Arial"/>
          <w:sz w:val="20"/>
          <w:szCs w:val="20"/>
        </w:rPr>
        <w:t xml:space="preserve">The final report is distributed to the Managing Director, Information Security Manager, and Head of Technology. It is classified INTERNAL.</w:t>
      </w:r>
    </w:p>
    <w:p>
      <w:pPr>
        <w:pStyle w:val="ListParagraph"/>
        <w:numPr>
          <w:ilvl w:val="0"/>
          <w:numId w:val="2"/>
        </w:numPr>
        <w:spacing w:after="40" w:before="40"/>
      </w:pPr>
      <w:r>
        <w:rPr>
          <w:rFonts w:ascii="Arial" w:cs="Arial" w:eastAsia="Arial" w:hAnsi="Arial"/>
          <w:sz w:val="20"/>
          <w:szCs w:val="20"/>
        </w:rPr>
        <w:t xml:space="preserve">The report must cover: executive summary, audit scope and criteria, methodology, findings by clause (individual finding sheets for each NC and Observation), overall conformance assessment, and recommendations for corrective action.</w:t>
      </w:r>
    </w:p>
    <w:p>
      <w:pPr>
        <w:pStyle w:val="ListParagraph"/>
        <w:numPr>
          <w:ilvl w:val="0"/>
          <w:numId w:val="2"/>
        </w:numPr>
        <w:spacing w:after="40" w:before="40"/>
      </w:pPr>
      <w:r>
        <w:rPr>
          <w:rFonts w:ascii="Arial" w:cs="Arial" w:eastAsia="Arial" w:hAnsi="Arial"/>
          <w:sz w:val="20"/>
          <w:szCs w:val="20"/>
        </w:rPr>
        <w:t xml:space="preserve">All Major NCs must be individually listed in the executive summary with their corrective action due dates.</w:t>
      </w:r>
    </w:p>
    <w:p>
      <w:pPr>
        <w:spacing w:after="120" w:before="120"/>
      </w:pPr>
    </w:p>
    <w:p>
      <w:pPr>
        <w:pStyle w:val="Heading2"/>
        <w:spacing w:after="80" w:before="240"/>
      </w:pPr>
      <w:r>
        <w:rPr>
          <w:rFonts w:ascii="Arial" w:cs="Arial" w:eastAsia="Arial" w:hAnsi="Arial"/>
          <w:b/>
          <w:bCs/>
          <w:color w:val="2E75B6"/>
          <w:sz w:val="26"/>
          <w:szCs w:val="26"/>
        </w:rPr>
        <w:t xml:space="preserve">6.2 Audit Report Template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gridSpan w:val="1"/>
            <w:tcBorders>
              <w:top w:val="single" w:color="999999" w:sz="4"/>
              <w:left w:val="single" w:color="999999" w:sz="4"/>
              <w:bottom w:val="single" w:color="999999" w:sz="4"/>
              <w:right w:val="single" w:color="999999" w:sz="4"/>
            </w:tcBorders>
            <w:shd w:fill="1F3864"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INTERNAL AUDIT REPORT — TEMPLATE</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Audit Reference</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[AUD-YYYY-NNN]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Audit Title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Internal Audit — ISO/IEC 27001:2022 — [Full Scope / Targeted]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Organisation</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Apex Managed Services Ltd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Audit Period</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[Document review dates] / [Fieldwork dates]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Auditor</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[Name, Qualification, Independence confirmed: Y/N]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Auditees</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[Names and roles of all personnel interviewed]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Audit Scope</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[As per audit plan — clause and Annex A coverage]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Audit Criteria</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ISO/IEC 27001:2022; ISMS policy framework; UK GDPR; NIS Regulations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Date of Report</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7"/>
                <w:szCs w:val="17"/>
              </w:rPr>
              <w:t xml:space="preserve">[Date]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Report Classification</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INTERNAL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Distribution</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Managing Director; Information Security Manager; Head of Technology</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18"/>
                <w:szCs w:val="18"/>
              </w:rPr>
              <w:t xml:space="preserve">SECTION 1 — EXECUTIVE SUMMARY</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80" w:before="80"/>
              <w:jc w:val="left"/>
            </w:pPr>
            <w:r>
              <w:rPr>
                <w:rFonts w:ascii="Arial" w:cs="Arial" w:eastAsia="Arial" w:hAnsi="Arial"/>
                <w:b w:val="false"/>
                <w:bCs w:val="false"/>
                <w:color w:val="595959"/>
                <w:sz w:val="17"/>
                <w:szCs w:val="17"/>
              </w:rPr>
              <w:t xml:space="preserve">[Overall conformance assessment: summary statement of the ISMS's conformance to ISO 27001:2022. State total findings by type.]</w:t>
            </w:r>
          </w:p>
          <w:p>
            <w:pPr>
              <w:spacing w:after="60" w:before="60"/>
            </w:pPr>
          </w:p>
          <w:p>
            <w:pPr>
              <w:spacing w:after="80" w:before="80"/>
              <w:jc w:val="left"/>
            </w:pPr>
            <w:r>
              <w:rPr>
                <w:rFonts w:ascii="Arial" w:cs="Arial" w:eastAsia="Arial" w:hAnsi="Arial"/>
                <w:b/>
                <w:bCs/>
                <w:color w:val="000000"/>
                <w:sz w:val="17"/>
                <w:szCs w:val="17"/>
              </w:rPr>
              <w:t xml:space="preserve">Total Findings Summary:</w:t>
            </w:r>
          </w:p>
          <w:p>
            <w:pPr>
              <w:spacing w:after="80" w:before="80"/>
              <w:jc w:val="left"/>
            </w:pPr>
            <w:r>
              <w:rPr>
                <w:rFonts w:ascii="Arial" w:cs="Arial" w:eastAsia="Arial" w:hAnsi="Arial"/>
                <w:b/>
                <w:bCs/>
                <w:color w:val="C00000"/>
                <w:sz w:val="17"/>
                <w:szCs w:val="17"/>
              </w:rPr>
              <w:t xml:space="preserve">  Major Nonconformities:      [N]</w:t>
            </w:r>
          </w:p>
          <w:p>
            <w:pPr>
              <w:spacing w:after="80" w:before="80"/>
              <w:jc w:val="left"/>
            </w:pPr>
            <w:r>
              <w:rPr>
                <w:rFonts w:ascii="Arial" w:cs="Arial" w:eastAsia="Arial" w:hAnsi="Arial"/>
                <w:b/>
                <w:bCs/>
                <w:color w:val="ED7D31"/>
                <w:sz w:val="17"/>
                <w:szCs w:val="17"/>
              </w:rPr>
              <w:t xml:space="preserve">  Minor Nonconformities:      [N]</w:t>
            </w:r>
          </w:p>
          <w:p>
            <w:pPr>
              <w:spacing w:after="80" w:before="80"/>
              <w:jc w:val="left"/>
            </w:pPr>
            <w:r>
              <w:rPr>
                <w:rFonts w:ascii="Arial" w:cs="Arial" w:eastAsia="Arial" w:hAnsi="Arial"/>
                <w:b/>
                <w:bCs/>
                <w:color w:val="2E75B6"/>
                <w:sz w:val="17"/>
                <w:szCs w:val="17"/>
              </w:rPr>
              <w:t xml:space="preserve">  Observations:               [N]</w:t>
            </w:r>
          </w:p>
          <w:p>
            <w:pPr>
              <w:spacing w:after="80" w:before="80"/>
              <w:jc w:val="left"/>
            </w:pPr>
            <w:r>
              <w:rPr>
                <w:rFonts w:ascii="Arial" w:cs="Arial" w:eastAsia="Arial" w:hAnsi="Arial"/>
                <w:b/>
                <w:bCs/>
                <w:color w:val="70AD47"/>
                <w:sz w:val="17"/>
                <w:szCs w:val="17"/>
              </w:rPr>
              <w:t xml:space="preserve">  Conforming Areas:           [N]</w:t>
            </w:r>
          </w:p>
          <w:p>
            <w:pPr>
              <w:spacing w:after="60" w:before="60"/>
            </w:pPr>
          </w:p>
          <w:p>
            <w:pPr>
              <w:spacing w:after="80" w:before="80"/>
              <w:jc w:val="left"/>
            </w:pPr>
            <w:r>
              <w:rPr>
                <w:rFonts w:ascii="Arial" w:cs="Arial" w:eastAsia="Arial" w:hAnsi="Arial"/>
                <w:b w:val="false"/>
                <w:bCs w:val="false"/>
                <w:color w:val="595959"/>
                <w:sz w:val="17"/>
                <w:szCs w:val="17"/>
              </w:rPr>
              <w:t xml:space="preserve">[List each Major NC with its finding reference and corrective action due date.]</w:t>
            </w:r>
          </w:p>
          <w:p>
            <w:pPr>
              <w:spacing w:after="60" w:before="60"/>
            </w:pPr>
          </w:p>
          <w:p>
            <w:pPr>
              <w:spacing w:after="80" w:before="80"/>
              <w:jc w:val="left"/>
            </w:pPr>
            <w:r>
              <w:rPr>
                <w:rFonts w:ascii="Arial" w:cs="Arial" w:eastAsia="Arial" w:hAnsi="Arial"/>
                <w:b w:val="false"/>
                <w:bCs w:val="false"/>
                <w:color w:val="595959"/>
                <w:sz w:val="17"/>
                <w:szCs w:val="17"/>
              </w:rPr>
              <w:t xml:space="preserve">Certification Readiness Assessment: [Recommended for Stage 2 / Requires resolution of Major NCs before Stage 2]</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18"/>
                <w:szCs w:val="18"/>
              </w:rPr>
              <w:t xml:space="preserve">SECTION 2 — FINDINGS BY CLAUSE (Individual Finding Sheets)</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80" w:before="80"/>
              <w:jc w:val="left"/>
            </w:pPr>
            <w:r>
              <w:rPr>
                <w:rFonts w:ascii="Arial" w:cs="Arial" w:eastAsia="Arial" w:hAnsi="Arial"/>
                <w:b w:val="false"/>
                <w:bCs w:val="false"/>
                <w:color w:val="000000"/>
                <w:sz w:val="17"/>
                <w:szCs w:val="17"/>
              </w:rPr>
              <w:t xml:space="preserve">A separate finding sheet (using the template below) is produced for each Major NC, Minor NC, and Observation. Conforming areas are listed with a brief statement of evidence reviewed.</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6"/>
                <w:szCs w:val="16"/>
              </w:rPr>
              <w:t xml:space="preserve">INDIVIDUAL FINDING SHEET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Finding Reference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[FL-NNN] — [AUD-YYYY-NNN]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Classification</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[Major NC / Minor NC / Observation]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ISO 27001:2022 Clause / Annex A Control</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[e.g. Clause 7.2; A.6.3]</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Finding Statement</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Precise, objective description of what was found. Avoid adjectives. State what was absent, failed, or non-conforming — with specific reference to the requirement not met.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Evidence Reviewed</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List of specific documents, records, or platform reports reviewed in forming this finding.</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ISO 27001:2022 Requirement (quoted)</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The specific 'shall' statement that has not been met, quoted or paraphrased from the standard.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Risk / Impact</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Why this finding matters — what is the risk to the ISMS or the organisation if not addressed?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Auditor Recommendation</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Suggested approach to corrective action. Not prescriptive — the auditee determines the specific action.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Corrective Action Required By</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[Date — per timeline table in Section 5]</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CAR Reference</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[ISMS-CAR-001 CAR-NNN — raised within 5/10 working days]</w:t>
            </w:r>
          </w:p>
        </w:tc>
      </w:tr>
    </w:tbl>
    <w:p>
      <w:pPr>
        <w:spacing w:after="120" w:before="120"/>
      </w:pPr>
    </w:p>
    <w:p>
      <w:pPr>
        <w:pStyle w:val="Heading2"/>
        <w:spacing w:after="80" w:before="240"/>
      </w:pPr>
      <w:r>
        <w:rPr>
          <w:rFonts w:ascii="Arial" w:cs="Arial" w:eastAsia="Arial" w:hAnsi="Arial"/>
          <w:b/>
          <w:bCs/>
          <w:color w:val="2E75B6"/>
          <w:sz w:val="26"/>
          <w:szCs w:val="26"/>
        </w:rPr>
        <w:t xml:space="preserve">6.3 Distribution and Confidentiality</w:t>
      </w:r>
    </w:p>
    <w:p>
      <w:pPr>
        <w:spacing w:after="80" w:before="80"/>
        <w:jc w:val="left"/>
      </w:pPr>
      <w:r>
        <w:rPr>
          <w:rFonts w:ascii="Arial" w:cs="Arial" w:eastAsia="Arial" w:hAnsi="Arial"/>
          <w:b w:val="false"/>
          <w:bCs w:val="false"/>
          <w:color w:val="000000"/>
          <w:sz w:val="20"/>
          <w:szCs w:val="20"/>
        </w:rPr>
        <w:t xml:space="preserve">Audit reports are classified INTERNAL. Distribution is restricted to the Managing Director, Information Security Manager, and Head of Technology. The report must not be distributed externally without MD approval, except to the certification body on request. Report files are stored in the ISMS evidence folder in the document management system with access controlled per document classification.</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7. Corrective Action and Follow-Up</w:t>
      </w:r>
    </w:p>
    <w:p>
      <w:pPr>
        <w:spacing w:after="80" w:before="80"/>
        <w:jc w:val="left"/>
      </w:pPr>
      <w:r>
        <w:rPr>
          <w:rFonts w:ascii="Arial" w:cs="Arial" w:eastAsia="Arial" w:hAnsi="Arial"/>
          <w:b w:val="false"/>
          <w:bCs w:val="false"/>
          <w:color w:val="000000"/>
          <w:sz w:val="20"/>
          <w:szCs w:val="20"/>
        </w:rPr>
        <w:t xml:space="preserve">All Major NCs and Minor NCs identified in the audit report must result in corrective action entries in ISMS-CAR-001 within the timelines specified in Section 5. The following follow-up procedure applies: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6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3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3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Timing</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CAR Creation</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creates a CAR in ISMS-CAR-001 for each Major and Minor NC. Observation-based CI entries raised in ISMS-CI-001.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Within 5 working days of final audit report distribution for Major NCs; within 10 working days for Minor NCs.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Progress Monitoring</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tracks corrective action progress against target dates. Overdue actions escalated to MD. Status reported at quarterly KPI review (ISMS-MR-002) and management review (ISMS-MR-001).</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Monthly review of all open CARs; quarterly KPI report; annual management review.</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Effectiveness Verification — Major NC</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or independent auditor verifies that the corrective action for a Major NC has been implemented and is effective. This may occur as a targeted follow-up audit or as part of the next annual audit cycle.</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Within 90 days of corrective action completion, or before next CB surveillance audit — whichever is sooner.</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Effectiveness Verification — Minor NC</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verifies effectiveness using objective evidence. Auditor verifies at next annual audit cycle unless ISM requests earlier closure.</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Within 90 days of corrective action completion; verified at next annual audit.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CB Notification — Major NC</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Major NCs from internal audit are reported to the certification body at the next scheduled contact point. Where a Major NC may affect certification status, MD and ISM decide whether early CB notification is appropriate.</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At next CB contact; immediate notification if certification status at risk.</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Programme Review</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ISM reviews the effectiveness of the audit programme itself at the annual management review. Review covers: findings trend, corrective action closure rate, auditor performance, and whether programme scope needs adjustment.</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Annual management review (ISMS-MR-001).</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8. Audit Checklist — ISO 27001:2022 Clauses 4–10</w:t>
      </w:r>
    </w:p>
    <w:p>
      <w:pPr>
        <w:spacing w:after="80" w:before="80"/>
        <w:jc w:val="left"/>
      </w:pPr>
      <w:r>
        <w:rPr>
          <w:rFonts w:ascii="Arial" w:cs="Arial" w:eastAsia="Arial" w:hAnsi="Arial"/>
          <w:b w:val="false"/>
          <w:bCs w:val="false"/>
          <w:color w:val="000000"/>
          <w:sz w:val="20"/>
          <w:szCs w:val="20"/>
        </w:rPr>
        <w:t xml:space="preserve">The following checklist is used during fieldwork for AUD-2026-001 and all subsequent audits. The auditor records findings against each area using the classification codes: MN = Major NC, mN = Minor NC, OB = Observation, CO = Conforming, NA = Not Audited (with reason). Estimated time is guidance only — depth of fieldwork should be adjusted based on preliminary findings from the document review.</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600"/>
        <w:gridCol w:w="1600"/>
        <w:gridCol w:w="900"/>
        <w:gridCol w:w="1800"/>
        <w:gridCol w:w="1800"/>
        <w:gridCol w:w="1200"/>
        <w:gridCol w:w="400"/>
        <w:gridCol w:w="1200"/>
      </w:tblGrid>
      <w:tr>
        <w:trPr>
          <w:tblHeader/>
        </w:trPr>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 ID</w:t>
            </w:r>
          </w:p>
        </w:tc>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Clause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Area</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Risk</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Audit Questions</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to Request</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 / Est. Time</w:t>
            </w:r>
          </w:p>
        </w:tc>
        <w:tc>
          <w:tcPr>
            <w:tcW w:type="dxa" w:w="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 Ref / Notes</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CL-01</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4.1–4.2</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Context and Interested Parties</w:t>
            </w:r>
          </w:p>
        </w:tc>
        <w:tc>
          <w:tcPr>
            <w:tcW w:type="dxa" w:w="9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Medium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ISMS-CTX-001 current and reflective of current operating environment? Have external/internal issues changed since last review? Are all relevant interested parties documented with current requirements?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ISMS-CTX-001 (version and date); management review minutes confirming context reviewed; any context change log.</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ISM interview</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CL-02</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4.3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ISMS Scope</w:t>
            </w:r>
          </w:p>
        </w:tc>
        <w:tc>
          <w:tcPr>
            <w:tcW w:type="dxa" w:w="9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Medium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 scope statement available as documented information (ISMS-SCO-001)? Does it reflect actual ISMS boundaries? Have any activities, systems, or locations been added or removed without scope update?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ISMS-SCO-001; ISMS-CTX-001 §5; any change records affecting scope.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comparison against actual operations</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CL-03</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4.4</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ISMS Establishment</w:t>
            </w:r>
          </w:p>
        </w:tc>
        <w:tc>
          <w:tcPr>
            <w:tcW w:type="dxa" w:w="9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Low</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there a documented process inventory? Are all mandatory ISMS processes identified? Is there evidence of process interactions being managed?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ISMS-CTX-001 §6 process inventory; ISMS-REG-001 document register.</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CL-04</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5.1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Leadership and Commitment</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there objective evidence of MD demonstrating each of the 8 commitment requirements (5.1(a)–(h))? Has a management review been conducted? Has the MD approved policy, risk acceptance, and budget? Are resources visibly allocated?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ISMS-LDR-001 §3 commitment register; MR minutes (ISMS-MR-001); budget approval records; MD interview.</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MD interview (mandatory)</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CL-05</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5.2</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Information Security Policy</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a signed, current IS Policy available (ISMS-POL-001)? Does it meet all content requirements (a)–(d)? Has it been communicated to all staff (f)? Is it available to interested parties (g)? Are staff acknowledgements on file?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ISMS-POL-001 (signed, dated); ISMS-TRN-REC acknowledgement records; KPI-025 data; sample staff interviews.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staff interview sample (3–4 staff)</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CL-06</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5.3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Roles, Responsibilities and Authorities</w:t>
            </w:r>
          </w:p>
        </w:tc>
        <w:tc>
          <w:tcPr>
            <w:tcW w:type="dxa" w:w="9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Medium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Are ISMS roles formally defined and assigned? Are the mandatory 5.3(a) and 5.3(b) assignments documented with named individuals? Is the RACI matrix current? Do post-holders understand their responsibilities?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ISMS-LDR-001 §5 role register; RACI matrix; role profiles; interviews with ISM and HoT.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role-holder interviews</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CL-07</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6.1.1–6.1.3</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Risk Assessment and Treatment</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Has a risk assessment been performed using the documented methodology? Is the risk register current (≤12 months old or triggered review)? Has the treatment plan been approved by risk owners? Is the SoA present with inclusion/exclusion justifications? Has Annex A been cross-referenced?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ISMS-PLN-001 (version, date, risk owner signatures in §4.4); ISMS-SoA-001; RA execution log (ISMS-OPS-001 §4.2); ISM interview.</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ISM interview; risk owner confirmation</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CL-08</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6.2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Security Objectives</w:t>
            </w:r>
          </w:p>
        </w:tc>
        <w:tc>
          <w:tcPr>
            <w:tcW w:type="dxa" w:w="9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Medium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Are security objectives documented (ISMS-OBJ-001)? Are they measurable? Are they monitored and reported? Do they align with the IS Policy? Is there evidence of objectives being communicated to staff?</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ISMS-OBJ-001; ISMS-PLN-001 §5; KPI reports (ISMS-MR-002); management review minutes.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KPI data review</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CL-09</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6.3</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Change Planning</w:t>
            </w:r>
          </w:p>
        </w:tc>
        <w:tc>
          <w:tcPr>
            <w:tcW w:type="dxa" w:w="9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Medium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there a documented change management procedure? Is a change log maintained? Have any significant changes occurred that should have been recorded? Are unplanned changes reviewed for adverse effects?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ISMS-PLN-001 §6.3 / ISMS-OPS-001 §3.3; operational change log; examples of recent changes.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log review; HoT interview</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CL-10</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7.1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Resources</w:t>
            </w:r>
          </w:p>
        </w:tc>
        <w:tc>
          <w:tcPr>
            <w:tcW w:type="dxa" w:w="9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Medium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resource provision documented? Has an ISMS budget been formally approved? Are all key ISMS roles filled? Is there evidence of resources being reviewed at management review?</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ISMS-SPT-001 §2 resource register; budget approval records; MR minutes (resource agenda item).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MD/ISM interview</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CL-11</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7.2</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Competence</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a competency framework defined? Are training records retained for ALL personnel (employees and contractors)? Are professional qualifications on file? Have competence gaps been identified and acted on? Is there evidence of effectiveness evaluation for training actions?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ISMS-SPT-001 §3 skills matrix; ISMS-TRN-REC training records; certificates; gap action records. Sample 100% of staff records for mandatory training (TRN-001 to TRN-007).</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record sampling; ISM interview</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CL-12</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7.3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Awareness</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Are all staff aware of: (a) the IS Policy, (b) their contribution to ISMS effectiveness, (c) implications of non-conformance? Is the awareness programme delivering? Are KPI-013/014/015 being measured and meeting targets?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Awareness programme records (ISMS-TRN-REC); LMS completion data; phishing simulation metrics; KPI-013/014/015 from ISMS-MR-002; sample staff interviews (3–4).</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Record review; KPI data; staff interview sample</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CL-13</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7.4</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Communication</w:t>
            </w:r>
          </w:p>
        </w:tc>
        <w:tc>
          <w:tcPr>
            <w:tcW w:type="dxa" w:w="9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Low</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there a communication plan (ISMS-SPT-001 §5)? Is there evidence that planned communications have been executed? Are communication records maintained?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ISMS-SPT-001 §5 communication plan; communication log; examples of IS communications sent.</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log review</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CL-14</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7.5</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Documented Information</w:t>
            </w:r>
          </w:p>
        </w:tc>
        <w:tc>
          <w:tcPr>
            <w:tcW w:type="dxa" w:w="9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Medium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Are ISMS documents controlled per 7.5.2 (identification, format, review/approval)? Is the document register (ISMS-SPT-001 §6.4) current? Are access controls applied per classification? Is version control functioning? Are retention procedures followed?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ISMS-REG-001; ISMS-SPT-001 §6; ISMS-DIC-001 (if produced); sample document access control checks in SharePoint; random version history checks on 3–4 documents.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register review; platform access check; sample version audit</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CL-15</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8.1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Operational Planning and Control</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 operational processes have defined criteria (ISMS-OPS-001 §3.1)? Is evidence of planned execution available for each process? Is the change log maintained? Are third-party controls in place and documented?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ISMS-OPS-001 §3.1 process register; operational evidence for each process (platform logs, reports, test records); change log; third-party controls register (§3.4).</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evidence spot-check (sample 5 of 15 processes); HoT interview</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CL-16</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8.2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Risk Assessment Execution</w:t>
            </w:r>
          </w:p>
        </w:tc>
        <w:tc>
          <w:tcPr>
            <w:tcW w:type="dxa" w:w="9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Medium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Has a risk assessment been performed at planned intervals or on trigger? Is the execution log current (ISMS-OPS-001 §4.2)? Is there dated evidence of results being retained?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ISMS-OPS-001 §4.2 RA execution log; ISMS-PLN-001 version date; any triggered assessment records.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Log review; document version date verification</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CL-17</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8.3</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Risk Treatment Implementation</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 control implementation tracker current (ISMS-OPS-001 §5.1)? Is implementation evidence available for each claimed Implemented or Partially Implemented control? Are In Progress controls on track against target dates?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ISMS-OPS-001 §5.1 tracker; evidence samples for 5+ controls (Entra ID MFA report, Defender VM scan, BitLocker report, etc.); ISMS-SoA-001 status alignment check.</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Tracker review; evidence spot-check; cross-reference with SoA</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CL-18</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9.1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Monitoring and Measurement</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a KPI framework documented? Are KPIs being measured at defined frequencies? Is there evidence of results being analysed and reported? Are KPIs meeting targets or are CARs in place for breaches?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ISMS-PEV-001 §3; ISMS-MR-002 KPI reports (month-by-month); corrective actions for KPI breaches in ISMS-CAR-001.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KPI report sample (3 months minimum)</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CL-19</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9.2</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Internal Audit</w:t>
            </w:r>
          </w:p>
        </w:tc>
        <w:tc>
          <w:tcPr>
            <w:tcW w:type="dxa" w:w="9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Low</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there an internal audit programme? Were any prior audits conducted as planned? Are findings documented and corrective actions raised? Is auditor independence demonstrated? (Self-referential — auditor must be particularly objective here.)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ISMS-IAP-001 (this document); prior audit reports (if any); auditor independence declaration; ISMS-CAR-001 entries from prior audit.</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prior records check</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CL-20</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9.3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Management Review</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Has a management review been conducted (or is one scheduled and imminent)? Were all mandatory inputs addressed (MRI-001 to MRI-011 per ISMS-PEV-001 §5.2)? Are outputs documented with action owners? Were minutes published within 5 working days?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ISMS-MR-001 minutes; attendance record; action tracker; evidence that all mandatory inputs were presented.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MD/ISM interview</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CL-21</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10.1–10.2</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Corrective Action and Continual Improvement</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Are nonconformities recorded in ISMS-CAR-001 with root causes, corrective actions, and effectiveness evaluations? Is the CI register (ISMS-CI-001) active with entries from multiple sources? Is there demonstrable improvement in ISMS performance?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ISMS-CAR-001 tracker; ISMS-CI-001 register; closed CAR effectiveness evidence; KPI trend data showing improvement.</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record sampling; ISM interview</w:t>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bl>
    <w:p>
      <w:pPr>
        <w:spacing w:after="60" w:before="60"/>
      </w:pPr>
    </w:p>
    <w:p>
      <w:pPr>
        <w:spacing w:after="80" w:before="80"/>
        <w:jc w:val="left"/>
      </w:pPr>
      <w:r>
        <w:rPr>
          <w:rFonts w:ascii="Arial" w:cs="Arial" w:eastAsia="Arial" w:hAnsi="Arial"/>
          <w:b w:val="false"/>
          <w:bCs w:val="false"/>
          <w:color w:val="595959"/>
          <w:sz w:val="17"/>
          <w:szCs w:val="17"/>
        </w:rPr>
        <w:t xml:space="preserve">Auditor: Record finding codes in the 'Finding' column during fieldwork: MN = Major NC | mN = Minor NC | OB = Observation | CO = Conforming | NA = Not Audited. Reference individual finding sheets in the 'Finding Ref' column.</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9. Audit Checklist — Annex A Control Themes</w:t>
      </w:r>
    </w:p>
    <w:p>
      <w:pPr>
        <w:spacing w:after="80" w:before="80"/>
        <w:jc w:val="left"/>
      </w:pPr>
      <w:r>
        <w:rPr>
          <w:rFonts w:ascii="Arial" w:cs="Arial" w:eastAsia="Arial" w:hAnsi="Arial"/>
          <w:b w:val="false"/>
          <w:bCs w:val="false"/>
          <w:color w:val="000000"/>
          <w:sz w:val="20"/>
          <w:szCs w:val="20"/>
        </w:rPr>
        <w:t xml:space="preserve">The Annex A audit is conducted thematically. The auditor focuses on controls with SoA status of 'Not Implemented' or 'Partially Implemented' as these are the areas with greatest gap risk. Fully implemented controls require evidence sampling only. Excluded controls require verification that the exclusion justification remains valid.</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600"/>
        <w:gridCol w:w="1500"/>
        <w:gridCol w:w="900"/>
        <w:gridCol w:w="1800"/>
        <w:gridCol w:w="2000"/>
        <w:gridCol w:w="1200"/>
        <w:gridCol w:w="500"/>
      </w:tblGrid>
      <w:tr>
        <w:trPr>
          <w:tblHeader/>
        </w:trPr>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 ID</w:t>
            </w:r>
          </w:p>
        </w:tc>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Theme</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Risk</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Audit Questions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to Request</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 / Est. Time</w:t>
            </w:r>
          </w:p>
        </w:tc>
        <w:tc>
          <w:tcPr>
            <w:tcW w:type="dxa" w:w="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Overall Finding</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7030A0"/>
                <w:sz w:val="14"/>
                <w:szCs w:val="14"/>
              </w:rPr>
              <w:t xml:space="preserve">AA-T5</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5</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Annex A Theme 5 — Organisational Controls (A.5.1–A.5.37)</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Are IS policies documented and current (A.5.1)? Are roles defined (A.5.2)? Is there evidence of threat intelligence activity (A.5.7)? Are supplier relationships governed (A.5.19–A.5.22)? Are incident management procedures in place (A.5.24–A.5.28)? Is there a BCP (A.5.29–A.5.30)? Is privacy/GDPR compliance evidenced (A.5.34)?</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ISMS-POL-001; ISMS-IRP-001; ISMS-BCP-001; ISMS-SUP-001; ISMS-SoA-001 Theme 5 column; ISMS-RoPA-001. Focus on controls with SoA status 'Not Implemented' or 'Partially Implemented' — evidence of active implementation progress required.</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targeted evidence sampling for partially/not implemented controls. Priority on: A.5.7, A.5.19–A.5.22, A.5.24–A.5.28, A.5.29, A.5.34.</w:t>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030A0"/>
                <w:sz w:val="14"/>
                <w:szCs w:val="14"/>
              </w:rPr>
              <w:t xml:space="preserve">AA-T6</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6</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Annex A Theme 6 — People Controls (A.6.1–A.6.8)</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 pre-employment screening evidenced for all current staff (A.6.1)? Do contracts include IS responsibilities (A.6.2)? Is awareness training delivered (A.6.3)? Are disciplinary procedures in place (A.6.4)? Is the JML process functioning (A.6.5)? Are NDAs signed (A.6.6)? Is a remote working policy in place (A.6.7)? Is there a security event reporting channel (A.6.8)?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ISMS-HR-001; ISMS-TRN-REC; employment contracts/contractor agreements; NDA register; remote working policy; incident reporting channel evidence. Sample screening records for ALL staff (small team — 100% sample is achievable).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Record review; HR documentation sampling (100% given small team size); ISM/line manager interview.</w:t>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7030A0"/>
                <w:sz w:val="14"/>
                <w:szCs w:val="14"/>
              </w:rPr>
              <w:t xml:space="preserve">AA-T7</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7</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Annex A Theme 7 — Physical Controls (A.7.5, A.7.7–A.7.11, A.7.13–A.7.14)</w:t>
            </w:r>
          </w:p>
        </w:tc>
        <w:tc>
          <w:tcPr>
            <w:tcW w:type="dxa" w:w="9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Medium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Note: A.7.1–A.7.4, A.7.6, A.7.12 are excluded — verify exclusion justification in ISMS-SoA-001 remains valid (no premises acquired). For included controls: Is full-disk encryption enforced on all endpoints (A.7.5 mitigating physical threat; A.7.9/A.7.10)? Is clear screen/desk policy evidenced (A.7.7)? Are equipment disposal records available (A.7.14)?</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ISMS-SoA-001 §4 (exclusion justifications); BitLocker/FileVault compliance report (Intune); clear screen policy; equipment disposal records and data destruction certificates; remote working guidelines.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Document review; Intune compliance report review; disposal record sample.</w:t>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030A0"/>
                <w:sz w:val="14"/>
                <w:szCs w:val="14"/>
              </w:rPr>
              <w:t xml:space="preserve">AA-T8</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8</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Annex A Theme 8 — Technological Controls (A.8.1–A.8.34)</w:t>
            </w:r>
          </w:p>
        </w:tc>
        <w:tc>
          <w:tcPr>
            <w:tcW w:type="dxa" w:w="9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Are user endpoints managed via MDM with Defender deployed (A.8.1, A.8.7)? Is MFA enforced (A.8.5)? Is PAM in place with session recording (A.8.2)? Is vulnerability management operational with SLA evidence (A.8.8)? Is a SIEM operational with daily alert review (A.8.15, A.8.16)? Are backups tested (A.8.13)? Is CSPM active with Secure Score monitored (A.8.9)? Is change management controlling cloud configuration (A.8.32)?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Intune enrolment/compliance report; Defender for Endpoint coverage report; Entra ID MFA coverage report; Defender VM scan report and SLA metrics; Sentinel alert queue and triage records; backup success logs and restoration test report; Microsoft Secure Score monthly reports; operational change log. Focus on controls with SoA status 'Not Implemented' or 'Partially Implemented'.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Platform report review (Intune, Defender, Sentinel, Entra ID — request exports before fieldwork); HoT interview; targeted evidence sampling.</w:t>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
            </w:r>
          </w:p>
        </w:tc>
      </w:tr>
    </w:tbl>
    <w:p>
      <w:pPr>
        <w:spacing w:after="60" w:before="60"/>
      </w:pPr>
    </w:p>
    <w:p>
      <w:pPr>
        <w:spacing w:after="80" w:before="80"/>
        <w:jc w:val="left"/>
      </w:pPr>
      <w:r>
        <w:rPr>
          <w:rFonts w:ascii="Arial" w:cs="Arial" w:eastAsia="Arial" w:hAnsi="Arial"/>
          <w:b w:val="false"/>
          <w:bCs w:val="false"/>
          <w:color w:val="595959"/>
          <w:sz w:val="17"/>
          <w:szCs w:val="17"/>
        </w:rPr>
        <w:t xml:space="preserve">Total estimated fieldwork time: ~26 hours across Clauses 4–10 (~21h) and Annex A themes (~14h) = ~35 hours. This is distributed across the 2-day fieldwork window plus document review week.</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10. Audit Findings Log</w:t>
      </w:r>
    </w:p>
    <w:p>
      <w:pPr>
        <w:spacing w:after="80" w:before="80"/>
        <w:jc w:val="left"/>
      </w:pPr>
      <w:r>
        <w:rPr>
          <w:rFonts w:ascii="Arial" w:cs="Arial" w:eastAsia="Arial" w:hAnsi="Arial"/>
          <w:b w:val="false"/>
          <w:bCs w:val="false"/>
          <w:color w:val="000000"/>
          <w:sz w:val="20"/>
          <w:szCs w:val="20"/>
        </w:rPr>
        <w:t xml:space="preserve">The findings log is the master record of all audit findings across all audit cycles. It is a living record updated at the close of each audit. Individual finding sheets are stored in the document management system referenced by finding ID. This log provides the documented information retained as evidence of internal audit results per Clause 9.2.</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680"/>
        <w:gridCol w:w="900"/>
        <w:gridCol w:w="1100"/>
        <w:gridCol w:w="800"/>
        <w:gridCol w:w="2180"/>
        <w:gridCol w:w="1000"/>
        <w:gridCol w:w="760"/>
        <w:gridCol w:w="540"/>
        <w:gridCol w:w="4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Audit ID</w:t>
            </w:r>
          </w:p>
        </w:tc>
        <w:tc>
          <w:tcPr>
            <w:tcW w:type="dxa" w:w="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 ID</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1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Clause / Control</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21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 Summary</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Ref</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CAR / CI Ref</w:t>
            </w:r>
          </w:p>
        </w:tc>
        <w:tc>
          <w:tcPr>
            <w:tcW w:type="dxa" w:w="5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AUD-2026-001</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FL-001</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Pre-audit</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8.1 / 7.5</w:t>
            </w:r>
          </w:p>
        </w:tc>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Observation</w:t>
            </w:r>
          </w:p>
        </w:tc>
        <w:tc>
          <w:tcPr>
            <w:tcW w:type="dxa" w:w="21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Multiple mandatory ISMS documents referenced throughout the document framework are not yet produced (see ISMS-REG-001). While this is expected at initial certification stage, the auditor will verify that a production plan exists with target dates and that Critical documents are complete or near-complete by Stage 2.</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ISMS-REG-001; ISMS-CAR-001 CAR-002</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2"/>
                <w:szCs w:val="12"/>
              </w:rPr>
              <w:t xml:space="preserve">ISM</w:t>
            </w:r>
          </w:p>
        </w:tc>
        <w:tc>
          <w:tcPr>
            <w:tcW w:type="dxa" w:w="5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31 Oct 2026</w:t>
            </w:r>
          </w:p>
        </w:tc>
        <w:tc>
          <w:tcPr>
            <w:tcW w:type="dxa" w:w="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Open</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AUD-2026-001</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FL-002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Pre-audit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10.2</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Minor NC</w:t>
            </w:r>
          </w:p>
        </w:tc>
        <w:tc>
          <w:tcPr>
            <w:tcW w:type="dxa" w:w="2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PAM tool not yet deployed (ISK-001 treatment). MD formal acceptance of High residual risk (ISMS-PLN-001 §4.4) not yet signed. This constitutes a minor nonconformity against the risk treatment implementation requirement (Clause 8.3).</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ISMS-PLN-001 §4.4; ISMS-OPS-001 §5.1 ISK-001 rows; ISMS-CAR-001 CAR-003</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2"/>
                <w:szCs w:val="12"/>
              </w:rPr>
              <w:t xml:space="preserve">ISM / MD</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02 Jun 2026</w:t>
            </w:r>
          </w:p>
        </w:tc>
        <w:tc>
          <w:tcPr>
            <w:tcW w:type="dxa" w:w="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Open</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AUD-2026-001</w:t>
            </w:r>
          </w:p>
        </w:tc>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FL-003</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Pre-audit</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5.2</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Minor NC</w:t>
            </w:r>
          </w:p>
        </w:tc>
        <w:tc>
          <w:tcPr>
            <w:tcW w:type="dxa" w:w="21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ISMS-POL-001 (standalone IS Policy) and ISMS-SCO-001 (standalone scope statement) do not exist as discrete controlled documents. Policy is embedded in ISMS-LDR-001 but has not been extracted and signed as a standalone exhibit.</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ISMS-LDR-001 §4.1; ISMS-CTX-001 §5; ISMS-CAR-001 CAR-002</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2"/>
                <w:szCs w:val="12"/>
              </w:rPr>
              <w:t xml:space="preserve">ISM</w:t>
            </w:r>
          </w:p>
        </w:tc>
        <w:tc>
          <w:tcPr>
            <w:tcW w:type="dxa" w:w="5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16 Apr 2026</w:t>
            </w:r>
          </w:p>
        </w:tc>
        <w:tc>
          <w:tcPr>
            <w:tcW w:type="dxa" w:w="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Open</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AUD-2026-001</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FL-004</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Pre-audit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A.5.24–A.5.28</w:t>
            </w:r>
          </w:p>
        </w:tc>
        <w:tc>
          <w:tcPr>
            <w:tcW w:type="dxa" w:w="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Major NC</w:t>
            </w:r>
          </w:p>
        </w:tc>
        <w:tc>
          <w:tcPr>
            <w:tcW w:type="dxa" w:w="2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No documented Incident Response Plan exists (ISMS-IRP-001). Eight Annex A controls in the SoA cite this document as evidence. Without it, the organisation has no formally tested IR capability — a critical gap given the high residual risk of ISK-001 (ransomware) and ISK-011 (incident response adequacy).</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ISMS-SoA-001 (A.5.24–A.5.28 evidence column); ISMS-CAR-001 CAR-004; ISMS-OPS-001 OPS-005</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2"/>
                <w:szCs w:val="12"/>
              </w:rPr>
              <w:t xml:space="preserve">ISM</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31 May 2026</w:t>
            </w:r>
          </w:p>
        </w:tc>
        <w:tc>
          <w:tcPr>
            <w:tcW w:type="dxa" w:w="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Open</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AAAAAA"/>
                <w:sz w:val="12"/>
                <w:szCs w:val="12"/>
              </w:rPr>
              <w:t xml:space="preserve">[AUD-YYYY-NNN]</w:t>
            </w:r>
          </w:p>
        </w:tc>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AAAAAA"/>
                <w:sz w:val="12"/>
                <w:szCs w:val="12"/>
              </w:rPr>
              <w:t xml:space="preserve">[Fieldwork date]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AAAAAA"/>
                <w:sz w:val="12"/>
                <w:szCs w:val="12"/>
              </w:rPr>
              <w:t xml:space="preserve">[Future findings added here after AUD-2026-001 fieldwork]</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p>
    <w:p>
      <w:pPr>
        <w:spacing w:after="80" w:before="80"/>
        <w:jc w:val="left"/>
      </w:pPr>
      <w:r>
        <w:rPr>
          <w:rFonts w:ascii="Arial" w:cs="Arial" w:eastAsia="Arial" w:hAnsi="Arial"/>
          <w:b w:val="false"/>
          <w:bCs w:val="false"/>
          <w:color w:val="595959"/>
          <w:sz w:val="17"/>
          <w:szCs w:val="17"/>
        </w:rPr>
        <w:t xml:space="preserve">Pre-audit findings (FL-001 to FL-004) reflect known gaps identified during the ISMS establishment phase and are seeded for tracking purposes. They will be formally validated or revised during AUD-2026-001 fieldwork.</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11. Linkage to Other ISMS Documents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 to Audit Programme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ISMS-PEV-001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 Evaluation (Clause 9)</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Parent policy document for Clause 9.2. Clause and Annex A coverage matrices are aligned between both documents. KPI-024 (audit programme completion) measured in ISMS-PEV-001.</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ISMS-CAR-001 / CI-001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Corrective Action &amp; Improvement</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audit NCs generate CARs in ISMS-CAR-001. Observations generate CI entries in ISMS-CI-001. CAR effectiveness is verified at follow-up or next audit.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ISMS-MR-001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 results (MRI-008) are a mandatory management review input. MD receives the audit report directly.</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ISMS-SoA-001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Statement of Applicability</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SoA defines which Annex A controls are in scope. The audit checklist (Section 9) is aligned to SoA inclusions. Exclusion justifications are verified during audit.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ISMS-PLN-001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Planning (Clause 6)</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assessment and treatment plan are primary audit evidence targets (CL-07, CL-17). Risk-based prioritisation of audit areas uses ISMS-PLN-001 risk register.</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ISMS-OPS-001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 (Clause 8)</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Operational process register and control implementation tracker are primary evidence sources for CL-15, CL-16, CL-17.</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ISMS-TRN-REC</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Training and Competence Records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Auditor independence declaration stored here. Training records for all staff are audited under CL-11 and CL-12. Auditor qualification certificate stored here.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ISMS-REG-001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Document Register</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Used during document review to identify missing mandatory documents — gaps feed into pre-audit findings and CARs.</w:t>
            </w:r>
          </w:p>
        </w:tc>
      </w:tr>
    </w:tbl>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12. 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Reference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 Standard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27001:2022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Clause 9.2 — Internal audit. All clauses and Annex A controls audited under this programme.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19011:2018</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Guidelines for auditing management systems — principles, audit programme management, conducting audits, and competence of auditors. Normative reference for this programme.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27002:2022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controls — guidance used to interpret Annex A control intent during audit.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ISMS-PEV-001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Evaluation (Clause 9) — parent document defining audit programme governance and clause coverage matrix.</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ISMS-CAR-001 / CI-001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Corrective Action and Continual Improvement — receives all nonconformities and observations from audit.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ISMS-SoA-001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Statement of Applicability — defines Annex A audit scope.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ISMS-MR-001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Management Review — receives audit results as mandatory input (MRI-008).</w:t>
            </w:r>
          </w:p>
        </w:tc>
      </w:tr>
    </w:tbl>
    <w:p>
      <w:pPr>
        <w:spacing w:after="0" w:before="240"/>
      </w:pPr>
    </w:p>
    <w:p>
      <w:pPr>
        <w:spacing w:after="0" w:before="240"/>
      </w:pPr>
      <w:r>
        <w:rPr>
          <w:rFonts w:ascii="Arial" w:cs="Arial" w:eastAsia="Arial" w:hAnsi="Arial"/>
          <w:color w:val="AAAAAA"/>
          <w:sz w:val="16"/>
          <w:szCs w:val="16"/>
        </w:rPr>
        <w:t xml:space="preserve">END OF DOCUMENT — ISMS-IAP-001 v1.0</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20"/>
    </w:pPr>
    <w:r>
      <w:rPr>
        <w:rFonts w:ascii="Arial" w:cs="Arial" w:eastAsia="Arial" w:hAnsi="Arial"/>
        <w:b/>
        <w:bCs/>
        <w:color w:val="2E75B6"/>
        <w:sz w:val="16"/>
        <w:szCs w:val="16"/>
      </w:rPr>
      <w:t xml:space="preserve">INTERNAL</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r>
      <w:rPr>
        <w:rFonts w:ascii="Arial" w:cs="Arial" w:eastAsia="Arial" w:hAnsi="Arial"/>
        <w:color w:val="888888"/>
        <w:sz w:val="16"/>
        <w:szCs w:val="16"/>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b/>
        <w:bCs/>
        <w:color w:val="1F3864"/>
        <w:sz w:val="18"/>
        <w:szCs w:val="18"/>
      </w:rPr>
      <w:t xml:space="preserve">Apex Managed Services Ltd — Internal Audit Programme</w:t>
    </w:r>
    <w:r>
      <w:rPr>
        <w:rFonts w:ascii="Arial" w:cs="Arial" w:eastAsia="Arial" w:hAnsi="Arial"/>
        <w:color w:val="888888"/>
        <w:sz w:val="16"/>
        <w:szCs w:val="16"/>
      </w:rPr>
      <w:t xml:space="preserve">	ISMS-IAP-001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2026-04-03T07:26:28.493Z</dcterms:created>
  <dcterms:modified xsi:type="dcterms:W3CDTF">2026-04-03T07:26:28.495Z</dcterms:modified>
</cp:coreProperties>
</file>

<file path=docProps/custom.xml><?xml version="1.0" encoding="utf-8"?>
<Properties xmlns="http://schemas.openxmlformats.org/officeDocument/2006/custom-properties" xmlns:vt="http://schemas.openxmlformats.org/officeDocument/2006/docPropsVTypes"/>
</file>