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C00000"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C00000"/>
          <w:sz w:val="42"/>
          <w:szCs w:val="42"/>
        </w:rPr>
        <w:t xml:space="preserve">Incident Response Plan</w:t>
      </w:r>
    </w:p>
    <w:p>
      <w:pPr>
        <w:spacing w:after="480" w:before="0"/>
        <w:jc w:val="center"/>
      </w:pPr>
      <w:r>
        <w:rPr>
          <w:rFonts w:ascii="Arial" w:cs="Arial" w:eastAsia="Arial" w:hAnsi="Arial"/>
          <w:b/>
          <w:bCs/>
          <w:color w:val="C00000"/>
          <w:sz w:val="34"/>
          <w:szCs w:val="34"/>
        </w:rPr>
        <w:t xml:space="preserve">and Playbooks</w:t>
      </w:r>
    </w:p>
    <w:p>
      <w:pPr>
        <w:spacing w:after="120" w:before="0"/>
        <w:jc w:val="center"/>
      </w:pPr>
      <w:r>
        <w:rPr>
          <w:rFonts w:ascii="Arial" w:cs="Arial" w:eastAsia="Arial" w:hAnsi="Arial"/>
          <w:color w:val="404040"/>
          <w:sz w:val="22"/>
          <w:szCs w:val="22"/>
        </w:rPr>
        <w:t xml:space="preserve">A.5.24  A.5.25  A.5.26  A.5.27  A.5.28</w:t>
      </w:r>
    </w:p>
    <w:p>
      <w:pPr>
        <w:spacing w:after="60" w:before="0"/>
        <w:jc w:val="center"/>
      </w:pPr>
      <w:r>
        <w:rPr>
          <w:rFonts w:ascii="Arial" w:cs="Arial" w:eastAsia="Arial" w:hAnsi="Arial"/>
          <w:color w:val="888888"/>
          <w:sz w:val="20"/>
          <w:szCs w:val="20"/>
        </w:rPr>
        <w:t xml:space="preserve">ISMS-IRP-001  |  Version 1.0  |  02 April 2026</w:t>
      </w:r>
    </w:p>
    <w:p>
      <w:pPr>
        <w:spacing w:after="600" w:before="0"/>
        <w:jc w:val="center"/>
      </w:pPr>
      <w:r>
        <w:rPr>
          <w:rFonts w:ascii="Arial" w:cs="Arial" w:eastAsia="Arial" w:hAnsi="Arial"/>
          <w:b/>
          <w:bCs/>
          <w:color w:val="C00000"/>
          <w:sz w:val="24"/>
          <w:szCs w:val="24"/>
        </w:rPr>
        <w:t xml:space="preserve">CLASSIFICATION: CONFIDENTIAL</w:t>
      </w:r>
    </w:p>
    <w:p>
      <w:pPr>
        <w:spacing w:after="0" w:before="0"/>
        <w:jc w:val="center"/>
      </w:pPr>
      <w:r>
        <w:rPr>
          <w:rFonts w:ascii="Arial" w:cs="Arial" w:eastAsia="Arial" w:hAnsi="Arial"/>
          <w:color w:val="595959"/>
          <w:sz w:val="17"/>
          <w:szCs w:val="17"/>
        </w:rPr>
        <w:t xml:space="preserve">This document contains sensitive incident response procedures and contact information. Distribute only to authorised incident response personnel.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ISMS-IRP-001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Incident Response Plan and Playbooks</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CONFIDENTIAL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post-incident</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A.5.24, A.5.25, A.5.26, A.5.27, A.5.28</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 (ISM)</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 (HoT)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 (MD)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Covers IR roles, P1–P5 classification, response SLAs, 6-phase response lifecycle, communication procedures (internal, client, ICO 72-hour), evidence handling, 5 playbooks (Ransomware, BEC, Data Breach, Account Takeover, Cloud Misconfiguration), PIR template, incident log, and contact directory.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 and Scope</w:t>
      </w:r>
    </w:p>
    <w:p>
      <w:pPr>
        <w:spacing w:after="80" w:before="80"/>
        <w:jc w:val="left"/>
      </w:pPr>
      <w:r>
        <w:rPr>
          <w:rFonts w:ascii="Arial" w:cs="Arial" w:eastAsia="Arial" w:hAnsi="Arial"/>
          <w:b w:val="false"/>
          <w:bCs w:val="false"/>
          <w:color w:val="000000"/>
          <w:sz w:val="20"/>
          <w:szCs w:val="20"/>
        </w:rPr>
        <w:t xml:space="preserve">2.  IR Team Roles and Responsibilities</w:t>
      </w:r>
    </w:p>
    <w:p>
      <w:pPr>
        <w:spacing w:after="80" w:before="80"/>
        <w:jc w:val="left"/>
      </w:pPr>
      <w:r>
        <w:rPr>
          <w:rFonts w:ascii="Arial" w:cs="Arial" w:eastAsia="Arial" w:hAnsi="Arial"/>
          <w:b w:val="false"/>
          <w:bCs w:val="false"/>
          <w:color w:val="000000"/>
          <w:sz w:val="20"/>
          <w:szCs w:val="20"/>
        </w:rPr>
        <w:t xml:space="preserve">3.  Incident Classification — P1 to P5</w:t>
      </w:r>
    </w:p>
    <w:p>
      <w:pPr>
        <w:spacing w:after="80" w:before="80"/>
        <w:jc w:val="left"/>
      </w:pPr>
      <w:r>
        <w:rPr>
          <w:rFonts w:ascii="Arial" w:cs="Arial" w:eastAsia="Arial" w:hAnsi="Arial"/>
          <w:b w:val="false"/>
          <w:bCs w:val="false"/>
          <w:color w:val="000000"/>
          <w:sz w:val="20"/>
          <w:szCs w:val="20"/>
        </w:rPr>
        <w:t xml:space="preserve">4.  Response SLAs and Escalation</w:t>
      </w:r>
    </w:p>
    <w:p>
      <w:pPr>
        <w:spacing w:after="80" w:before="80"/>
        <w:jc w:val="left"/>
      </w:pPr>
      <w:r>
        <w:rPr>
          <w:rFonts w:ascii="Arial" w:cs="Arial" w:eastAsia="Arial" w:hAnsi="Arial"/>
          <w:b w:val="false"/>
          <w:bCs w:val="false"/>
          <w:color w:val="000000"/>
          <w:sz w:val="20"/>
          <w:szCs w:val="20"/>
        </w:rPr>
        <w:t xml:space="preserve">5.  Incident Response Lifecycle</w:t>
      </w:r>
    </w:p>
    <w:p>
      <w:pPr>
        <w:spacing w:after="80" w:before="80"/>
        <w:jc w:val="left"/>
      </w:pPr>
      <w:r>
        <w:rPr>
          <w:rFonts w:ascii="Arial" w:cs="Arial" w:eastAsia="Arial" w:hAnsi="Arial"/>
          <w:b w:val="false"/>
          <w:bCs w:val="false"/>
          <w:color w:val="000000"/>
          <w:sz w:val="20"/>
          <w:szCs w:val="20"/>
        </w:rPr>
        <w:t xml:space="preserve">    5.1  Phase 1 — Identification and Reporting</w:t>
      </w:r>
    </w:p>
    <w:p>
      <w:pPr>
        <w:spacing w:after="80" w:before="80"/>
        <w:jc w:val="left"/>
      </w:pPr>
      <w:r>
        <w:rPr>
          <w:rFonts w:ascii="Arial" w:cs="Arial" w:eastAsia="Arial" w:hAnsi="Arial"/>
          <w:b w:val="false"/>
          <w:bCs w:val="false"/>
          <w:color w:val="000000"/>
          <w:sz w:val="20"/>
          <w:szCs w:val="20"/>
        </w:rPr>
        <w:t xml:space="preserve">    5.2  Phase 2 — Triage and Classification</w:t>
      </w:r>
    </w:p>
    <w:p>
      <w:pPr>
        <w:spacing w:after="80" w:before="80"/>
        <w:jc w:val="left"/>
      </w:pPr>
      <w:r>
        <w:rPr>
          <w:rFonts w:ascii="Arial" w:cs="Arial" w:eastAsia="Arial" w:hAnsi="Arial"/>
          <w:b w:val="false"/>
          <w:bCs w:val="false"/>
          <w:color w:val="000000"/>
          <w:sz w:val="20"/>
          <w:szCs w:val="20"/>
        </w:rPr>
        <w:t xml:space="preserve">    5.3  Phase 3 — Containment</w:t>
      </w:r>
    </w:p>
    <w:p>
      <w:pPr>
        <w:spacing w:after="80" w:before="80"/>
        <w:jc w:val="left"/>
      </w:pPr>
      <w:r>
        <w:rPr>
          <w:rFonts w:ascii="Arial" w:cs="Arial" w:eastAsia="Arial" w:hAnsi="Arial"/>
          <w:b w:val="false"/>
          <w:bCs w:val="false"/>
          <w:color w:val="000000"/>
          <w:sz w:val="20"/>
          <w:szCs w:val="20"/>
        </w:rPr>
        <w:t xml:space="preserve">    5.4  Phase 4 — Eradication and Recovery</w:t>
      </w:r>
    </w:p>
    <w:p>
      <w:pPr>
        <w:spacing w:after="80" w:before="80"/>
        <w:jc w:val="left"/>
      </w:pPr>
      <w:r>
        <w:rPr>
          <w:rFonts w:ascii="Arial" w:cs="Arial" w:eastAsia="Arial" w:hAnsi="Arial"/>
          <w:b w:val="false"/>
          <w:bCs w:val="false"/>
          <w:color w:val="000000"/>
          <w:sz w:val="20"/>
          <w:szCs w:val="20"/>
        </w:rPr>
        <w:t xml:space="preserve">    5.5  Phase 5 — Communication</w:t>
      </w:r>
    </w:p>
    <w:p>
      <w:pPr>
        <w:spacing w:after="80" w:before="80"/>
        <w:jc w:val="left"/>
      </w:pPr>
      <w:r>
        <w:rPr>
          <w:rFonts w:ascii="Arial" w:cs="Arial" w:eastAsia="Arial" w:hAnsi="Arial"/>
          <w:b w:val="false"/>
          <w:bCs w:val="false"/>
          <w:color w:val="000000"/>
          <w:sz w:val="20"/>
          <w:szCs w:val="20"/>
        </w:rPr>
        <w:t xml:space="preserve">    5.6  Phase 6 — Post-Incident Review</w:t>
      </w:r>
    </w:p>
    <w:p>
      <w:pPr>
        <w:spacing w:after="80" w:before="80"/>
        <w:jc w:val="left"/>
      </w:pPr>
      <w:r>
        <w:rPr>
          <w:rFonts w:ascii="Arial" w:cs="Arial" w:eastAsia="Arial" w:hAnsi="Arial"/>
          <w:b w:val="false"/>
          <w:bCs w:val="false"/>
          <w:color w:val="000000"/>
          <w:sz w:val="20"/>
          <w:szCs w:val="20"/>
        </w:rPr>
        <w:t xml:space="preserve">6.  Communication Procedures</w:t>
      </w:r>
    </w:p>
    <w:p>
      <w:pPr>
        <w:spacing w:after="80" w:before="80"/>
        <w:jc w:val="left"/>
      </w:pPr>
      <w:r>
        <w:rPr>
          <w:rFonts w:ascii="Arial" w:cs="Arial" w:eastAsia="Arial" w:hAnsi="Arial"/>
          <w:b w:val="false"/>
          <w:bCs w:val="false"/>
          <w:color w:val="000000"/>
          <w:sz w:val="20"/>
          <w:szCs w:val="20"/>
        </w:rPr>
        <w:t xml:space="preserve">    6.1  Internal Communication</w:t>
      </w:r>
    </w:p>
    <w:p>
      <w:pPr>
        <w:spacing w:after="80" w:before="80"/>
        <w:jc w:val="left"/>
      </w:pPr>
      <w:r>
        <w:rPr>
          <w:rFonts w:ascii="Arial" w:cs="Arial" w:eastAsia="Arial" w:hAnsi="Arial"/>
          <w:b w:val="false"/>
          <w:bCs w:val="false"/>
          <w:color w:val="000000"/>
          <w:sz w:val="20"/>
          <w:szCs w:val="20"/>
        </w:rPr>
        <w:t xml:space="preserve">    6.2  Client Notification</w:t>
      </w:r>
    </w:p>
    <w:p>
      <w:pPr>
        <w:spacing w:after="80" w:before="80"/>
        <w:jc w:val="left"/>
      </w:pPr>
      <w:r>
        <w:rPr>
          <w:rFonts w:ascii="Arial" w:cs="Arial" w:eastAsia="Arial" w:hAnsi="Arial"/>
          <w:b w:val="false"/>
          <w:bCs w:val="false"/>
          <w:color w:val="000000"/>
          <w:sz w:val="20"/>
          <w:szCs w:val="20"/>
        </w:rPr>
        <w:t xml:space="preserve">    6.3  UK GDPR Personal Data Breach — ICO 72-Hour Notification</w:t>
      </w:r>
    </w:p>
    <w:p>
      <w:pPr>
        <w:spacing w:after="80" w:before="80"/>
        <w:jc w:val="left"/>
      </w:pPr>
      <w:r>
        <w:rPr>
          <w:rFonts w:ascii="Arial" w:cs="Arial" w:eastAsia="Arial" w:hAnsi="Arial"/>
          <w:b w:val="false"/>
          <w:bCs w:val="false"/>
          <w:color w:val="000000"/>
          <w:sz w:val="20"/>
          <w:szCs w:val="20"/>
        </w:rPr>
        <w:t xml:space="preserve">    6.4  Out-of-Hours Escalation</w:t>
      </w:r>
    </w:p>
    <w:p>
      <w:pPr>
        <w:spacing w:after="80" w:before="80"/>
        <w:jc w:val="left"/>
      </w:pPr>
      <w:r>
        <w:rPr>
          <w:rFonts w:ascii="Arial" w:cs="Arial" w:eastAsia="Arial" w:hAnsi="Arial"/>
          <w:b w:val="false"/>
          <w:bCs w:val="false"/>
          <w:color w:val="000000"/>
          <w:sz w:val="20"/>
          <w:szCs w:val="20"/>
        </w:rPr>
        <w:t xml:space="preserve">7.  Evidence Handling and Preservation</w:t>
      </w:r>
    </w:p>
    <w:p>
      <w:pPr>
        <w:spacing w:after="80" w:before="80"/>
        <w:jc w:val="left"/>
      </w:pPr>
      <w:r>
        <w:rPr>
          <w:rFonts w:ascii="Arial" w:cs="Arial" w:eastAsia="Arial" w:hAnsi="Arial"/>
          <w:b w:val="false"/>
          <w:bCs w:val="false"/>
          <w:color w:val="000000"/>
          <w:sz w:val="20"/>
          <w:szCs w:val="20"/>
        </w:rPr>
        <w:t xml:space="preserve">8.  PLAYBOOK 1 — Ransomware / Destructive Malware</w:t>
      </w:r>
    </w:p>
    <w:p>
      <w:pPr>
        <w:spacing w:after="80" w:before="80"/>
        <w:jc w:val="left"/>
      </w:pPr>
      <w:r>
        <w:rPr>
          <w:rFonts w:ascii="Arial" w:cs="Arial" w:eastAsia="Arial" w:hAnsi="Arial"/>
          <w:b w:val="false"/>
          <w:bCs w:val="false"/>
          <w:color w:val="000000"/>
          <w:sz w:val="20"/>
          <w:szCs w:val="20"/>
        </w:rPr>
        <w:t xml:space="preserve">9.  PLAYBOOK 2 — Business Email Compromise (BEC)</w:t>
      </w:r>
    </w:p>
    <w:p>
      <w:pPr>
        <w:spacing w:after="80" w:before="80"/>
        <w:jc w:val="left"/>
      </w:pPr>
      <w:r>
        <w:rPr>
          <w:rFonts w:ascii="Arial" w:cs="Arial" w:eastAsia="Arial" w:hAnsi="Arial"/>
          <w:b w:val="false"/>
          <w:bCs w:val="false"/>
          <w:color w:val="000000"/>
          <w:sz w:val="20"/>
          <w:szCs w:val="20"/>
        </w:rPr>
        <w:t xml:space="preserve">10. PLAYBOOK 3 — Personal Data Breach</w:t>
      </w:r>
    </w:p>
    <w:p>
      <w:pPr>
        <w:spacing w:after="80" w:before="80"/>
        <w:jc w:val="left"/>
      </w:pPr>
      <w:r>
        <w:rPr>
          <w:rFonts w:ascii="Arial" w:cs="Arial" w:eastAsia="Arial" w:hAnsi="Arial"/>
          <w:b w:val="false"/>
          <w:bCs w:val="false"/>
          <w:color w:val="000000"/>
          <w:sz w:val="20"/>
          <w:szCs w:val="20"/>
        </w:rPr>
        <w:t xml:space="preserve">11. PLAYBOOK 4 — Account Takeover / Credential Compromise</w:t>
      </w:r>
    </w:p>
    <w:p>
      <w:pPr>
        <w:spacing w:after="80" w:before="80"/>
        <w:jc w:val="left"/>
      </w:pPr>
      <w:r>
        <w:rPr>
          <w:rFonts w:ascii="Arial" w:cs="Arial" w:eastAsia="Arial" w:hAnsi="Arial"/>
          <w:b w:val="false"/>
          <w:bCs w:val="false"/>
          <w:color w:val="000000"/>
          <w:sz w:val="20"/>
          <w:szCs w:val="20"/>
        </w:rPr>
        <w:t xml:space="preserve">12. PLAYBOOK 5 — Cloud Misconfiguration / Exposure</w:t>
      </w:r>
    </w:p>
    <w:p>
      <w:pPr>
        <w:spacing w:after="80" w:before="80"/>
        <w:jc w:val="left"/>
      </w:pPr>
      <w:r>
        <w:rPr>
          <w:rFonts w:ascii="Arial" w:cs="Arial" w:eastAsia="Arial" w:hAnsi="Arial"/>
          <w:b w:val="false"/>
          <w:bCs w:val="false"/>
          <w:color w:val="000000"/>
          <w:sz w:val="20"/>
          <w:szCs w:val="20"/>
        </w:rPr>
        <w:t xml:space="preserve">13. Post-Incident Review (PIR) Template</w:t>
      </w:r>
    </w:p>
    <w:p>
      <w:pPr>
        <w:spacing w:after="80" w:before="80"/>
        <w:jc w:val="left"/>
      </w:pPr>
      <w:r>
        <w:rPr>
          <w:rFonts w:ascii="Arial" w:cs="Arial" w:eastAsia="Arial" w:hAnsi="Arial"/>
          <w:b w:val="false"/>
          <w:bCs w:val="false"/>
          <w:color w:val="000000"/>
          <w:sz w:val="20"/>
          <w:szCs w:val="20"/>
        </w:rPr>
        <w:t xml:space="preserve">14. Incident Log</w:t>
      </w:r>
    </w:p>
    <w:p>
      <w:pPr>
        <w:spacing w:after="80" w:before="80"/>
        <w:jc w:val="left"/>
      </w:pPr>
      <w:r>
        <w:rPr>
          <w:rFonts w:ascii="Arial" w:cs="Arial" w:eastAsia="Arial" w:hAnsi="Arial"/>
          <w:b w:val="false"/>
          <w:bCs w:val="false"/>
          <w:color w:val="000000"/>
          <w:sz w:val="20"/>
          <w:szCs w:val="20"/>
        </w:rPr>
        <w:t xml:space="preserve">15. Contact Directory</w:t>
      </w:r>
    </w:p>
    <w:p>
      <w:pPr>
        <w:spacing w:after="80" w:before="80"/>
        <w:jc w:val="left"/>
      </w:pPr>
      <w:r>
        <w:rPr>
          <w:rFonts w:ascii="Arial" w:cs="Arial" w:eastAsia="Arial" w:hAnsi="Arial"/>
          <w:b w:val="false"/>
          <w:bCs w:val="false"/>
          <w:color w:val="000000"/>
          <w:sz w:val="20"/>
          <w:szCs w:val="20"/>
        </w:rPr>
        <w:t xml:space="preserve">16. Linkage and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 and Scope</w:t>
      </w:r>
    </w:p>
    <w:p>
      <w:pPr>
        <w:spacing w:after="80" w:before="80"/>
        <w:jc w:val="left"/>
      </w:pPr>
      <w:r>
        <w:rPr>
          <w:rFonts w:ascii="Arial" w:cs="Arial" w:eastAsia="Arial" w:hAnsi="Arial"/>
          <w:b w:val="false"/>
          <w:bCs w:val="false"/>
          <w:color w:val="000000"/>
          <w:sz w:val="20"/>
          <w:szCs w:val="20"/>
        </w:rPr>
        <w:t xml:space="preserve">This document is the Information Security Incident Response Plan (IRP) for Apex Managed Services Ltd. It provides the governance, procedures, and playbooks required to detect, respond to, and recover from information security incidents affecting the organisation or its clients.</w:t>
      </w:r>
    </w:p>
    <w:p>
      <w:pPr>
        <w:spacing w:after="60" w:before="60"/>
      </w:pPr>
    </w:p>
    <w:p>
      <w:pPr>
        <w:spacing w:after="80" w:before="80"/>
        <w:jc w:val="left"/>
      </w:pPr>
      <w:r>
        <w:rPr>
          <w:rFonts w:ascii="Arial" w:cs="Arial" w:eastAsia="Arial" w:hAnsi="Arial"/>
          <w:b w:val="false"/>
          <w:bCs w:val="false"/>
          <w:color w:val="000000"/>
          <w:sz w:val="20"/>
          <w:szCs w:val="20"/>
        </w:rPr>
        <w:t xml:space="preserve">This plan is classified CONFIDENTIAL. It contains response procedures, escalation contacts, and tactical guidance that would provide advantage to a threat actor if disclosed. Access is restricted to authorised incident response personnel: Managing Director, Information Security Manager, Head of Technology, and any engaged external incident response resource.</w:t>
      </w:r>
    </w:p>
    <w:p>
      <w:pPr>
        <w:spacing w:after="60" w:before="60"/>
      </w:pPr>
    </w:p>
    <w:p>
      <w:pPr>
        <w:spacing w:after="80" w:before="80"/>
        <w:jc w:val="left"/>
      </w:pPr>
      <w:r>
        <w:rPr>
          <w:rFonts w:ascii="Arial" w:cs="Arial" w:eastAsia="Arial" w:hAnsi="Arial"/>
          <w:b w:val="false"/>
          <w:bCs w:val="false"/>
          <w:color w:val="000000"/>
          <w:sz w:val="20"/>
          <w:szCs w:val="20"/>
        </w:rPr>
        <w:t xml:space="preserve">This plan covers:</w:t>
      </w:r>
    </w:p>
    <w:p>
      <w:pPr>
        <w:spacing w:after="40" w:before="40"/>
      </w:pPr>
    </w:p>
    <w:p>
      <w:pPr>
        <w:pStyle w:val="ListParagraph"/>
        <w:numPr>
          <w:ilvl w:val="0"/>
          <w:numId w:val="2"/>
        </w:numPr>
        <w:spacing w:after="40" w:before="40"/>
      </w:pPr>
      <w:r>
        <w:rPr>
          <w:rFonts w:ascii="Arial" w:cs="Arial" w:eastAsia="Arial" w:hAnsi="Arial"/>
          <w:sz w:val="20"/>
          <w:szCs w:val="20"/>
        </w:rPr>
        <w:t xml:space="preserve">All security incidents affecting systems, data, or services within the ISMS scope (ISMS-SCO-001).</w:t>
      </w:r>
    </w:p>
    <w:p>
      <w:pPr>
        <w:pStyle w:val="ListParagraph"/>
        <w:numPr>
          <w:ilvl w:val="0"/>
          <w:numId w:val="2"/>
        </w:numPr>
        <w:spacing w:after="40" w:before="40"/>
      </w:pPr>
      <w:r>
        <w:rPr>
          <w:rFonts w:ascii="Arial" w:cs="Arial" w:eastAsia="Arial" w:hAnsi="Arial"/>
          <w:sz w:val="20"/>
          <w:szCs w:val="20"/>
        </w:rPr>
        <w:t xml:space="preserve">Incidents affecting client environments managed under formal service agreements.</w:t>
      </w:r>
    </w:p>
    <w:p>
      <w:pPr>
        <w:pStyle w:val="ListParagraph"/>
        <w:numPr>
          <w:ilvl w:val="0"/>
          <w:numId w:val="2"/>
        </w:numPr>
        <w:spacing w:after="40" w:before="40"/>
      </w:pPr>
      <w:r>
        <w:rPr>
          <w:rFonts w:ascii="Arial" w:cs="Arial" w:eastAsia="Arial" w:hAnsi="Arial"/>
          <w:sz w:val="20"/>
          <w:szCs w:val="20"/>
        </w:rPr>
        <w:t xml:space="preserve">Personal data breaches requiring assessment for UK GDPR notification obligations.</w:t>
      </w:r>
    </w:p>
    <w:p>
      <w:pPr>
        <w:pStyle w:val="ListParagraph"/>
        <w:numPr>
          <w:ilvl w:val="0"/>
          <w:numId w:val="2"/>
        </w:numPr>
        <w:spacing w:after="40" w:before="40"/>
      </w:pPr>
      <w:r>
        <w:rPr>
          <w:rFonts w:ascii="Arial" w:cs="Arial" w:eastAsia="Arial" w:hAnsi="Arial"/>
          <w:sz w:val="20"/>
          <w:szCs w:val="20"/>
        </w:rPr>
        <w:t xml:space="preserve">Incidents originating from third-party suppliers that impact the organisation or its clients.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A.5.24–A.5.28</w:t>
            </w:r>
          </w:p>
          <w:p>
            <w:pPr>
              <w:jc w:val="center"/>
            </w:pPr>
            <w:r>
              <w:rPr>
                <w:rFonts w:ascii="Arial" w:cs="Arial" w:eastAsia="Arial" w:hAnsi="Arial"/>
                <w:color w:val="D6E4F0"/>
                <w:sz w:val="14"/>
                <w:szCs w:val="14"/>
              </w:rPr>
              <w:t xml:space="preserve">IR Controls</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A.5.24: Planning and preparation. A.5.25: Assessment and decision on events. A.5.26: Response to incidents. A.5.27: Learning from incidents. A.5.28: Collection of evidence.</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IR Team Roles and Responsibilities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Post-Holder</w:t>
            </w:r>
          </w:p>
        </w:tc>
        <w:tc>
          <w:tcPr>
            <w:tcW w:type="dxa" w:w="5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IR Responsibilities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Incident Response Lead (IR Lead)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Information Security Manager</w:t>
            </w:r>
          </w:p>
        </w:tc>
        <w:tc>
          <w:tcPr>
            <w:tcW w:type="dxa" w:w="5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Owns the IR process end-to-end. Declares incidents and assigns severity. Coordinates all response activities. Makes communication decisions. Engages external resources. Leads PIR. Maintains incident log.</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Technical Lead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Head of Technology</w:t>
            </w:r>
          </w:p>
        </w:tc>
        <w:tc>
          <w:tcPr>
            <w:tcW w:type="dxa" w:w="5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Leads technical investigation and containment actions. Executes forensic preservation. Manages system isolation, credential resets, and recovery. Primary Sentinel/Defender operator during incidents.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Executive Sponsor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Managing Director</w:t>
            </w:r>
          </w:p>
        </w:tc>
        <w:tc>
          <w:tcPr>
            <w:tcW w:type="dxa" w:w="5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Authorises major decisions: engaging law enforcement, notifying clients, approving public statements, invoking external IR retainer. Signs off on regulatory notifications. Accountable for business continuity decisions.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Protection Lead</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[Name / ISM if dual-hatted]</w:t>
            </w:r>
          </w:p>
        </w:tc>
        <w:tc>
          <w:tcPr>
            <w:tcW w:type="dxa" w:w="5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Assesses all incidents involving personal data for UK GDPR notification obligations. Owns the ICO 72-hour notification process. Manages data subject notification where required. Maintains GDPR breach register.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IR Retainer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[Provider — see §15]</w:t>
            </w:r>
          </w:p>
        </w:tc>
        <w:tc>
          <w:tcPr>
            <w:tcW w:type="dxa" w:w="5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Engaged for P1/P2 incidents requiring forensic capability beyond internal resource. Activated by IR Lead with MD authorisation. Operates under NDA and retainer agreement.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 Personnel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staff / contractors</w:t>
            </w:r>
          </w:p>
        </w:tc>
        <w:tc>
          <w:tcPr>
            <w:tcW w:type="dxa" w:w="5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Report any suspected security incident to the IR Lead immediately via the reporting channel (see §5.1). Preserve evidence — do not attempt to investigate or remediate independently. Cooperate fully with the IR team.</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3.  Incident Classification — P1 to P5</w:t>
      </w:r>
    </w:p>
    <w:p>
      <w:pPr>
        <w:spacing w:after="80" w:before="80"/>
        <w:jc w:val="left"/>
      </w:pPr>
      <w:r>
        <w:rPr>
          <w:rFonts w:ascii="Arial" w:cs="Arial" w:eastAsia="Arial" w:hAnsi="Arial"/>
          <w:b w:val="false"/>
          <w:bCs w:val="false"/>
          <w:color w:val="000000"/>
          <w:sz w:val="20"/>
          <w:szCs w:val="20"/>
        </w:rPr>
        <w:t xml:space="preserve">All security events are classified on detection and re-classified as new information emerges. Classification drives response SLA and escalation. When in doubt, classify higher — it is easier to de-escalate than to under-respond.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60"/>
        <w:gridCol w:w="2400"/>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Criteria</w:t>
            </w:r>
          </w:p>
        </w:tc>
      </w:tr>
      <w:tr>
        <w:tc>
          <w:tcPr>
            <w:tcW w:type="dxa" w:w="160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P1 — Critical</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Active attack with immediate, severe impact. Business operations significantly disrupted or at risk of collapse. Potential or confirmed mass data loss or exfiltration.</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Active ransomware encrypting systems; confirmed exfiltration of client data; complete loss of managed service capability; credentials for multiple client tenants compromised.</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Any one of: active threat actor presence; mass data exfiltration; complete service unavailability; critical infrastructure compromise.</w:t>
            </w:r>
          </w:p>
        </w:tc>
      </w:tr>
      <w:tr>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P2 — High</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Significant security incident with material impact. Confirmed compromise of systems or data. High risk of escalation to P1 without immediate action.</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Single client tenant admin account compromised; BEC with financial payment initiated; personal data breach affecting &gt;50 individuals; critical vulnerability actively exploited in production.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Confirmed account or system compromise; personal data breach; active exploitation in production; significant lateral movement.</w:t>
            </w:r>
          </w:p>
        </w:tc>
      </w:tr>
      <w:tr>
        <w:tc>
          <w:tcPr>
            <w:tcW w:type="dxa" w:w="1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P3 — Medium</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Security incident with moderate impact. Partial or potential compromise. No confirmed data loss. Contained within a limited scope.</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Failed phishing attempt that reached inbox; single account suspicious sign-in (blocked by MFA); cloud misconfiguration that exposed non-sensitive data; malware quarantined by Defender.</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Suspicious activity without confirmed compromise; limited or contained exposure; controlled blast radius.</w:t>
            </w:r>
          </w:p>
        </w:tc>
      </w:tr>
      <w:tr>
        <w:tc>
          <w:tcPr>
            <w:tcW w:type="dxa" w:w="16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P4 — Low</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Minor security event with minimal impact. No confirmed compromise. Standard operational response sufficient.</w:t>
            </w:r>
          </w:p>
        </w:tc>
        <w:tc>
          <w:tcPr>
            <w:tcW w:type="dxa" w:w="2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Policy violation by staff; spam/phishing email reported by user; vulnerability discovered in non-production system; lost device with full-disk encryption confirmed.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confirmed compromise; isolated event; minimal data risk; controllable without emergency response.</w:t>
            </w:r>
          </w:p>
        </w:tc>
      </w:tr>
      <w:tr>
        <w:tc>
          <w:tcPr>
            <w:tcW w:type="dxa" w:w="1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P5 — Informational</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Security alert or event that requires logging but no active response. Intelligence value only.</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Sentinel informational alert; port scan from external IP; threat intelligence advisory received; false positive reviewed and closed.</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No impact; no risk; log and monitor.</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4.  Response SLAs and Escalation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4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Acknowledge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Triage Complete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Containment Initiated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MD Notified</w:t>
            </w:r>
          </w:p>
        </w:tc>
        <w:tc>
          <w:tcPr>
            <w:tcW w:type="dxa" w:w="1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PIR Due</w:t>
            </w:r>
          </w:p>
        </w:tc>
      </w:tr>
      <w:tr>
        <w:tc>
          <w:tcPr>
            <w:tcW w:type="dxa" w:w="1400"/>
            <w:tcBorders>
              <w:top w:val="single" w:color="CCCCCC" w:sz="1"/>
              <w:left w:val="single" w:color="CCCCCC" w:sz="1"/>
              <w:bottom w:val="single" w:color="CCCCCC" w:sz="1"/>
              <w:right w:val="single" w:color="CCCCCC" w:sz="1"/>
            </w:tcBorders>
            <w:shd w:fill="7B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P1 — Critical</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15 minutes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 hour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 hours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6"/>
                <w:szCs w:val="16"/>
              </w:rPr>
              <w:t xml:space="preserve">Immediately</w:t>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 working days</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P2 — High</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30 minutes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 hours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 hours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Within 1 hour</w:t>
            </w:r>
          </w:p>
        </w:tc>
        <w:tc>
          <w:tcPr>
            <w:tcW w:type="dxa" w:w="1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 working days</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P3 — Medium</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 hours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 hours (next BD)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Next business day</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Within 24 hours</w:t>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Optional</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P4 — Low</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 business day</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 business days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Standard process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Weekly report</w:t>
            </w:r>
          </w:p>
        </w:tc>
        <w:tc>
          <w:tcPr>
            <w:tcW w:type="dxa" w:w="1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Not required</w:t>
            </w:r>
          </w:p>
        </w:tc>
      </w:tr>
    </w:tbl>
    <w:p>
      <w:pPr>
        <w:spacing w:after="60" w:before="60"/>
      </w:pPr>
    </w:p>
    <w:p>
      <w:pPr>
        <w:spacing w:after="80" w:before="80"/>
        <w:jc w:val="left"/>
      </w:pPr>
      <w:r>
        <w:rPr>
          <w:rFonts w:ascii="Arial" w:cs="Arial" w:eastAsia="Arial" w:hAnsi="Arial"/>
          <w:b w:val="false"/>
          <w:bCs w:val="false"/>
          <w:color w:val="595959"/>
          <w:sz w:val="17"/>
          <w:szCs w:val="17"/>
        </w:rPr>
        <w:t xml:space="preserve">SLAs apply 24 hours a day, 7 days a week for P1 incidents. For P2+, out-of-hours escalation follows the procedure in §6.4.</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5.  Incident Response Lifecycle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A.5.26</w:t>
            </w:r>
          </w:p>
          <w:p>
            <w:pPr>
              <w:jc w:val="center"/>
            </w:pPr>
            <w:r>
              <w:rPr>
                <w:rFonts w:ascii="Arial" w:cs="Arial" w:eastAsia="Arial" w:hAnsi="Arial"/>
                <w:color w:val="D6E4F0"/>
                <w:sz w:val="14"/>
                <w:szCs w:val="14"/>
              </w:rPr>
              <w:t xml:space="preserve">Response</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Response to incidents must be timely, structured, and documented. Evidence must be preserved from the point of detection.</w:t>
            </w:r>
          </w:p>
        </w:tc>
      </w:tr>
    </w:tbl>
    <w:p>
      <w:pPr>
        <w:spacing w:after="120" w:before="120"/>
      </w:pPr>
    </w:p>
    <w:p>
      <w:pPr>
        <w:pStyle w:val="Heading2"/>
        <w:spacing w:after="80" w:before="240"/>
      </w:pPr>
      <w:r>
        <w:rPr>
          <w:rFonts w:ascii="Arial" w:cs="Arial" w:eastAsia="Arial" w:hAnsi="Arial"/>
          <w:b/>
          <w:bCs/>
          <w:color w:val="2E75B6"/>
          <w:sz w:val="26"/>
          <w:szCs w:val="26"/>
        </w:rPr>
        <w:t xml:space="preserve">5.1  Phase 1 — Identification and Reporting</w:t>
      </w:r>
    </w:p>
    <w:p>
      <w:pPr>
        <w:spacing w:after="80" w:before="80"/>
        <w:jc w:val="left"/>
      </w:pPr>
      <w:r>
        <w:rPr>
          <w:rFonts w:ascii="Arial" w:cs="Arial" w:eastAsia="Arial" w:hAnsi="Arial"/>
          <w:b w:val="false"/>
          <w:bCs w:val="false"/>
          <w:color w:val="000000"/>
          <w:sz w:val="20"/>
          <w:szCs w:val="20"/>
        </w:rPr>
        <w:t xml:space="preserve">Any person detecting a potential security event must report it immediately to the IR Lead (ISM) by the fastest available channel. Do not attempt to investigate, remediate, or discuss the event beyond the immediate IR team.</w:t>
      </w:r>
    </w:p>
    <w:p>
      <w:pPr>
        <w:spacing w:after="60" w:before="60"/>
      </w:pPr>
    </w:p>
    <w:p>
      <w:pPr>
        <w:spacing w:after="80" w:before="80"/>
        <w:jc w:val="left"/>
      </w:pPr>
      <w:r>
        <w:rPr>
          <w:rFonts w:ascii="Arial" w:cs="Arial" w:eastAsia="Arial" w:hAnsi="Arial"/>
          <w:b w:val="false"/>
          <w:bCs w:val="false"/>
          <w:color w:val="000000"/>
          <w:sz w:val="20"/>
          <w:szCs w:val="20"/>
        </w:rPr>
        <w:t xml:space="preserve">Reporting channel: Email to ISM ([ISM email]) + phone ([ISM mobile]) for P1/P2. For out-of-hours P1, call the emergency chain in §6.4.</w:t>
      </w:r>
    </w:p>
    <w:p>
      <w:pPr>
        <w:spacing w:after="60" w:before="60"/>
      </w:pPr>
    </w:p>
    <w:p>
      <w:pPr>
        <w:spacing w:after="80" w:before="80"/>
        <w:jc w:val="left"/>
      </w:pPr>
      <w:r>
        <w:rPr>
          <w:rFonts w:ascii="Arial" w:cs="Arial" w:eastAsia="Arial" w:hAnsi="Arial"/>
          <w:b w:val="false"/>
          <w:bCs w:val="false"/>
          <w:color w:val="000000"/>
          <w:sz w:val="20"/>
          <w:szCs w:val="20"/>
        </w:rPr>
        <w:t xml:space="preserve">Minimum information to report: What was observed. When it was observed. Which system(s) or data appear affected. Who detected it and how. What action, if any, has already been taken.</w:t>
      </w:r>
    </w:p>
    <w:p>
      <w:pPr>
        <w:spacing w:after="60" w:before="60"/>
      </w:pPr>
    </w:p>
    <w:p>
      <w:pPr>
        <w:spacing w:after="80" w:before="80"/>
        <w:jc w:val="left"/>
      </w:pPr>
      <w:r>
        <w:rPr>
          <w:rFonts w:ascii="Arial" w:cs="Arial" w:eastAsia="Arial" w:hAnsi="Arial"/>
          <w:b w:val="false"/>
          <w:bCs w:val="false"/>
          <w:color w:val="000000"/>
          <w:sz w:val="20"/>
          <w:szCs w:val="20"/>
        </w:rPr>
        <w:t xml:space="preserve">The IR Lead logs all reported events in the incident log (Section 14) within 30 minutes of notification, assigns an INC reference number, and opens the incident record.</w:t>
      </w:r>
    </w:p>
    <w:p>
      <w:pPr>
        <w:spacing w:after="120" w:before="120"/>
      </w:pPr>
    </w:p>
    <w:p>
      <w:pPr>
        <w:pStyle w:val="Heading2"/>
        <w:spacing w:after="80" w:before="240"/>
      </w:pPr>
      <w:r>
        <w:rPr>
          <w:rFonts w:ascii="Arial" w:cs="Arial" w:eastAsia="Arial" w:hAnsi="Arial"/>
          <w:b/>
          <w:bCs/>
          <w:color w:val="2E75B6"/>
          <w:sz w:val="26"/>
          <w:szCs w:val="26"/>
        </w:rPr>
        <w:t xml:space="preserve">5.2  Phase 2 — Triage and Classification</w:t>
      </w:r>
    </w:p>
    <w:p>
      <w:pPr>
        <w:spacing w:after="80" w:before="80"/>
        <w:jc w:val="left"/>
      </w:pPr>
      <w:r>
        <w:rPr>
          <w:rFonts w:ascii="Arial" w:cs="Arial" w:eastAsia="Arial" w:hAnsi="Arial"/>
          <w:b w:val="false"/>
          <w:bCs w:val="false"/>
          <w:color w:val="000000"/>
          <w:sz w:val="20"/>
          <w:szCs w:val="20"/>
        </w:rPr>
        <w:t xml:space="preserve">The IR Lead and Technical Lead jointly assess the event to determine: Is this a genuine security incident (vs. false positive or operational issue)? What is the correct P-level classification? What is the current blast radius and trajectory? Is an immediate response required or can this proceed at normal pace?</w:t>
      </w:r>
    </w:p>
    <w:p>
      <w:pPr>
        <w:spacing w:after="60" w:before="60"/>
      </w:pPr>
    </w:p>
    <w:p>
      <w:pPr>
        <w:spacing w:after="80" w:before="80"/>
        <w:jc w:val="left"/>
      </w:pPr>
      <w:r>
        <w:rPr>
          <w:rFonts w:ascii="Arial" w:cs="Arial" w:eastAsia="Arial" w:hAnsi="Arial"/>
          <w:b w:val="false"/>
          <w:bCs w:val="false"/>
          <w:color w:val="000000"/>
          <w:sz w:val="20"/>
          <w:szCs w:val="20"/>
        </w:rPr>
        <w:t xml:space="preserve">The classification drives SLA clocks from the point of confirmed triage completion. The IR Lead notifies the MD of all P1/P2 incidents within the SLA in §4. Classification must be documented in the incident record.</w:t>
      </w:r>
    </w:p>
    <w:p>
      <w:pPr>
        <w:spacing w:after="120" w:before="120"/>
      </w:pPr>
    </w:p>
    <w:p>
      <w:pPr>
        <w:pStyle w:val="Heading2"/>
        <w:spacing w:after="80" w:before="240"/>
      </w:pPr>
      <w:r>
        <w:rPr>
          <w:rFonts w:ascii="Arial" w:cs="Arial" w:eastAsia="Arial" w:hAnsi="Arial"/>
          <w:b/>
          <w:bCs/>
          <w:color w:val="2E75B6"/>
          <w:sz w:val="26"/>
          <w:szCs w:val="26"/>
        </w:rPr>
        <w:t xml:space="preserve">5.3  Phase 3 — Containment</w:t>
      </w:r>
    </w:p>
    <w:p>
      <w:pPr>
        <w:spacing w:after="80" w:before="80"/>
        <w:jc w:val="left"/>
      </w:pPr>
      <w:r>
        <w:rPr>
          <w:rFonts w:ascii="Arial" w:cs="Arial" w:eastAsia="Arial" w:hAnsi="Arial"/>
          <w:b w:val="false"/>
          <w:bCs w:val="false"/>
          <w:color w:val="000000"/>
          <w:sz w:val="20"/>
          <w:szCs w:val="20"/>
        </w:rPr>
        <w:t xml:space="preserve">The primary objective of containment is to stop the bleeding — limit further damage and prevent the incident from spreading. The Technical Lead executes containment actions. Two containment strategies apply:</w:t>
      </w:r>
    </w:p>
    <w:p>
      <w:pPr>
        <w:spacing w:after="60" w:before="60"/>
      </w:pPr>
    </w:p>
    <w:p>
      <w:pPr>
        <w:pStyle w:val="ListParagraph"/>
        <w:numPr>
          <w:ilvl w:val="0"/>
          <w:numId w:val="2"/>
        </w:numPr>
        <w:spacing w:after="40" w:before="40"/>
      </w:pPr>
      <w:r>
        <w:rPr>
          <w:rFonts w:ascii="Arial" w:cs="Arial" w:eastAsia="Arial" w:hAnsi="Arial"/>
          <w:sz w:val="20"/>
          <w:szCs w:val="20"/>
        </w:rPr>
        <w:t xml:space="preserve">Short-term containment — immediate actions taken within hours to isolate the threat without destroying evidence: isolating affected devices from the network, disabling compromised accounts, blocking identified IOCs in Sentinel/Defender.</w:t>
      </w:r>
    </w:p>
    <w:p>
      <w:pPr>
        <w:pStyle w:val="ListParagraph"/>
        <w:numPr>
          <w:ilvl w:val="0"/>
          <w:numId w:val="2"/>
        </w:numPr>
        <w:spacing w:after="40" w:before="40"/>
      </w:pPr>
      <w:r>
        <w:rPr>
          <w:rFonts w:ascii="Arial" w:cs="Arial" w:eastAsia="Arial" w:hAnsi="Arial"/>
          <w:sz w:val="20"/>
          <w:szCs w:val="20"/>
        </w:rPr>
        <w:t xml:space="preserve">Long-term containment — stabilising the environment for recovery while forensic investigation continues: re-imaging affected systems, rotating all credentials in the affected scope, deploying enhanced monitoring.</w:t>
      </w:r>
    </w:p>
    <w:p>
      <w:pPr>
        <w:spacing w:after="60" w:before="60"/>
      </w:pPr>
    </w:p>
    <w:p>
      <w:pPr>
        <w:spacing w:after="80" w:before="80"/>
        <w:jc w:val="left"/>
      </w:pPr>
      <w:r>
        <w:rPr>
          <w:rFonts w:ascii="Arial" w:cs="Arial" w:eastAsia="Arial" w:hAnsi="Arial"/>
          <w:b w:val="false"/>
          <w:bCs w:val="false"/>
          <w:color w:val="C00000"/>
          <w:sz w:val="18"/>
          <w:szCs w:val="18"/>
        </w:rPr>
        <w:t xml:space="preserve">No system should be shut down or wiped before forensic preservation steps (§7) have been completed, unless continued operation poses an immediate, unacceptable risk to other systems or client environments. The IR Lead makes this call.</w:t>
      </w:r>
    </w:p>
    <w:p>
      <w:pPr>
        <w:spacing w:after="120" w:before="120"/>
      </w:pPr>
    </w:p>
    <w:p>
      <w:pPr>
        <w:pStyle w:val="Heading2"/>
        <w:spacing w:after="80" w:before="240"/>
      </w:pPr>
      <w:r>
        <w:rPr>
          <w:rFonts w:ascii="Arial" w:cs="Arial" w:eastAsia="Arial" w:hAnsi="Arial"/>
          <w:b/>
          <w:bCs/>
          <w:color w:val="2E75B6"/>
          <w:sz w:val="26"/>
          <w:szCs w:val="26"/>
        </w:rPr>
        <w:t xml:space="preserve">5.4  Phase 4 — Eradication and Recovery</w:t>
      </w:r>
    </w:p>
    <w:p>
      <w:pPr>
        <w:spacing w:after="80" w:before="80"/>
        <w:jc w:val="left"/>
      </w:pPr>
      <w:r>
        <w:rPr>
          <w:rFonts w:ascii="Arial" w:cs="Arial" w:eastAsia="Arial" w:hAnsi="Arial"/>
          <w:b w:val="false"/>
          <w:bCs w:val="false"/>
          <w:color w:val="000000"/>
          <w:sz w:val="20"/>
          <w:szCs w:val="20"/>
        </w:rPr>
        <w:t xml:space="preserve">Eradication removes the root cause of the incident (e.g. malware removal, vulnerability patching, rogue account deletion). Recovery restores affected systems to normal operational state from a known-good baseline.</w:t>
      </w:r>
    </w:p>
    <w:p>
      <w:pPr>
        <w:spacing w:after="60" w:before="60"/>
      </w:pPr>
    </w:p>
    <w:p>
      <w:pPr>
        <w:pStyle w:val="ListParagraph"/>
        <w:numPr>
          <w:ilvl w:val="0"/>
          <w:numId w:val="2"/>
        </w:numPr>
        <w:spacing w:after="40" w:before="40"/>
      </w:pPr>
      <w:r>
        <w:rPr>
          <w:rFonts w:ascii="Arial" w:cs="Arial" w:eastAsia="Arial" w:hAnsi="Arial"/>
          <w:sz w:val="20"/>
          <w:szCs w:val="20"/>
        </w:rPr>
        <w:t xml:space="preserve">All recovered systems must pass a security validation check before returning to production.</w:t>
      </w:r>
    </w:p>
    <w:p>
      <w:pPr>
        <w:pStyle w:val="ListParagraph"/>
        <w:numPr>
          <w:ilvl w:val="0"/>
          <w:numId w:val="2"/>
        </w:numPr>
        <w:spacing w:after="40" w:before="40"/>
      </w:pPr>
      <w:r>
        <w:rPr>
          <w:rFonts w:ascii="Arial" w:cs="Arial" w:eastAsia="Arial" w:hAnsi="Arial"/>
          <w:sz w:val="20"/>
          <w:szCs w:val="20"/>
        </w:rPr>
        <w:t xml:space="preserve">Credentials used to access affected systems must be rotated before resuming normal operations.</w:t>
      </w:r>
    </w:p>
    <w:p>
      <w:pPr>
        <w:pStyle w:val="ListParagraph"/>
        <w:numPr>
          <w:ilvl w:val="0"/>
          <w:numId w:val="2"/>
        </w:numPr>
        <w:spacing w:after="40" w:before="40"/>
      </w:pPr>
      <w:r>
        <w:rPr>
          <w:rFonts w:ascii="Arial" w:cs="Arial" w:eastAsia="Arial" w:hAnsi="Arial"/>
          <w:sz w:val="20"/>
          <w:szCs w:val="20"/>
        </w:rPr>
        <w:t xml:space="preserve">The Technical Lead documents all eradication and recovery actions in the incident record with timestamps.</w:t>
      </w:r>
    </w:p>
    <w:p>
      <w:pPr>
        <w:pStyle w:val="ListParagraph"/>
        <w:numPr>
          <w:ilvl w:val="0"/>
          <w:numId w:val="2"/>
        </w:numPr>
        <w:spacing w:after="40" w:before="40"/>
      </w:pPr>
      <w:r>
        <w:rPr>
          <w:rFonts w:ascii="Arial" w:cs="Arial" w:eastAsia="Arial" w:hAnsi="Arial"/>
          <w:sz w:val="20"/>
          <w:szCs w:val="20"/>
        </w:rPr>
        <w:t xml:space="preserve">If data loss or corruption is confirmed, the recovery procedure in ISMS-BCP-001 is invoked.</w:t>
      </w:r>
    </w:p>
    <w:p>
      <w:pPr>
        <w:spacing w:after="120" w:before="120"/>
      </w:pPr>
    </w:p>
    <w:p>
      <w:pPr>
        <w:pStyle w:val="Heading2"/>
        <w:spacing w:after="80" w:before="240"/>
      </w:pPr>
      <w:r>
        <w:rPr>
          <w:rFonts w:ascii="Arial" w:cs="Arial" w:eastAsia="Arial" w:hAnsi="Arial"/>
          <w:b/>
          <w:bCs/>
          <w:color w:val="2E75B6"/>
          <w:sz w:val="26"/>
          <w:szCs w:val="26"/>
        </w:rPr>
        <w:t xml:space="preserve">5.5  Phase 5 — Communication</w:t>
      </w:r>
    </w:p>
    <w:p>
      <w:pPr>
        <w:spacing w:after="80" w:before="80"/>
        <w:jc w:val="left"/>
      </w:pPr>
      <w:r>
        <w:rPr>
          <w:rFonts w:ascii="Arial" w:cs="Arial" w:eastAsia="Arial" w:hAnsi="Arial"/>
          <w:b w:val="false"/>
          <w:bCs w:val="false"/>
          <w:color w:val="000000"/>
          <w:sz w:val="20"/>
          <w:szCs w:val="20"/>
        </w:rPr>
        <w:t xml:space="preserve">Communication is governed by §6 of this plan. Key principles:</w:t>
      </w:r>
    </w:p>
    <w:p>
      <w:pPr>
        <w:spacing w:after="40" w:before="40"/>
      </w:pPr>
    </w:p>
    <w:p>
      <w:pPr>
        <w:pStyle w:val="ListParagraph"/>
        <w:numPr>
          <w:ilvl w:val="0"/>
          <w:numId w:val="2"/>
        </w:numPr>
        <w:spacing w:after="40" w:before="40"/>
      </w:pPr>
      <w:r>
        <w:rPr>
          <w:rFonts w:ascii="Arial" w:cs="Arial" w:eastAsia="Arial" w:hAnsi="Arial"/>
          <w:sz w:val="20"/>
          <w:szCs w:val="20"/>
        </w:rPr>
        <w:t xml:space="preserve">Communicate only what is confirmed. Do not speculate on scope, cause, or attribution before investigation is complete.</w:t>
      </w:r>
    </w:p>
    <w:p>
      <w:pPr>
        <w:pStyle w:val="ListParagraph"/>
        <w:numPr>
          <w:ilvl w:val="0"/>
          <w:numId w:val="2"/>
        </w:numPr>
        <w:spacing w:after="40" w:before="40"/>
      </w:pPr>
      <w:r>
        <w:rPr>
          <w:rFonts w:ascii="Arial" w:cs="Arial" w:eastAsia="Arial" w:hAnsi="Arial"/>
          <w:sz w:val="20"/>
          <w:szCs w:val="20"/>
        </w:rPr>
        <w:t xml:space="preserve">All external communications (client, ICO, press) require MD approval before transmission.</w:t>
      </w:r>
    </w:p>
    <w:p>
      <w:pPr>
        <w:pStyle w:val="ListParagraph"/>
        <w:numPr>
          <w:ilvl w:val="0"/>
          <w:numId w:val="2"/>
        </w:numPr>
        <w:spacing w:after="40" w:before="40"/>
      </w:pPr>
      <w:r>
        <w:rPr>
          <w:rFonts w:ascii="Arial" w:cs="Arial" w:eastAsia="Arial" w:hAnsi="Arial"/>
          <w:sz w:val="20"/>
          <w:szCs w:val="20"/>
        </w:rPr>
        <w:t xml:space="preserve">Client-facing communication is managed by the MD and ISM jointly per the client's contractual notification requirements.</w:t>
      </w:r>
    </w:p>
    <w:p>
      <w:pPr>
        <w:pStyle w:val="ListParagraph"/>
        <w:numPr>
          <w:ilvl w:val="0"/>
          <w:numId w:val="2"/>
        </w:numPr>
        <w:spacing w:after="40" w:before="40"/>
      </w:pPr>
      <w:r>
        <w:rPr>
          <w:rFonts w:ascii="Arial" w:cs="Arial" w:eastAsia="Arial" w:hAnsi="Arial"/>
          <w:sz w:val="20"/>
          <w:szCs w:val="20"/>
        </w:rPr>
        <w:t xml:space="preserve">ICO notification is triggered if a personal data breach meets the reporting threshold — the DPL manages this process independently of client communication.</w:t>
      </w:r>
    </w:p>
    <w:p>
      <w:pPr>
        <w:spacing w:after="120" w:before="120"/>
      </w:pPr>
    </w:p>
    <w:p>
      <w:pPr>
        <w:pStyle w:val="Heading2"/>
        <w:spacing w:after="80" w:before="240"/>
      </w:pPr>
      <w:r>
        <w:rPr>
          <w:rFonts w:ascii="Arial" w:cs="Arial" w:eastAsia="Arial" w:hAnsi="Arial"/>
          <w:b/>
          <w:bCs/>
          <w:color w:val="2E75B6"/>
          <w:sz w:val="26"/>
          <w:szCs w:val="26"/>
        </w:rPr>
        <w:t xml:space="preserve">5.6  Phase 6 — Post-Incident Review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A.5.27</w:t>
            </w:r>
          </w:p>
          <w:p>
            <w:pPr>
              <w:jc w:val="center"/>
            </w:pPr>
            <w:r>
              <w:rPr>
                <w:rFonts w:ascii="Arial" w:cs="Arial" w:eastAsia="Arial" w:hAnsi="Arial"/>
                <w:color w:val="D6E4F0"/>
                <w:sz w:val="14"/>
                <w:szCs w:val="14"/>
              </w:rPr>
              <w:t xml:space="preserve">Learning</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Learning from incidents is mandatory. PIRs are not blame exercises — they are improvement mechanisms.</w:t>
            </w:r>
          </w:p>
        </w:tc>
      </w:tr>
    </w:tbl>
    <w:p>
      <w:pPr>
        <w:spacing w:after="60" w:before="60"/>
      </w:pPr>
    </w:p>
    <w:p>
      <w:pPr>
        <w:spacing w:after="80" w:before="80"/>
        <w:jc w:val="left"/>
      </w:pPr>
      <w:r>
        <w:rPr>
          <w:rFonts w:ascii="Arial" w:cs="Arial" w:eastAsia="Arial" w:hAnsi="Arial"/>
          <w:b w:val="false"/>
          <w:bCs w:val="false"/>
          <w:color w:val="000000"/>
          <w:sz w:val="20"/>
          <w:szCs w:val="20"/>
        </w:rPr>
        <w:t xml:space="preserve">A Post-Incident Review (PIR) is conducted for all P1 and P2 incidents within the SLA in §4, and optionally for P3 incidents where systemic lessons exist. The PIR template is in Section 13.</w:t>
      </w:r>
    </w:p>
    <w:p>
      <w:pPr>
        <w:spacing w:after="60" w:before="60"/>
      </w:pPr>
    </w:p>
    <w:p>
      <w:pPr>
        <w:spacing w:after="80" w:before="80"/>
        <w:jc w:val="left"/>
      </w:pPr>
      <w:r>
        <w:rPr>
          <w:rFonts w:ascii="Arial" w:cs="Arial" w:eastAsia="Arial" w:hAnsi="Arial"/>
          <w:b w:val="false"/>
          <w:bCs w:val="false"/>
          <w:color w:val="000000"/>
          <w:sz w:val="20"/>
          <w:szCs w:val="20"/>
        </w:rPr>
        <w:t xml:space="preserve">PIR outputs must be actionable: findings feed into ISMS-CAR-001 (if a control failure is identified) and ISMS-CI-001 (for improvement opportunities). The risk register (ISMS-PLN-001) must be reviewed after any P1 incident to assess whether residual risk scores require updating.</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Communication Procedures</w:t>
      </w:r>
    </w:p>
    <w:p>
      <w:pPr>
        <w:pStyle w:val="Heading2"/>
        <w:spacing w:after="80" w:before="240"/>
      </w:pPr>
      <w:r>
        <w:rPr>
          <w:rFonts w:ascii="Arial" w:cs="Arial" w:eastAsia="Arial" w:hAnsi="Arial"/>
          <w:b/>
          <w:bCs/>
          <w:color w:val="2E75B6"/>
          <w:sz w:val="26"/>
          <w:szCs w:val="26"/>
        </w:rPr>
        <w:t xml:space="preserve">6.1  Internal Communication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60"/>
        <w:gridCol w:w="3200"/>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Communicate To</w:t>
            </w:r>
          </w:p>
        </w:tc>
        <w:tc>
          <w:tcPr>
            <w:tcW w:type="dxa" w:w="2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P1/P2 detected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 immediate</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Phone call (primary); encrypted message (backup)</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Nature of incident, current classification, immediate actions underway, resources needed.</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P1/P2 updates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IR Team</w:t>
            </w:r>
          </w:p>
        </w:tc>
        <w:tc>
          <w:tcPr>
            <w:tcW w:type="dxa" w:w="2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Secure chat / phone every 2 hours until stable</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Status update, containment progress, emerging scope, next actions.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Incident closed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all staff (summary)</w:t>
            </w:r>
          </w:p>
        </w:tc>
        <w:tc>
          <w:tcPr>
            <w:tcW w:type="dxa" w:w="2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Email from MD; full record in incident log</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Incident summary (non-sensitive), actions taken, PIR scheduled.</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P3/P4 weekly summary</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w:t>
            </w:r>
          </w:p>
        </w:tc>
        <w:tc>
          <w:tcPr>
            <w:tcW w:type="dxa" w:w="2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Weekly email report</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Aggregate of P3/P4 events: volume, status, any escalations.</w:t>
            </w:r>
          </w:p>
        </w:tc>
      </w:tr>
    </w:tbl>
    <w:p>
      <w:pPr>
        <w:spacing w:after="120" w:before="120"/>
      </w:pPr>
    </w:p>
    <w:p>
      <w:pPr>
        <w:pStyle w:val="Heading2"/>
        <w:spacing w:after="80" w:before="240"/>
      </w:pPr>
      <w:r>
        <w:rPr>
          <w:rFonts w:ascii="Arial" w:cs="Arial" w:eastAsia="Arial" w:hAnsi="Arial"/>
          <w:b/>
          <w:bCs/>
          <w:color w:val="2E75B6"/>
          <w:sz w:val="26"/>
          <w:szCs w:val="26"/>
        </w:rPr>
        <w:t xml:space="preserve">6.2  Client Notification</w:t>
      </w:r>
    </w:p>
    <w:p>
      <w:pPr>
        <w:spacing w:after="80" w:before="80"/>
        <w:jc w:val="left"/>
      </w:pPr>
      <w:r>
        <w:rPr>
          <w:rFonts w:ascii="Arial" w:cs="Arial" w:eastAsia="Arial" w:hAnsi="Arial"/>
          <w:b w:val="false"/>
          <w:bCs w:val="false"/>
          <w:color w:val="000000"/>
          <w:sz w:val="20"/>
          <w:szCs w:val="20"/>
        </w:rPr>
        <w:t xml:space="preserve">Client notification is governed by the contractual security schedule in each client agreement. The following framework applies where contract terms are silent or broader:</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6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Notification Timeline</w:t>
            </w:r>
          </w:p>
        </w:tc>
        <w:tc>
          <w:tcPr>
            <w:tcW w:type="dxa" w:w="5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 and Process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Confirmed impact to client environment or data</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 soon as confirmed — within 4 hours for P1; within 24 hours for P2</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and ISM jointly notify the client's primary security/IT contact. Initial notification: confirmed impact, immediate containment actions taken, investigation underway. Do not speculate on cause or attribution. Provide named point of contact for the client's questions.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Potential impact to client environment or data (under investigation)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Within 24 hours of incident declaration where client involvement is possible</w:t>
            </w:r>
          </w:p>
        </w:tc>
        <w:tc>
          <w:tcPr>
            <w:tcW w:type="dxa" w:w="5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notifies client contact with the information available: security incident under investigation, potential scope includes client environment, precautionary actions being taken, update to follow within [timeframe].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Personal data breach affecting client data subjects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 UK GDPR obligations and contractual DPA terms — DPL manages this timeline independently</w:t>
            </w:r>
          </w:p>
        </w:tc>
        <w:tc>
          <w:tcPr>
            <w:tcW w:type="dxa" w:w="5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DPL notifies client's Data Controller of the breach (as we are a Data Processor). Client then decides whether to notify ICO and/or data subjects. Provide all information required by Article 33(3) UK GDPR. Document notification in GDPR breach register.</w:t>
            </w:r>
          </w:p>
        </w:tc>
      </w:tr>
    </w:tbl>
    <w:p>
      <w:pPr>
        <w:spacing w:after="120" w:before="120"/>
      </w:pPr>
    </w:p>
    <w:p>
      <w:pPr>
        <w:pStyle w:val="Heading2"/>
        <w:spacing w:after="80" w:before="240"/>
      </w:pPr>
      <w:r>
        <w:rPr>
          <w:rFonts w:ascii="Arial" w:cs="Arial" w:eastAsia="Arial" w:hAnsi="Arial"/>
          <w:b/>
          <w:bCs/>
          <w:color w:val="2E75B6"/>
          <w:sz w:val="26"/>
          <w:szCs w:val="26"/>
        </w:rPr>
        <w:t xml:space="preserve">6.3  UK GDPR — ICO 72-Hour Breach Notification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C00000"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72-HOUR ICO NOTIFICATION CLOCK STARTS WHEN THE ORGANISATION BECOMES AWARE OF A LIKELY PERSONAL DATA BREACH</w:t>
            </w:r>
          </w:p>
        </w:tc>
      </w:tr>
      <w:tr>
        <w:tc>
          <w:tcPr>
            <w:tcBorders>
              <w:top w:val="single" w:color="C00000" w:sz="6"/>
              <w:left w:val="single" w:color="C00000" w:sz="6"/>
              <w:bottom w:val="single" w:color="C00000" w:sz="6"/>
              <w:right w:val="single" w:color="C00000" w:sz="6"/>
            </w:tcBorders>
            <w:tcMar>
              <w:top w:type="dxa" w:w="120"/>
              <w:left w:type="dxa" w:w="200"/>
              <w:bottom w:type="dxa" w:w="120"/>
              <w:right w:type="dxa" w:w="200"/>
            </w:tcMar>
          </w:tcPr>
          <w:p>
            <w:pPr>
              <w:spacing w:after="80" w:before="80"/>
              <w:jc w:val="left"/>
            </w:pPr>
            <w:r>
              <w:rPr>
                <w:rFonts w:ascii="Arial" w:cs="Arial" w:eastAsia="Arial" w:hAnsi="Arial"/>
                <w:b w:val="false"/>
                <w:bCs w:val="false"/>
                <w:color w:val="000000"/>
                <w:sz w:val="18"/>
                <w:szCs w:val="18"/>
              </w:rPr>
              <w:t xml:space="preserve">Step 1 — Assess notifiability: A breach must be reported to the ICO if it is likely to result in a risk to the rights and freedoms of individuals. If in doubt, report. The DPL makes this assessment.</w:t>
            </w:r>
          </w:p>
          <w:p>
            <w:pPr>
              <w:spacing w:after="40" w:before="40"/>
            </w:pPr>
          </w:p>
          <w:p>
            <w:pPr>
              <w:spacing w:after="80" w:before="80"/>
              <w:jc w:val="left"/>
            </w:pPr>
            <w:r>
              <w:rPr>
                <w:rFonts w:ascii="Arial" w:cs="Arial" w:eastAsia="Arial" w:hAnsi="Arial"/>
                <w:b w:val="false"/>
                <w:bCs w:val="false"/>
                <w:color w:val="000000"/>
                <w:sz w:val="18"/>
                <w:szCs w:val="18"/>
              </w:rPr>
              <w:t xml:space="preserve">Step 2 — Notify ICO: Use the ICO online reporting tool at ico.org.uk/make-a-report. Record: the nature of the breach; categories and approximate number of individuals concerned; categories and approximate number of personal data records concerned; likely consequences; measures taken or proposed.</w:t>
            </w:r>
          </w:p>
          <w:p>
            <w:pPr>
              <w:spacing w:after="40" w:before="40"/>
            </w:pPr>
          </w:p>
          <w:p>
            <w:pPr>
              <w:spacing w:after="80" w:before="80"/>
              <w:jc w:val="left"/>
            </w:pPr>
            <w:r>
              <w:rPr>
                <w:rFonts w:ascii="Arial" w:cs="Arial" w:eastAsia="Arial" w:hAnsi="Arial"/>
                <w:b w:val="false"/>
                <w:bCs w:val="false"/>
                <w:color w:val="000000"/>
                <w:sz w:val="18"/>
                <w:szCs w:val="18"/>
              </w:rPr>
              <w:t xml:space="preserve">Step 3 — Document: Record the breach and notification in the GDPR breach register (ISMS-RoPA-001 annex) regardless of whether ICO notification was required. UK GDPR Art. 33(5) requires all breaches to be documented.</w:t>
            </w:r>
          </w:p>
          <w:p>
            <w:pPr>
              <w:spacing w:after="40" w:before="40"/>
            </w:pPr>
          </w:p>
          <w:p>
            <w:pPr>
              <w:spacing w:after="80" w:before="80"/>
              <w:jc w:val="left"/>
            </w:pPr>
            <w:r>
              <w:rPr>
                <w:rFonts w:ascii="Arial" w:cs="Arial" w:eastAsia="Arial" w:hAnsi="Arial"/>
                <w:b w:val="false"/>
                <w:bCs w:val="false"/>
                <w:color w:val="000000"/>
                <w:sz w:val="18"/>
                <w:szCs w:val="18"/>
              </w:rPr>
              <w:t xml:space="preserve">Step 4 — Notify individuals (if required): Where the breach is likely to result in a HIGH risk to individuals, those individuals must be notified without undue delay. MD approves the notification; DPL drafts it.</w:t>
            </w:r>
          </w:p>
          <w:p>
            <w:pPr>
              <w:spacing w:after="40" w:before="40"/>
            </w:pPr>
          </w:p>
          <w:p>
            <w:pPr>
              <w:spacing w:after="0" w:before="60"/>
            </w:pPr>
            <w:r>
              <w:rPr>
                <w:rFonts w:ascii="Arial" w:cs="Arial" w:eastAsia="Arial" w:hAnsi="Arial"/>
                <w:b/>
                <w:bCs/>
                <w:sz w:val="18"/>
                <w:szCs w:val="18"/>
              </w:rPr>
              <w:t xml:space="preserve">ICO Report Tool: </w:t>
            </w:r>
            <w:r>
              <w:rPr>
                <w:rFonts w:ascii="Arial" w:cs="Arial" w:eastAsia="Arial" w:hAnsi="Arial"/>
                <w:color w:val="2E75B6"/>
                <w:sz w:val="18"/>
                <w:szCs w:val="18"/>
              </w:rPr>
              <w:t xml:space="preserve">https://ico.org.uk/make-a-report/   |   ICO Helpline: 0303 123 1113</w:t>
            </w:r>
          </w:p>
        </w:tc>
      </w:tr>
    </w:tbl>
    <w:p>
      <w:pPr>
        <w:spacing w:after="120" w:before="120"/>
      </w:pPr>
    </w:p>
    <w:p>
      <w:pPr>
        <w:pStyle w:val="Heading2"/>
        <w:spacing w:after="80" w:before="240"/>
      </w:pPr>
      <w:r>
        <w:rPr>
          <w:rFonts w:ascii="Arial" w:cs="Arial" w:eastAsia="Arial" w:hAnsi="Arial"/>
          <w:b/>
          <w:bCs/>
          <w:color w:val="2E75B6"/>
          <w:sz w:val="26"/>
          <w:szCs w:val="26"/>
        </w:rPr>
        <w:t xml:space="preserve">6.4  Out-of-Hours Escalation</w:t>
      </w:r>
    </w:p>
    <w:p>
      <w:pPr>
        <w:spacing w:after="80" w:before="80"/>
        <w:jc w:val="left"/>
      </w:pPr>
      <w:r>
        <w:rPr>
          <w:rFonts w:ascii="Arial" w:cs="Arial" w:eastAsia="Arial" w:hAnsi="Arial"/>
          <w:b w:val="false"/>
          <w:bCs w:val="false"/>
          <w:color w:val="000000"/>
          <w:sz w:val="20"/>
          <w:szCs w:val="20"/>
        </w:rPr>
        <w:t xml:space="preserve">For P1/P2 incidents detected outside business hours, the following escalation chain applies. Each contact should be attempted in order until a response is received: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30"/>
        <w:gridCol w:w="333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Order</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33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Contact</w:t>
            </w:r>
          </w:p>
        </w:tc>
        <w:tc>
          <w:tcPr>
            <w:tcW w:type="dxa" w:w="333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Backup Contact</w:t>
            </w:r>
          </w:p>
        </w:tc>
      </w:tr>
      <w:tr>
        <w:tc>
          <w:tcPr>
            <w:tcW w:type="dxa" w:w="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Information Security Manager</w:t>
            </w:r>
          </w:p>
        </w:tc>
        <w:tc>
          <w:tcPr>
            <w:tcW w:type="dxa" w:w="33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[ISM personal mobile — see §15]</w:t>
            </w:r>
          </w:p>
        </w:tc>
        <w:tc>
          <w:tcPr>
            <w:tcW w:type="dxa" w:w="33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 monitored on mobile]</w:t>
            </w:r>
          </w:p>
        </w:tc>
      </w:tr>
      <w:tr>
        <w:tc>
          <w:tcPr>
            <w:tcW w:type="dxa" w:w="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Head of Technology</w:t>
            </w:r>
          </w:p>
        </w:tc>
        <w:tc>
          <w:tcPr>
            <w:tcW w:type="dxa" w:w="33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[HoT personal mobile — see §15]</w:t>
            </w:r>
          </w:p>
        </w:tc>
        <w:tc>
          <w:tcPr>
            <w:tcW w:type="dxa" w:w="33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 monitored on mobile]</w:t>
            </w:r>
          </w:p>
        </w:tc>
      </w:tr>
      <w:tr>
        <w:tc>
          <w:tcPr>
            <w:tcW w:type="dxa" w:w="6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Managing Director</w:t>
            </w:r>
          </w:p>
        </w:tc>
        <w:tc>
          <w:tcPr>
            <w:tcW w:type="dxa" w:w="33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[MD personal mobile — see §15]</w:t>
            </w:r>
          </w:p>
        </w:tc>
        <w:tc>
          <w:tcPr>
            <w:tcW w:type="dxa" w:w="333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 monitored on mobile]</w:t>
            </w:r>
          </w:p>
        </w:tc>
      </w:tr>
      <w:tr>
        <w:tc>
          <w:tcPr>
            <w:tcW w:type="dxa" w:w="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External IR Retainer</w:t>
            </w:r>
          </w:p>
        </w:tc>
        <w:tc>
          <w:tcPr>
            <w:tcW w:type="dxa" w:w="33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[24/7 IR retainer hotline — see §15]</w:t>
            </w:r>
          </w:p>
        </w:tc>
        <w:tc>
          <w:tcPr>
            <w:tcW w:type="dxa" w:w="333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[Retainer reference number — see §15]</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7.  Evidence Handling and Preservation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A.5.28</w:t>
            </w:r>
          </w:p>
          <w:p>
            <w:pPr>
              <w:jc w:val="center"/>
            </w:pPr>
            <w:r>
              <w:rPr>
                <w:rFonts w:ascii="Arial" w:cs="Arial" w:eastAsia="Arial" w:hAnsi="Arial"/>
                <w:color w:val="D6E4F0"/>
                <w:sz w:val="14"/>
                <w:szCs w:val="14"/>
              </w:rPr>
              <w:t xml:space="preserve">Evidence</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Evidence must be collected, preserved, and managed appropriately to support internal investigation, legal proceedings, and regulatory inquiries.</w:t>
            </w:r>
          </w:p>
        </w:tc>
      </w:tr>
    </w:tbl>
    <w:p>
      <w:pPr>
        <w:spacing w:after="60" w:before="60"/>
      </w:pPr>
    </w:p>
    <w:p>
      <w:pPr>
        <w:spacing w:after="80" w:before="80"/>
        <w:jc w:val="left"/>
      </w:pPr>
      <w:r>
        <w:rPr>
          <w:rFonts w:ascii="Arial" w:cs="Arial" w:eastAsia="Arial" w:hAnsi="Arial"/>
          <w:b w:val="false"/>
          <w:bCs w:val="false"/>
          <w:color w:val="000000"/>
          <w:sz w:val="20"/>
          <w:szCs w:val="20"/>
        </w:rPr>
        <w:t xml:space="preserve">Evidence integrity is critical. Improperly handled evidence may be inadmissible in legal proceedings and may compromise investigation conclusions. The following rules apply from the point of incident detection:</w:t>
      </w:r>
    </w:p>
    <w:p>
      <w:pPr>
        <w:spacing w:after="60" w:before="60"/>
      </w:pPr>
    </w:p>
    <w:p>
      <w:pPr>
        <w:pStyle w:val="ListParagraph"/>
        <w:numPr>
          <w:ilvl w:val="0"/>
          <w:numId w:val="2"/>
        </w:numPr>
        <w:spacing w:after="40" w:before="40"/>
      </w:pPr>
      <w:r>
        <w:rPr>
          <w:rFonts w:ascii="Arial" w:cs="Arial" w:eastAsia="Arial" w:hAnsi="Arial"/>
          <w:sz w:val="20"/>
          <w:szCs w:val="20"/>
        </w:rPr>
        <w:t xml:space="preserve">DO NOT power off affected systems without explicit IR Lead authorisation — volatile memory (RAM) contains critical forensic artefacts that are lost on shutdown.</w:t>
      </w:r>
    </w:p>
    <w:p>
      <w:pPr>
        <w:pStyle w:val="ListParagraph"/>
        <w:numPr>
          <w:ilvl w:val="0"/>
          <w:numId w:val="2"/>
        </w:numPr>
        <w:spacing w:after="40" w:before="40"/>
      </w:pPr>
      <w:r>
        <w:rPr>
          <w:rFonts w:ascii="Arial" w:cs="Arial" w:eastAsia="Arial" w:hAnsi="Arial"/>
          <w:sz w:val="20"/>
          <w:szCs w:val="20"/>
        </w:rPr>
        <w:t xml:space="preserve">DO NOT delete, overwrite, or modify any logs, files, or configurations on affected systems.</w:t>
      </w:r>
    </w:p>
    <w:p>
      <w:pPr>
        <w:pStyle w:val="ListParagraph"/>
        <w:numPr>
          <w:ilvl w:val="0"/>
          <w:numId w:val="2"/>
        </w:numPr>
        <w:spacing w:after="40" w:before="40"/>
      </w:pPr>
      <w:r>
        <w:rPr>
          <w:rFonts w:ascii="Arial" w:cs="Arial" w:eastAsia="Arial" w:hAnsi="Arial"/>
          <w:sz w:val="20"/>
          <w:szCs w:val="20"/>
        </w:rPr>
        <w:t xml:space="preserve">DO document every action taken with a timestamp — time, action, who took it, and the result.</w:t>
      </w:r>
    </w:p>
    <w:p>
      <w:pPr>
        <w:pStyle w:val="ListParagraph"/>
        <w:numPr>
          <w:ilvl w:val="0"/>
          <w:numId w:val="2"/>
        </w:numPr>
        <w:spacing w:after="40" w:before="40"/>
      </w:pPr>
      <w:r>
        <w:rPr>
          <w:rFonts w:ascii="Arial" w:cs="Arial" w:eastAsia="Arial" w:hAnsi="Arial"/>
          <w:sz w:val="20"/>
          <w:szCs w:val="20"/>
        </w:rPr>
        <w:t xml:space="preserve">DO capture screenshots and export logs before any containment action that may alter system state.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Type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Preservation Method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Sentinel / SIEM logs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Export and archive incident-relevant log data from Sentinel immediately. Set log retention to maximum for the affected workspace. Note: Sentinel logs may auto-expire — export within 24 hours of detection.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Endpoint telemetry</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Export Defender for Endpoint advanced hunting results for the affected device. Use the 'Collect investigation package' feature to capture process tree, network connections, and registry artefacts.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Entra ID / M365 audit logs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Export Entra ID sign-in logs, audit logs, and unified audit log from Microsoft Purview Compliance Portal for the relevant period (minimum: 30 days prior to incident). Preserve in immutable storage.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Email artefacts</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For BEC or phishing: preserve the original email with full headers (eml format). Do not move or delete until IR Lead authorises. Use compliance search in M365 Purview to preserve relevant mailbox items.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PAM session recordings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For incidents involving privileged access: export PAM session recordings for the relevant accounts and time periods. These are primary forensic evidence for insider threat and account takeover scenarios.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Chain of custody</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Record the chain of custody for all evidence: what was collected, when, by whom, how it was stored, and who has accessed it. The Technical Lead maintains the evidence log throughout the investigation.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Legal hold</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If legal proceedings are anticipated (including regulatory enforcement action), the MD instructs that all potentially relevant evidence is placed under legal hold — no deletion, no overwrite, no modification. Engage legal counsel immediately.</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8.  PLAYBOOK 1 — Ransomware / Destructive Malware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7B0000" w:val="clear"/>
            <w:tcMar>
              <w:top w:type="dxa" w:w="140"/>
              <w:left w:type="dxa" w:w="240"/>
              <w:bottom w:type="dxa" w:w="140"/>
              <w:right w:type="dxa" w:w="240"/>
            </w:tcMar>
          </w:tcPr>
          <w:p>
            <w:pPr>
              <w:spacing w:after="40" w:before="0"/>
              <w:jc w:val="center"/>
            </w:pPr>
            <w:r>
              <w:rPr>
                <w:rFonts w:ascii="Arial" w:cs="Arial" w:eastAsia="Arial" w:hAnsi="Arial"/>
                <w:b/>
                <w:bCs/>
                <w:color w:val="FFFFFF"/>
                <w:sz w:val="18"/>
                <w:szCs w:val="18"/>
              </w:rPr>
              <w:t xml:space="preserve">PLAYBOOK</w:t>
            </w:r>
          </w:p>
          <w:p>
            <w:pPr>
              <w:spacing w:after="0" w:before="0"/>
              <w:jc w:val="center"/>
            </w:pPr>
            <w:r>
              <w:rPr>
                <w:rFonts w:ascii="Arial" w:cs="Arial" w:eastAsia="Arial" w:hAnsi="Arial"/>
                <w:b/>
                <w:bCs/>
                <w:color w:val="FFFFFF"/>
                <w:sz w:val="26"/>
                <w:szCs w:val="26"/>
              </w:rPr>
              <w:t xml:space="preserve">RANSOMWARE / DESTRUCTIVE MALWARE</w:t>
            </w:r>
          </w:p>
        </w:tc>
      </w:tr>
    </w:tbl>
    <w:p>
      <w:pPr>
        <w:spacing w:after="60" w:before="60"/>
      </w:pPr>
    </w:p>
    <w:p>
      <w:pPr>
        <w:spacing w:after="80" w:before="80"/>
        <w:jc w:val="left"/>
      </w:pPr>
      <w:r>
        <w:rPr>
          <w:rFonts w:ascii="Arial" w:cs="Arial" w:eastAsia="Arial" w:hAnsi="Arial"/>
          <w:b w:val="false"/>
          <w:bCs w:val="false"/>
          <w:color w:val="000000"/>
          <w:sz w:val="20"/>
          <w:szCs w:val="20"/>
        </w:rPr>
        <w:t xml:space="preserve">This playbook is triggered by: ransom note discovered; files encrypted with unknown extension; Defender alert for ransomware behaviour; Sentinel alert for mass file encryption; user reports files inaccessible across network shares.</w:t>
      </w:r>
    </w:p>
    <w:p>
      <w:pPr>
        <w:spacing w:after="60" w:before="60"/>
      </w:pPr>
    </w:p>
    <w:p>
      <w:pPr>
        <w:spacing w:after="80" w:before="80"/>
        <w:jc w:val="left"/>
      </w:pPr>
      <w:r>
        <w:rPr>
          <w:rFonts w:ascii="Arial" w:cs="Arial" w:eastAsia="Arial" w:hAnsi="Arial"/>
          <w:b/>
          <w:bCs/>
          <w:color w:val="C00000"/>
          <w:sz w:val="20"/>
          <w:szCs w:val="20"/>
        </w:rPr>
        <w:t xml:space="preserve">Default classification: P1 — Critical. Do NOT downgrade below P2 until encryption scope is confirmed as contained.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1 — IMMEDIATE (0–30 MINUTES)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STOP. Do not attempt to decrypt, delete, or remediate files independently. Call the IR Lead immediately.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Lead declares P1 incident. Assign INC reference. Notify MD by phone immediately.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identify the affected endpoint(s). In Defender portal → Devices → look for ransomware behaviour alerts. Note the first device flagged and the timestamp.</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ISOLATE affected device(s) immediately using Defender for Endpoint 'Isolate Device' action. This cuts network connectivity while preserving Defender telemetry.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check lateral spread — review Defender advanced hunting for the same ransomware signature across all enrolled devices. Identify scope.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NOT shut down, reboot, or wipe any affected system. Volatile memory may contain decryption keys.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Preserve evidence: export Sentinel incident, Defender device timeline, and process tree for affected devices.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are client environments affected? Review PAM access logs. If yes — escalate to MD immediately for client notification decision.</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2 — CONTAINMENT (30 MIN – 4 HOURS)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Isolate all affected devices and network segments. Disable affected user accounts in Entra ID.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the infection vector: review Defender process tree — what process dropped the ransomware? Email attachment? Malicious URL? Compromised credentials? RDP?</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Rotate ALL privileged credentials — immediately. Do not wait for scope confirmation.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Engage external IR retainer if internal forensic capability is insufficient (MD authorisation required).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Assess backup integrity: confirm most recent backup pre-dating encryption. Verify backup storage has not been compromised (check for encrypted backup files).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Lead: assess regulatory exposure — is personal data affected? If yes, start the 72-hour ICO clock NOW.</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incident log with containment actions, timestamps, and scope assessment.</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3 — ERADICATION &amp; RECOVERY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NOT attempt to recover from backup until the infection vector is confirmed and closed. Recovering into an active infection restarts the cycle.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Rebuild affected systems from known-clean images or from backups taken before the infection date. Do not restore from a backup that may itself be encrypted.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Re-deploy endpoints via Intune with clean configuration. Apply all outstanding patches before reconnecting to production.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 a full vulnerability scan of the environment before declaring recovery complete.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Re-enable user accounts with freshly rotated credentials and enforced MFA (phishing-resistant preferred).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Monitor environment intensively for 72 hours post-recovery using Sentinel. Treat any anomalous activity as a potential re-infection indicator.</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4 — COMMUNICATION &amp; POST-INCIDENT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communicates to affected clients per §6.2 — do not speculate on cause, scope, or attribution.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personal data was encrypted/exfiltrated: DPL manages ICO notification within 72 hours of awareness.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mandatory (P1). Complete within 5 working days of incident closure. Root cause must be identified.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 raised in ISMS-CAR-001 for any control failure identified. Risk register reviewed and updated.</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9.  PLAYBOOK 2 — Business Email Compromise (BEC)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ED7D31" w:val="clear"/>
            <w:tcMar>
              <w:top w:type="dxa" w:w="140"/>
              <w:left w:type="dxa" w:w="240"/>
              <w:bottom w:type="dxa" w:w="140"/>
              <w:right w:type="dxa" w:w="240"/>
            </w:tcMar>
          </w:tcPr>
          <w:p>
            <w:pPr>
              <w:spacing w:after="40" w:before="0"/>
              <w:jc w:val="center"/>
            </w:pPr>
            <w:r>
              <w:rPr>
                <w:rFonts w:ascii="Arial" w:cs="Arial" w:eastAsia="Arial" w:hAnsi="Arial"/>
                <w:b/>
                <w:bCs/>
                <w:color w:val="FFFFFF"/>
                <w:sz w:val="18"/>
                <w:szCs w:val="18"/>
              </w:rPr>
              <w:t xml:space="preserve">PLAYBOOK</w:t>
            </w:r>
          </w:p>
          <w:p>
            <w:pPr>
              <w:spacing w:after="0" w:before="0"/>
              <w:jc w:val="center"/>
            </w:pPr>
            <w:r>
              <w:rPr>
                <w:rFonts w:ascii="Arial" w:cs="Arial" w:eastAsia="Arial" w:hAnsi="Arial"/>
                <w:b/>
                <w:bCs/>
                <w:color w:val="FFFFFF"/>
                <w:sz w:val="26"/>
                <w:szCs w:val="26"/>
              </w:rPr>
              <w:t xml:space="preserve">BUSINESS EMAIL COMPROMISE (BEC)</w:t>
            </w:r>
          </w:p>
        </w:tc>
      </w:tr>
    </w:tbl>
    <w:p>
      <w:pPr>
        <w:spacing w:after="60" w:before="60"/>
      </w:pPr>
    </w:p>
    <w:p>
      <w:pPr>
        <w:spacing w:after="80" w:before="80"/>
        <w:jc w:val="left"/>
      </w:pPr>
      <w:r>
        <w:rPr>
          <w:rFonts w:ascii="Arial" w:cs="Arial" w:eastAsia="Arial" w:hAnsi="Arial"/>
          <w:b w:val="false"/>
          <w:bCs w:val="false"/>
          <w:color w:val="000000"/>
          <w:sz w:val="20"/>
          <w:szCs w:val="20"/>
        </w:rPr>
        <w:t xml:space="preserve">This playbook is triggered by: unexpected financial transfer request via email; email rule forwarding detected; inbox access from unusual geography; client or supplier reports receiving unusual requests from organisational email address; user reports not recognising sent emails.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1 — DETECTION &amp; CONTAINMENT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Lead declares incident. Classify as minimum P2. Assign INC reference. Notify MD.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in Entra ID — immediately check sign-in logs for the affected account. Look for: unfamiliar IP addresses, impossible travel, unusual sign-in times, successful MFA bypass.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account compromise is confirmed: DISABLE the account in Entra ID immediately. Do not just reset the password — disable first, then investigate.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check for inbox rules created by the threat actor (forwarding rules, delete rules, read-as-read rules). In M365 admin centre or via PowerShell: Get-InboxRule.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Remove any malicious inbox rules immediately. Export the rule configuration as evidence before deletion.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for OAuth application consent grants to the compromised account — revoke all third-party application consents.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unified audit log for all actions taken by the compromised account in the past 30 days.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were any emails sent impersonating the user to clients or suppliers? This is critical for financial fraud assessment.</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2 — SCOPE &amp; FINANCIAL EXPOSURE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and ISM: determine if any financial transfers, wire payments, or credential changes were requested or actioned from the compromised account. Contact the organisation's bank if transfers may have been initiated.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all recipients of emails from the compromised account during the suspected compromise window. Assess whether clients or suppliers may have acted on fraudulent instructions.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Notify affected clients and suppliers of the compromise. Advise them to verify any recent requests received from the compromised address by phone before acting.</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Assess personal data exposure: did the threat actor have access to emails containing personal data? If yes — DPL initiates GDPR breach assessment.</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3 — RECOVERY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Recreate account or re-enable with enforced phishing-resistant MFA (FIDO2/hardware key).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Brief the account holder on what occurred and what to watch for. Run targeted security awareness refresher.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all other accounts in the tenancy for similar indicators of compromise.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and tighten Conditional Access policies to reduce the attack surface that enabled this compromise.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focus on how the credential was compromised and why MFA did not prevent the takeover.</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10. PLAYBOOK 3 — Personal Data Breach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7030A0" w:val="clear"/>
            <w:tcMar>
              <w:top w:type="dxa" w:w="140"/>
              <w:left w:type="dxa" w:w="240"/>
              <w:bottom w:type="dxa" w:w="140"/>
              <w:right w:type="dxa" w:w="240"/>
            </w:tcMar>
          </w:tcPr>
          <w:p>
            <w:pPr>
              <w:spacing w:after="40" w:before="0"/>
              <w:jc w:val="center"/>
            </w:pPr>
            <w:r>
              <w:rPr>
                <w:rFonts w:ascii="Arial" w:cs="Arial" w:eastAsia="Arial" w:hAnsi="Arial"/>
                <w:b/>
                <w:bCs/>
                <w:color w:val="FFFFFF"/>
                <w:sz w:val="18"/>
                <w:szCs w:val="18"/>
              </w:rPr>
              <w:t xml:space="preserve">PLAYBOOK</w:t>
            </w:r>
          </w:p>
          <w:p>
            <w:pPr>
              <w:spacing w:after="0" w:before="0"/>
              <w:jc w:val="center"/>
            </w:pPr>
            <w:r>
              <w:rPr>
                <w:rFonts w:ascii="Arial" w:cs="Arial" w:eastAsia="Arial" w:hAnsi="Arial"/>
                <w:b/>
                <w:bCs/>
                <w:color w:val="FFFFFF"/>
                <w:sz w:val="26"/>
                <w:szCs w:val="26"/>
              </w:rPr>
              <w:t xml:space="preserve">PERSONAL DATA BREACH</w:t>
            </w:r>
          </w:p>
        </w:tc>
      </w:tr>
    </w:tbl>
    <w:p>
      <w:pPr>
        <w:spacing w:after="60" w:before="60"/>
      </w:pPr>
    </w:p>
    <w:p>
      <w:pPr>
        <w:spacing w:after="80" w:before="80"/>
        <w:jc w:val="left"/>
      </w:pPr>
      <w:r>
        <w:rPr>
          <w:rFonts w:ascii="Arial" w:cs="Arial" w:eastAsia="Arial" w:hAnsi="Arial"/>
          <w:b w:val="false"/>
          <w:bCs w:val="false"/>
          <w:color w:val="000000"/>
          <w:sz w:val="20"/>
          <w:szCs w:val="20"/>
        </w:rPr>
        <w:t xml:space="preserve">This playbook is triggered by: confirmed or suspected unauthorised access to, disclosure of, loss of, or destruction of personal data. Applies regardless of breach source (cyberattack, accidental disclosure, lost device, supplier breach).</w:t>
      </w:r>
    </w:p>
    <w:p>
      <w:pPr>
        <w:spacing w:after="60" w:before="60"/>
      </w:pPr>
    </w:p>
    <w:p>
      <w:pPr>
        <w:spacing w:after="80" w:before="80"/>
        <w:jc w:val="left"/>
      </w:pPr>
      <w:r>
        <w:rPr>
          <w:rFonts w:ascii="Arial" w:cs="Arial" w:eastAsia="Arial" w:hAnsi="Arial"/>
          <w:b/>
          <w:bCs/>
          <w:color w:val="C00000"/>
          <w:sz w:val="20"/>
          <w:szCs w:val="20"/>
        </w:rPr>
        <w:t xml:space="preserve">The 72-hour ICO notification clock starts when the organisation becomes aware of a likely breach — NOT when it is confirmed.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1 — IDENTIFICATION &amp; ASSESSMENT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 Lead declares incident. DPL activated immediately regardless of severity.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DPL: assess the four breach types — confidentiality breach (unauthorised disclosure); integrity breach (unauthorised modification); availability breach (accidental loss or destruction).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what categories of personal data are involved? How many individuals? Which clients or data subjects are affected? What is the likely impact on the individuals concerned?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DPL: apply the ICO risk assessment threshold — is the breach likely to result in a risk to the rights and freedoms of individuals? If YES or UNCERTAIN — notify ICO within 72 hours.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 the breach documentation record NOW. UK GDPR Art. 33(5) requires all breaches to be documented whether or not they are notified to the ICO.</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2 — CONTAINMENT &amp; NOTIFICATION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 the breach: revoke unauthorised access, retrieve disclosed documents where possible, disable accounts involved.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DPL: if notifiable — submit ICO notification at ico.org.uk/make-a-report. Can be submitted initially with partial information and supplemented within 30 days.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MD and DPL: if HIGH RISK to individuals — notify affected individuals without undue delay. Content: nature of breach, DPL contact details, likely consequences, measures taken. Do not include information that could worsen the risk.</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Notify affected clients who are acting as Data Controllers — they may have their own notification obligations.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 all notifications: who was notified, when, what was communicated, by whom.</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3 — RECOVERY &amp; LESSONS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and close any access pathways that enabled the breach.</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RoPA if the breach revealed undocumented processing activities.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identify root cause (human error, technical failure, process gap, third party). Feed into corrective action.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data classification and DLP controls to prevent recurrence.</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11. PLAYBOOK 4 — Account Takeover / Credential Compromise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1F7D8C" w:val="clear"/>
            <w:tcMar>
              <w:top w:type="dxa" w:w="140"/>
              <w:left w:type="dxa" w:w="240"/>
              <w:bottom w:type="dxa" w:w="140"/>
              <w:right w:type="dxa" w:w="240"/>
            </w:tcMar>
          </w:tcPr>
          <w:p>
            <w:pPr>
              <w:spacing w:after="40" w:before="0"/>
              <w:jc w:val="center"/>
            </w:pPr>
            <w:r>
              <w:rPr>
                <w:rFonts w:ascii="Arial" w:cs="Arial" w:eastAsia="Arial" w:hAnsi="Arial"/>
                <w:b/>
                <w:bCs/>
                <w:color w:val="FFFFFF"/>
                <w:sz w:val="18"/>
                <w:szCs w:val="18"/>
              </w:rPr>
              <w:t xml:space="preserve">PLAYBOOK</w:t>
            </w:r>
          </w:p>
          <w:p>
            <w:pPr>
              <w:spacing w:after="0" w:before="0"/>
              <w:jc w:val="center"/>
            </w:pPr>
            <w:r>
              <w:rPr>
                <w:rFonts w:ascii="Arial" w:cs="Arial" w:eastAsia="Arial" w:hAnsi="Arial"/>
                <w:b/>
                <w:bCs/>
                <w:color w:val="FFFFFF"/>
                <w:sz w:val="26"/>
                <w:szCs w:val="26"/>
              </w:rPr>
              <w:t xml:space="preserve">ACCOUNT TAKEOVER / CREDENTIAL COMPROMISE</w:t>
            </w:r>
          </w:p>
        </w:tc>
      </w:tr>
    </w:tbl>
    <w:p>
      <w:pPr>
        <w:spacing w:after="60" w:before="60"/>
      </w:pPr>
    </w:p>
    <w:p>
      <w:pPr>
        <w:spacing w:after="80" w:before="80"/>
        <w:jc w:val="left"/>
      </w:pPr>
      <w:r>
        <w:rPr>
          <w:rFonts w:ascii="Arial" w:cs="Arial" w:eastAsia="Arial" w:hAnsi="Arial"/>
          <w:b w:val="false"/>
          <w:bCs w:val="false"/>
          <w:color w:val="000000"/>
          <w:sz w:val="20"/>
          <w:szCs w:val="20"/>
        </w:rPr>
        <w:t xml:space="preserve">This playbook is triggered by: Entra ID Identity Protection alert (user at risk); Sentinel alert for impossible travel or anomalous sign-in; user reports password reset they didn't initiate; PAM alert for unusual privileged session; credential found in third-party breach database.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1 — TRIAGE &amp; CONTAINMENT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immediately review Entra ID sign-in logs for the flagged account. Look for: successful authentications from new/unusual IPs or locations; MFA fatigue patterns (repeated MFA push requests); token theft indicators.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active compromise is confirmed or strongly suspected: disable the account in Entra ID immediately. This revokes all active sessions and tokens.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Revoke all active refresh tokens for the account: in Entra ID admin centre → Revoke sessions. This invalidates all tokens even if the account is not disabled.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if the compromised account has privileged roles (Global Admin, Security Admin, etc.). If yes — treat as P1 immediately and notify MD.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PAM session logs: were any privileged sessions initiated under this account? If yes — review those sessions for malicious activity.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all systems and client environments accessible to the compromised credential. Assess blast radius.</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2 — INVESTIGATION &amp; RECOVERY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Determine the compromise vector: credential stuffing, phishing, MFA bypass, token theft (PRT/OAuth), or supply chain. This determines the remediation approach.</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token theft (PRT compromise) is suspected: device re-enrolment is required — password reset alone is insufficient.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Reset all credentials for the compromised account with a strong password. Enrol phishing-resistant MFA (FIDO2 preferred) before re-enabling the account.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all email rules, delegations, and OAuth consents for the compromised account. Remove anything suspicious.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for lateral movement: did the attacker use the compromised account to access other accounts or systems? Review Sentinel for correlating activity.</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Rotate credentials for any shared secrets the compromised account had access to.</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3 — POST-INCIDENT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focus on how the credential was obtained and whether MFA was bypassed or not enrolled.</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KPI-001 and KPI-002 (MFA coverage) — if this incident involved an account without MFA, that is a control failure requiring a CAR.</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Consider targeted phishing simulation for the affected user and any colleagues with similar access patterns.</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12. PLAYBOOK 5 — Cloud Misconfiguration / Exposure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2E75B6" w:val="clear"/>
            <w:tcMar>
              <w:top w:type="dxa" w:w="140"/>
              <w:left w:type="dxa" w:w="240"/>
              <w:bottom w:type="dxa" w:w="140"/>
              <w:right w:type="dxa" w:w="240"/>
            </w:tcMar>
          </w:tcPr>
          <w:p>
            <w:pPr>
              <w:spacing w:after="40" w:before="0"/>
              <w:jc w:val="center"/>
            </w:pPr>
            <w:r>
              <w:rPr>
                <w:rFonts w:ascii="Arial" w:cs="Arial" w:eastAsia="Arial" w:hAnsi="Arial"/>
                <w:b/>
                <w:bCs/>
                <w:color w:val="FFFFFF"/>
                <w:sz w:val="18"/>
                <w:szCs w:val="18"/>
              </w:rPr>
              <w:t xml:space="preserve">PLAYBOOK</w:t>
            </w:r>
          </w:p>
          <w:p>
            <w:pPr>
              <w:spacing w:after="0" w:before="0"/>
              <w:jc w:val="center"/>
            </w:pPr>
            <w:r>
              <w:rPr>
                <w:rFonts w:ascii="Arial" w:cs="Arial" w:eastAsia="Arial" w:hAnsi="Arial"/>
                <w:b/>
                <w:bCs/>
                <w:color w:val="FFFFFF"/>
                <w:sz w:val="26"/>
                <w:szCs w:val="26"/>
              </w:rPr>
              <w:t xml:space="preserve">CLOUD MISCONFIGURATION / DATA EXPOSURE</w:t>
            </w:r>
          </w:p>
        </w:tc>
      </w:tr>
    </w:tbl>
    <w:p>
      <w:pPr>
        <w:spacing w:after="60" w:before="60"/>
      </w:pPr>
    </w:p>
    <w:p>
      <w:pPr>
        <w:spacing w:after="80" w:before="80"/>
        <w:jc w:val="left"/>
      </w:pPr>
      <w:r>
        <w:rPr>
          <w:rFonts w:ascii="Arial" w:cs="Arial" w:eastAsia="Arial" w:hAnsi="Arial"/>
          <w:b w:val="false"/>
          <w:bCs w:val="false"/>
          <w:color w:val="000000"/>
          <w:sz w:val="20"/>
          <w:szCs w:val="20"/>
        </w:rPr>
        <w:t xml:space="preserve">This playbook is triggered by: Defender for Cloud Critical recommendation; Microsoft Secure Score anomalous drop; external notification of exposed resource (e.g. storage account publicly accessible); Sentinel alert for unusual data access pattern; Azure Policy non-compliance alert.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86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1 — ASSESS &amp; CONTAIN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Technical Lead: immediately confirm the nature and scope of the misconfiguration. Is data actively exposed? To the internet or just within the tenant? What type of data?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data is actively exposed to the internet: remediate the misconfiguration IMMEDIATELY without waiting for full investigation — restore the access control, then investigate. The exposure window must be closed first.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Preserve evidence before remediation: screenshot the configuration, export the Defender for Cloud alert, record the timestamp of earliest possible exposure.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Determine exposure window: when was the misconfiguration introduced? Check configuration change history in Azure Activity Log. This establishes the maximum duration of exposure.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Determine what data was in scope: review the storage account, blob container, database, or resource to understand data classification of exposed content.</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2 — IMPACT ASSESSMENT</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 anyone actually accessed the exposed data? Review Azure storage access logs, Sentinel data access alerts, and any unusual egress patterns. Absence of access logs does not confirm no access — logs may not be complete.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personal data was potentially exposed: DPL initiates GDPR breach assessment. Treat as a personal data breach (Playbook 3) for notification purposes.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client data was potentially exposed: MD and ISM notify the client per §6.2. Be transparent about the exposure window and what data was in scope — do not minimise.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for similar misconfigurations across other resources: CSPM review in Defender for Cloud. A systematic misconfiguration likely affects multiple resources.</w:t>
            </w:r>
          </w:p>
        </w:tc>
      </w:tr>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PHASE 3 — REMEDIATION &amp; CONTROLS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Apply the correct access controls. Enable private endpoints where public access is not required. Apply Azure Policy to prevent recurrence of the misconfiguration type.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the change management process: how was this misconfiguration introduced? Was it a change that bypassed the change management procedure?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w:t>
            </w:r>
          </w:p>
        </w:tc>
        <w:tc>
          <w:tcPr>
            <w:tcW w:type="dxa" w:w="8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assess whether the CSPM monitoring (OPS-007) should have detected this sooner. If the Secure Score alert was ignored or not actioned within SLA — that is a process failure.</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w:t>
            </w:r>
          </w:p>
        </w:tc>
        <w:tc>
          <w:tcPr>
            <w:tcW w:type="dxa" w:w="8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KPI-008 (Secure Score) in ISMS-MR-002 and review whether the misconfiguration was flagged and unactioned.</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13. Post-Incident Review (PIR)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A.5.27</w:t>
            </w:r>
          </w:p>
          <w:p>
            <w:pPr>
              <w:jc w:val="center"/>
            </w:pPr>
            <w:r>
              <w:rPr>
                <w:rFonts w:ascii="Arial" w:cs="Arial" w:eastAsia="Arial" w:hAnsi="Arial"/>
                <w:color w:val="D6E4F0"/>
                <w:sz w:val="14"/>
                <w:szCs w:val="14"/>
              </w:rPr>
              <w:t xml:space="preserve">Learning</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Learning from incidents is mandatory for all P1 and P2 incidents.</w:t>
            </w:r>
          </w:p>
        </w:tc>
      </w:tr>
    </w:tbl>
    <w:p>
      <w:pPr>
        <w:spacing w:after="60" w:before="60"/>
      </w:pPr>
    </w:p>
    <w:p>
      <w:pPr>
        <w:spacing w:after="80" w:before="80"/>
        <w:jc w:val="left"/>
      </w:pPr>
      <w:r>
        <w:rPr>
          <w:rFonts w:ascii="Arial" w:cs="Arial" w:eastAsia="Arial" w:hAnsi="Arial"/>
          <w:b w:val="false"/>
          <w:bCs w:val="false"/>
          <w:color w:val="000000"/>
          <w:sz w:val="20"/>
          <w:szCs w:val="20"/>
        </w:rPr>
        <w:t xml:space="preserve">Complete a copy of this template for each P1/P2 PIR. Save as INC-[ref]-PIR. The blank template remains here. PIR outputs must be actioned — findings feed ISMS-CAR-001 (control failures) and ISMS-CI-001 (improvements).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gridSpan w:val="2"/>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POST-INCIDENT REVIEW — PIR RECORD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Incident Reference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888888"/>
                <w:sz w:val="17"/>
                <w:szCs w:val="17"/>
              </w:rPr>
              <w:t xml:space="preserve">[INC-NNN]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Incident Title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888888"/>
                <w:sz w:val="17"/>
                <w:szCs w:val="17"/>
              </w:rPr>
              <w:t xml:space="preserve">[Brief descriptive title]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Classification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888888"/>
                <w:sz w:val="17"/>
                <w:szCs w:val="17"/>
              </w:rPr>
              <w:t xml:space="preserve">[P1 / P2]</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Date/Time Detected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Date/Time Contained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Date/Time Resolved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PIR Lead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ISM —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PIR Participants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PIR Date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Incident Summary</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Factual description of what occurred, how it was detected, and what impact was confirmed.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Detection — How was the incident detected?</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What tool/process/person detected it? Was it detected in a timely manner? Could it have been detected sooner?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Response — Was the response timely and effective?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Were SLAs met? Were the right people engaged promptly? Were the playbook steps followed? What worked well?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Root Cause Analysis</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Apply the 5-Why methodology. What is the underlying systemic cause — not just the immediate trigger?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Contributing Factors</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What process, technology, or human factors contributed to the incident occurring or to the impact being worse than it should have been?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Timeline (key events)</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List key events chronologically: detection, escalation, containment actions, notifications, recovery milestones.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Data Impact</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Was any data compromised? Classification: [None / Potential / Confirmed — Personal / Confidential / Internal]. ICO notified: [Y/N] Reference: [ICO ref]</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Client Impact</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Affected clients: [List]. Clients notified: [Y/N]. Notification date/time: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Control Failures Identified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List any controls that failed, were absent, or were insufficient. These generate CARs in ISMS-CAR-001.</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Improvement Opportunities</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List improvements that would prevent recurrence or reduce impact. These generate CI entries in ISMS-CI-001.</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Actions Agreed</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List specific actions with owner and target date. Reference ISMS-CAR-001 / ISMS-CI-001 entry numbers.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PIR Approved By</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Managing Director — Signature: ________________________     Date: ________________________</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14. Incident Log</w:t>
      </w:r>
    </w:p>
    <w:p>
      <w:pPr>
        <w:spacing w:after="80" w:before="80"/>
        <w:jc w:val="left"/>
      </w:pPr>
      <w:r>
        <w:rPr>
          <w:rFonts w:ascii="Arial" w:cs="Arial" w:eastAsia="Arial" w:hAnsi="Arial"/>
          <w:b w:val="false"/>
          <w:bCs w:val="false"/>
          <w:color w:val="000000"/>
          <w:sz w:val="20"/>
          <w:szCs w:val="20"/>
        </w:rPr>
        <w:t xml:space="preserve">This log is the master record of all security incidents. Every reported event — regardless of whether it is confirmed as an incident — is recorded here. The incident log is the primary Clause 9.1 monitoring evidence (KPI-009, KPI-010, KPI-011) and feeds management review input MRI-006.</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00"/>
        <w:gridCol w:w="900"/>
        <w:gridCol w:w="1700"/>
        <w:gridCol w:w="1200"/>
        <w:gridCol w:w="1400"/>
        <w:gridCol w:w="700"/>
        <w:gridCol w:w="96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 Ref</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 Detected</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Detected By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IR Lead</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PIR / CAR Ref</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3"/>
                <w:szCs w:val="13"/>
              </w:rPr>
              <w:t xml:space="preserve">INC-001</w:t>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02 Apr 2026</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P3 — Medium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Awareness / Training</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 security training completion below 95% target at 30-day mark. Platform deployment delayed. KPI-013 breached.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(KPI monitoring)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Open</w:t>
            </w:r>
          </w:p>
        </w:tc>
        <w:tc>
          <w:tcPr>
            <w:tcW w:type="dxa" w:w="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CAR-005</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15. Contact Directory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00000" w:sz="6"/>
              <w:left w:val="single" w:color="C00000" w:sz="6"/>
              <w:bottom w:val="single" w:color="C00000" w:sz="6"/>
              <w:right w:val="single" w:color="C00000" w:sz="6"/>
            </w:tcBorders>
            <w:shd w:fill="C00000" w:val="clear"/>
            <w:tcMar>
              <w:top w:type="dxa" w:w="100"/>
              <w:left w:type="dxa" w:w="200"/>
              <w:bottom w:type="dxa" w:w="100"/>
              <w:right w:type="dxa" w:w="200"/>
            </w:tcMar>
          </w:tcPr>
          <w:p>
            <w:pPr>
              <w:jc w:val="center"/>
            </w:pPr>
            <w:r>
              <w:rPr>
                <w:rFonts w:ascii="Arial" w:cs="Arial" w:eastAsia="Arial" w:hAnsi="Arial"/>
                <w:b/>
                <w:bCs/>
                <w:color w:val="FFFFFF"/>
                <w:sz w:val="17"/>
                <w:szCs w:val="17"/>
              </w:rPr>
              <w:t xml:space="preserve">RESTRICTED — CONFIDENTIAL CONTACT INFORMATION — NOT FOR WIDER DISTRIBUTION</w:t>
            </w:r>
          </w:p>
        </w:tc>
      </w:tr>
    </w:tbl>
    <w:p>
      <w:pPr>
        <w:spacing w:after="60" w:before="60"/>
      </w:pPr>
    </w:p>
    <w:p>
      <w:pPr>
        <w:pStyle w:val="Heading2"/>
        <w:spacing w:after="80" w:before="240"/>
      </w:pPr>
      <w:r>
        <w:rPr>
          <w:rFonts w:ascii="Arial" w:cs="Arial" w:eastAsia="Arial" w:hAnsi="Arial"/>
          <w:b/>
          <w:bCs/>
          <w:color w:val="2E75B6"/>
          <w:sz w:val="26"/>
          <w:szCs w:val="26"/>
        </w:rPr>
        <w:t xml:space="preserve">Internal IR Team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8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Mobile</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Email</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Information Security Manager</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[Name]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number]</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address]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Head of Technology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[Name]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number]</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address]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Managing Director</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[Name]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number]</w:t>
            </w:r>
          </w:p>
        </w:tc>
        <w:tc>
          <w:tcPr>
            <w:tcW w:type="dxa" w:w="2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address]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Data Protection Lead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[Name]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[Mobile number]</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[Email address]</w:t>
            </w:r>
          </w:p>
        </w:tc>
      </w:tr>
    </w:tbl>
    <w:p>
      <w:pPr>
        <w:spacing w:after="120" w:before="120"/>
      </w:pPr>
    </w:p>
    <w:p>
      <w:pPr>
        <w:pStyle w:val="Heading2"/>
        <w:spacing w:after="80" w:before="240"/>
      </w:pPr>
      <w:r>
        <w:rPr>
          <w:rFonts w:ascii="Arial" w:cs="Arial" w:eastAsia="Arial" w:hAnsi="Arial"/>
          <w:b/>
          <w:bCs/>
          <w:color w:val="2E75B6"/>
          <w:sz w:val="26"/>
          <w:szCs w:val="26"/>
        </w:rPr>
        <w:t xml:space="preserve">External IR and Regulatory Contacts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Contact / Reference</w:t>
            </w:r>
          </w:p>
        </w:tc>
        <w:tc>
          <w:tcPr>
            <w:tcW w:type="dxa" w:w="4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External IR Retainer</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[Provider] [24/7 hotline]</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[Retainer reference number] — Engage for P1/P2 incidents requiring forensic capability beyond internal resource. MD authorisation required.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ICO (Data Protection)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0303 123 1113</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Report personal data breaches at ico.org.uk/make-a-report. 72-hour notification applies from point of awareness.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NCSC Incident Reporting</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report@ncsc.gov.uk</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Report significant cyber incidents to the NCSC. Mandatory for operators of essential services; strongly recommended for all organisations.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Action Fraud (Financial Crime)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0300 123 2040 / actionfraud.police.uk</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Report cybercrime and fraud. Relevant for BEC, ransomware payments, and financial crime incidents.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Legal Counsel</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[Firm] [Direct number]</w:t>
            </w:r>
          </w:p>
        </w:tc>
        <w:tc>
          <w:tcPr>
            <w:tcW w:type="dxa" w:w="4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Engage for P1 incidents where legal proceedings, regulatory action, or contractual liability may arise. Establishes legal professional privilege for communications.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Cyber Insurance Broker</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[Broker] [Claims line]</w:t>
            </w:r>
          </w:p>
        </w:tc>
        <w:tc>
          <w:tcPr>
            <w:tcW w:type="dxa" w:w="4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Notify insurer within the policy notification window for P1/P2 incidents. Policy conditions typically require prompt notification. Non-notification can void coverage.</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16. Linkage and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 Risk Register</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ISK-001 (ransomware), ISK-002 (phishing/BEC), ISK-004 (data breach), ISK-007 (insider), ISK-011 (IR adequacy) — all treated by this plan.</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ISMS-CAR-001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control failures generate CARs. CAR-004 (this plan's absence) is closed by production of this document.</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ISMS-CI-001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Continual Improvement</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improvement opportunities generate CI entries.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ISMS-BCP-001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Continuity Plan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Recovery from P1 incidents (ransomware, major outage) invokes BCP. RTO/RPO targets govern recovery timelines.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ISMS-RoPA-001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Record of Processing Activities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Personal data breach assessment requires knowledge of what personal data is processed and where. Breach register maintained as annex to RoPA.</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ISMS-OPS-001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 (Clause 8)</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OPS-004 (SIEM triage) and OPS-005 (IR) are the operational processes this plan governs. MTTD/MTTR KPIs in KPI-009/010.</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ISMS-PEV-001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 Evaluation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KPI-009/010/011/012 are incident management KPIs. Incident data feeds MRI-006 and MRI-007 at management review.</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ISMS-SoA-001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Applicability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A.5.24–A.5.28 are all included in the SoA. This document is the primary implementation evidence for those controls.</w:t>
            </w:r>
          </w:p>
        </w:tc>
      </w:tr>
    </w:tbl>
    <w:p>
      <w:pPr>
        <w:spacing w:after="80" w:before="240"/>
      </w:pPr>
    </w:p>
    <w:p>
      <w:pPr>
        <w:spacing w:after="0" w:before="120"/>
      </w:pPr>
      <w:r>
        <w:rPr>
          <w:rFonts w:ascii="Arial" w:cs="Arial" w:eastAsia="Arial" w:hAnsi="Arial"/>
          <w:color w:val="C00000"/>
          <w:sz w:val="14"/>
          <w:szCs w:val="14"/>
        </w:rPr>
        <w:t xml:space="preserve">END OF DOCUMENT — ISMS-IRP-001 v1.0  |  CONFIDENTIAL  |  HANDLE WITH CARE</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6" w:space="4"/>
      </w:pBdr>
      <w:tabs>
        <w:tab w:val="center" w:pos="4680"/>
        <w:tab w:val="right" w:pos="9026"/>
      </w:tabs>
      <w:spacing w:before="120"/>
    </w:pPr>
    <w:r>
      <w:rPr>
        <w:rFonts w:ascii="Arial" w:cs="Arial" w:eastAsia="Arial" w:hAnsi="Arial"/>
        <w:b/>
        <w:bCs/>
        <w:color w:val="C00000"/>
        <w:sz w:val="16"/>
        <w:szCs w:val="16"/>
      </w:rPr>
      <w:t xml:space="preserve">CONFIDENTIAL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4"/>
      </w:pBdr>
      <w:tabs>
        <w:tab w:val="right" w:pos="9026"/>
      </w:tabs>
      <w:spacing w:after="120"/>
    </w:pPr>
    <w:r>
      <w:rPr>
        <w:rFonts w:ascii="Arial" w:cs="Arial" w:eastAsia="Arial" w:hAnsi="Arial"/>
        <w:b/>
        <w:bCs/>
        <w:color w:val="1F3864"/>
        <w:sz w:val="18"/>
        <w:szCs w:val="18"/>
      </w:rPr>
      <w:t xml:space="preserve">Apex Managed Services Ltd — Incident Response Plan</w:t>
    </w:r>
    <w:r>
      <w:rPr>
        <w:rFonts w:ascii="Arial" w:cs="Arial" w:eastAsia="Arial" w:hAnsi="Arial"/>
        <w:b/>
        <w:bCs/>
        <w:color w:val="C00000"/>
        <w:sz w:val="16"/>
        <w:szCs w:val="16"/>
      </w:rPr>
      <w:t xml:space="preserve">	ISMS-IRP-001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2026-04-03T09:27:23.688Z</dcterms:created>
  <dcterms:modified xsi:type="dcterms:W3CDTF">2026-04-03T09:27:23.689Z</dcterms:modified>
</cp:coreProperties>
</file>

<file path=docProps/custom.xml><?xml version="1.0" encoding="utf-8"?>
<Properties xmlns="http://schemas.openxmlformats.org/officeDocument/2006/custom-properties" xmlns:vt="http://schemas.openxmlformats.org/officeDocument/2006/docPropsVTypes"/>
</file>