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2E75B6" w:sz="18" w:space="4"/>
        </w:pBdr>
        <w:spacing w:after="240" w:before="0"/>
        <w:jc w:val="center"/>
      </w:pPr>
      <w:r>
        <w:rPr>
          <w:rFonts w:ascii="Arial" w:cs="Arial" w:eastAsia="Arial" w:hAnsi="Arial"/>
          <w:b/>
          <w:bCs/>
          <w:color w:val="1F3864"/>
          <w:sz w:val="52"/>
          <w:szCs w:val="52"/>
        </w:rPr>
        <w:t xml:space="preserve">Apex Managed Services Ltd</w:t>
      </w:r>
    </w:p>
    <w:p>
      <w:pPr>
        <w:spacing w:after="120" w:before="240"/>
        <w:jc w:val="center"/>
      </w:pPr>
      <w:r>
        <w:rPr>
          <w:rFonts w:ascii="Arial" w:cs="Arial" w:eastAsia="Arial" w:hAnsi="Arial"/>
          <w:color w:val="404040"/>
          <w:sz w:val="32"/>
          <w:szCs w:val="32"/>
        </w:rPr>
        <w:t xml:space="preserve">Information Security Management System</w:t>
      </w:r>
    </w:p>
    <w:p>
      <w:pPr>
        <w:spacing w:after="120" w:before="0"/>
        <w:jc w:val="center"/>
      </w:pPr>
      <w:r>
        <w:rPr>
          <w:rFonts w:ascii="Arial" w:cs="Arial" w:eastAsia="Arial" w:hAnsi="Arial"/>
          <w:b/>
          <w:bCs/>
          <w:color w:val="2E75B6"/>
          <w:sz w:val="42"/>
          <w:szCs w:val="42"/>
        </w:rPr>
        <w:t xml:space="preserve">Leadership, Policy and Roles</w:t>
      </w:r>
    </w:p>
    <w:p>
      <w:pPr>
        <w:spacing w:after="480" w:before="0"/>
        <w:jc w:val="center"/>
      </w:pPr>
      <w:r>
        <w:rPr>
          <w:rFonts w:ascii="Arial" w:cs="Arial" w:eastAsia="Arial" w:hAnsi="Arial"/>
          <w:color w:val="404040"/>
          <w:sz w:val="24"/>
          <w:szCs w:val="24"/>
        </w:rPr>
        <w:t xml:space="preserve">ISO/IEC 27001:2022 — Clauses 5.1, 5.2, and 5.3</w:t>
      </w:r>
    </w:p>
    <w:p>
      <w:pPr>
        <w:spacing w:after="80" w:before="0"/>
        <w:jc w:val="center"/>
      </w:pPr>
      <w:r>
        <w:rPr>
          <w:rFonts w:ascii="Arial" w:cs="Arial" w:eastAsia="Arial" w:hAnsi="Arial"/>
          <w:color w:val="888888"/>
          <w:sz w:val="20"/>
          <w:szCs w:val="20"/>
        </w:rPr>
        <w:t xml:space="preserve">ISMS-LDR-001  |  Version 1.0  |  02 April 2026</w:t>
      </w:r>
    </w:p>
    <w:p>
      <w:pPr>
        <w:spacing w:after="600" w:before="0"/>
        <w:jc w:val="center"/>
      </w:pPr>
      <w:r>
        <w:rPr>
          <w:rFonts w:ascii="Arial" w:cs="Arial" w:eastAsia="Arial" w:hAnsi="Arial"/>
          <w:b/>
          <w:bCs/>
          <w:color w:val="2E75B6"/>
          <w:sz w:val="22"/>
          <w:szCs w:val="22"/>
        </w:rPr>
        <w:t xml:space="preserve">INTERNAL</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Document Control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1800"/>
        <w:gridCol w:w="12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ISMS-LDR-001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Leadership, Policy and Roles — Clauses 5.1 to 5.3</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Frequency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 triggered</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Clauses</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5.1, 5.2, 5.3</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20" w:before="120"/>
      </w:pPr>
    </w:p>
    <w:p>
      <w:pPr>
        <w:pStyle w:val="Heading2"/>
        <w:spacing w:after="80" w:before="240"/>
      </w:pPr>
      <w:r>
        <w:rPr>
          <w:rFonts w:ascii="Arial" w:cs="Arial" w:eastAsia="Arial" w:hAnsi="Arial"/>
          <w:b/>
          <w:bCs/>
          <w:color w:val="2E75B6"/>
          <w:sz w:val="26"/>
          <w:szCs w:val="26"/>
        </w:rPr>
        <w:t xml:space="preserve">Document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Reviewed By</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 (Top Management)</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pPr>
        <w:pStyle w:val="Heading2"/>
        <w:spacing w:after="80" w:before="240"/>
      </w:pPr>
      <w:r>
        <w:rPr>
          <w:rFonts w:ascii="Arial" w:cs="Arial" w:eastAsia="Arial" w:hAnsi="Arial"/>
          <w:b/>
          <w:bCs/>
          <w:color w:val="2E75B6"/>
          <w:sz w:val="26"/>
          <w:szCs w:val="26"/>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23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covering ISO 27001:2022 Clauses 5.1, 5.2, and 5.3.</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w:t>
            </w:r>
          </w:p>
        </w:tc>
      </w:tr>
    </w:tbl>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Contents</w:t>
      </w:r>
    </w:p>
    <w:p>
      <w:pPr>
        <w:spacing w:after="80" w:before="80"/>
        <w:jc w:val="left"/>
      </w:pPr>
      <w:r>
        <w:rPr>
          <w:rFonts w:ascii="Arial" w:cs="Arial" w:eastAsia="Arial" w:hAnsi="Arial"/>
          <w:b w:val="false"/>
          <w:bCs w:val="false"/>
          <w:color w:val="000000"/>
          <w:sz w:val="20"/>
          <w:szCs w:val="20"/>
        </w:rPr>
        <w:t xml:space="preserve">1.  Purpose</w:t>
      </w:r>
    </w:p>
    <w:p>
      <w:pPr>
        <w:spacing w:after="80" w:before="80"/>
        <w:jc w:val="left"/>
      </w:pPr>
      <w:r>
        <w:rPr>
          <w:rFonts w:ascii="Arial" w:cs="Arial" w:eastAsia="Arial" w:hAnsi="Arial"/>
          <w:b w:val="false"/>
          <w:bCs w:val="false"/>
          <w:color w:val="000000"/>
          <w:sz w:val="20"/>
          <w:szCs w:val="20"/>
        </w:rPr>
        <w:t xml:space="preserve">2.  Scope of Application</w:t>
      </w:r>
    </w:p>
    <w:p>
      <w:pPr>
        <w:spacing w:after="80" w:before="80"/>
        <w:jc w:val="left"/>
      </w:pPr>
      <w:r>
        <w:rPr>
          <w:rFonts w:ascii="Arial" w:cs="Arial" w:eastAsia="Arial" w:hAnsi="Arial"/>
          <w:b w:val="false"/>
          <w:bCs w:val="false"/>
          <w:color w:val="000000"/>
          <w:sz w:val="20"/>
          <w:szCs w:val="20"/>
        </w:rPr>
        <w:t xml:space="preserve">3.  Clause 5.1 — Leadership and Commitment</w:t>
      </w:r>
    </w:p>
    <w:p>
      <w:pPr>
        <w:spacing w:after="80" w:before="80"/>
        <w:jc w:val="left"/>
      </w:pPr>
      <w:r>
        <w:rPr>
          <w:rFonts w:ascii="Arial" w:cs="Arial" w:eastAsia="Arial" w:hAnsi="Arial"/>
          <w:b w:val="false"/>
          <w:bCs w:val="false"/>
          <w:color w:val="000000"/>
          <w:sz w:val="20"/>
          <w:szCs w:val="20"/>
        </w:rPr>
        <w:t xml:space="preserve">    3.1  Leadership Commitment Register</w:t>
      </w:r>
    </w:p>
    <w:p>
      <w:pPr>
        <w:spacing w:after="80" w:before="80"/>
        <w:jc w:val="left"/>
      </w:pPr>
      <w:r>
        <w:rPr>
          <w:rFonts w:ascii="Arial" w:cs="Arial" w:eastAsia="Arial" w:hAnsi="Arial"/>
          <w:b w:val="false"/>
          <w:bCs w:val="false"/>
          <w:color w:val="000000"/>
          <w:sz w:val="20"/>
          <w:szCs w:val="20"/>
        </w:rPr>
        <w:t xml:space="preserve">    3.2  Management Review Schedule</w:t>
      </w:r>
    </w:p>
    <w:p>
      <w:pPr>
        <w:spacing w:after="80" w:before="80"/>
        <w:jc w:val="left"/>
      </w:pPr>
      <w:r>
        <w:rPr>
          <w:rFonts w:ascii="Arial" w:cs="Arial" w:eastAsia="Arial" w:hAnsi="Arial"/>
          <w:b w:val="false"/>
          <w:bCs w:val="false"/>
          <w:color w:val="000000"/>
          <w:sz w:val="20"/>
          <w:szCs w:val="20"/>
        </w:rPr>
        <w:t xml:space="preserve">4.  Clause 5.2 — Information Security Policy</w:t>
      </w:r>
    </w:p>
    <w:p>
      <w:pPr>
        <w:spacing w:after="80" w:before="80"/>
        <w:jc w:val="left"/>
      </w:pPr>
      <w:r>
        <w:rPr>
          <w:rFonts w:ascii="Arial" w:cs="Arial" w:eastAsia="Arial" w:hAnsi="Arial"/>
          <w:b w:val="false"/>
          <w:bCs w:val="false"/>
          <w:color w:val="000000"/>
          <w:sz w:val="20"/>
          <w:szCs w:val="20"/>
        </w:rPr>
        <w:t xml:space="preserve">    4.1  Policy Statement</w:t>
      </w:r>
    </w:p>
    <w:p>
      <w:pPr>
        <w:spacing w:after="80" w:before="80"/>
        <w:jc w:val="left"/>
      </w:pPr>
      <w:r>
        <w:rPr>
          <w:rFonts w:ascii="Arial" w:cs="Arial" w:eastAsia="Arial" w:hAnsi="Arial"/>
          <w:b w:val="false"/>
          <w:bCs w:val="false"/>
          <w:color w:val="000000"/>
          <w:sz w:val="20"/>
          <w:szCs w:val="20"/>
        </w:rPr>
        <w:t xml:space="preserve">    4.2  Information Security Objectives Framework</w:t>
      </w:r>
    </w:p>
    <w:p>
      <w:pPr>
        <w:spacing w:after="80" w:before="80"/>
        <w:jc w:val="left"/>
      </w:pPr>
      <w:r>
        <w:rPr>
          <w:rFonts w:ascii="Arial" w:cs="Arial" w:eastAsia="Arial" w:hAnsi="Arial"/>
          <w:b w:val="false"/>
          <w:bCs w:val="false"/>
          <w:color w:val="000000"/>
          <w:sz w:val="20"/>
          <w:szCs w:val="20"/>
        </w:rPr>
        <w:t xml:space="preserve">    4.3  Policy Communication and Availability</w:t>
      </w:r>
    </w:p>
    <w:p>
      <w:pPr>
        <w:spacing w:after="80" w:before="80"/>
        <w:jc w:val="left"/>
      </w:pPr>
      <w:r>
        <w:rPr>
          <w:rFonts w:ascii="Arial" w:cs="Arial" w:eastAsia="Arial" w:hAnsi="Arial"/>
          <w:b w:val="false"/>
          <w:bCs w:val="false"/>
          <w:color w:val="000000"/>
          <w:sz w:val="20"/>
          <w:szCs w:val="20"/>
        </w:rPr>
        <w:t xml:space="preserve">5.  Clause 5.3 — Organisational Roles, Responsibilities and Authorities</w:t>
      </w:r>
    </w:p>
    <w:p>
      <w:pPr>
        <w:spacing w:after="80" w:before="80"/>
        <w:jc w:val="left"/>
      </w:pPr>
      <w:r>
        <w:rPr>
          <w:rFonts w:ascii="Arial" w:cs="Arial" w:eastAsia="Arial" w:hAnsi="Arial"/>
          <w:b w:val="false"/>
          <w:bCs w:val="false"/>
          <w:color w:val="000000"/>
          <w:sz w:val="20"/>
          <w:szCs w:val="20"/>
        </w:rPr>
        <w:t xml:space="preserve">    5.1  ISMS Role Definitions</w:t>
      </w:r>
    </w:p>
    <w:p>
      <w:pPr>
        <w:spacing w:after="80" w:before="80"/>
        <w:jc w:val="left"/>
      </w:pPr>
      <w:r>
        <w:rPr>
          <w:rFonts w:ascii="Arial" w:cs="Arial" w:eastAsia="Arial" w:hAnsi="Arial"/>
          <w:b w:val="false"/>
          <w:bCs w:val="false"/>
          <w:color w:val="000000"/>
          <w:sz w:val="20"/>
          <w:szCs w:val="20"/>
        </w:rPr>
        <w:t xml:space="preserve">    5.2  Role Assignment Register</w:t>
      </w:r>
    </w:p>
    <w:p>
      <w:pPr>
        <w:spacing w:after="80" w:before="80"/>
        <w:jc w:val="left"/>
      </w:pPr>
      <w:r>
        <w:rPr>
          <w:rFonts w:ascii="Arial" w:cs="Arial" w:eastAsia="Arial" w:hAnsi="Arial"/>
          <w:b w:val="false"/>
          <w:bCs w:val="false"/>
          <w:color w:val="000000"/>
          <w:sz w:val="20"/>
          <w:szCs w:val="20"/>
        </w:rPr>
        <w:t xml:space="preserve">6.  RACI Matrix</w:t>
      </w:r>
    </w:p>
    <w:p>
      <w:pPr>
        <w:spacing w:after="80" w:before="80"/>
        <w:jc w:val="left"/>
      </w:pPr>
      <w:r>
        <w:rPr>
          <w:rFonts w:ascii="Arial" w:cs="Arial" w:eastAsia="Arial" w:hAnsi="Arial"/>
          <w:b w:val="false"/>
          <w:bCs w:val="false"/>
          <w:color w:val="000000"/>
          <w:sz w:val="20"/>
          <w:szCs w:val="20"/>
        </w:rPr>
        <w:t xml:space="preserve">7.  Linkage to Other ISMS Documents</w:t>
      </w:r>
    </w:p>
    <w:p>
      <w:pPr>
        <w:spacing w:after="80" w:before="80"/>
        <w:jc w:val="left"/>
      </w:pPr>
      <w:r>
        <w:rPr>
          <w:rFonts w:ascii="Arial" w:cs="Arial" w:eastAsia="Arial" w:hAnsi="Arial"/>
          <w:b w:val="false"/>
          <w:bCs w:val="false"/>
          <w:color w:val="000000"/>
          <w:sz w:val="20"/>
          <w:szCs w:val="20"/>
        </w:rPr>
        <w:t xml:space="preserve">8.  Review and Maintenance</w:t>
      </w:r>
    </w:p>
    <w:p>
      <w:pPr>
        <w:spacing w:after="80" w:before="80"/>
        <w:jc w:val="left"/>
      </w:pPr>
      <w:r>
        <w:rPr>
          <w:rFonts w:ascii="Arial" w:cs="Arial" w:eastAsia="Arial" w:hAnsi="Arial"/>
          <w:b w:val="false"/>
          <w:bCs w:val="false"/>
          <w:color w:val="000000"/>
          <w:sz w:val="20"/>
          <w:szCs w:val="20"/>
        </w:rPr>
        <w:t xml:space="preserve">9.  References</w:t>
      </w:r>
    </w:p>
    <w:p>
      <w:pPr>
        <w:spacing w:after="60" w:before="60"/>
      </w:pPr>
    </w:p>
    <w:p>
      <w:pPr>
        <w:spacing w:after="80" w:before="80"/>
        <w:jc w:val="left"/>
      </w:pPr>
      <w:r>
        <w:rPr>
          <w:rFonts w:ascii="Arial" w:cs="Arial" w:eastAsia="Arial" w:hAnsi="Arial"/>
          <w:b w:val="false"/>
          <w:bCs w:val="false"/>
          <w:color w:val="888888"/>
          <w:sz w:val="18"/>
          <w:szCs w:val="18"/>
        </w:rPr>
        <w:t xml:space="preserve">Note: Update this page manually or use Word's built-in TOC feature after opening.</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 Purpose</w:t>
      </w:r>
    </w:p>
    <w:p>
      <w:pPr>
        <w:spacing w:after="80" w:before="80"/>
        <w:jc w:val="left"/>
      </w:pPr>
      <w:r>
        <w:rPr>
          <w:rFonts w:ascii="Arial" w:cs="Arial" w:eastAsia="Arial" w:hAnsi="Arial"/>
          <w:b w:val="false"/>
          <w:bCs w:val="false"/>
          <w:color w:val="000000"/>
          <w:sz w:val="20"/>
          <w:szCs w:val="20"/>
        </w:rPr>
        <w:t xml:space="preserve">This document constitutes the ISMS Leadership, Policy and Roles document for Apex Managed Services Ltd and provides the consolidated documented evidence required by ISO/IEC 27001:2022 Clause 5 — Leadership. It addresses the three sub-clauses of Clause 5 as follows:</w:t>
      </w:r>
    </w:p>
    <w:p>
      <w:pPr>
        <w:spacing w:after="60" w:before="60"/>
      </w:pPr>
    </w:p>
    <w:p>
      <w:pPr>
        <w:pStyle w:val="ListParagraph"/>
        <w:numPr>
          <w:ilvl w:val="0"/>
          <w:numId w:val="2"/>
        </w:numPr>
        <w:spacing w:after="40" w:before="40"/>
      </w:pPr>
      <w:r>
        <w:rPr>
          <w:rFonts w:ascii="Arial" w:cs="Arial" w:eastAsia="Arial" w:hAnsi="Arial"/>
          <w:sz w:val="20"/>
          <w:szCs w:val="20"/>
        </w:rPr>
        <w:t xml:space="preserve">Clause 5.1 — Demonstrates top management's leadership and commitment to the ISMS through a structured commitment register evidencing each of the eight requirements.</w:t>
      </w:r>
    </w:p>
    <w:p>
      <w:pPr>
        <w:pStyle w:val="ListParagraph"/>
        <w:numPr>
          <w:ilvl w:val="0"/>
          <w:numId w:val="2"/>
        </w:numPr>
        <w:spacing w:after="40" w:before="40"/>
      </w:pPr>
      <w:r>
        <w:rPr>
          <w:rFonts w:ascii="Arial" w:cs="Arial" w:eastAsia="Arial" w:hAnsi="Arial"/>
          <w:sz w:val="20"/>
          <w:szCs w:val="20"/>
        </w:rPr>
        <w:t xml:space="preserve">Clause 5.2 — Establishes the formal Information Security Policy of the organisation, meeting all requirements for content, documentation, communication, and availability.</w:t>
      </w:r>
    </w:p>
    <w:p>
      <w:pPr>
        <w:pStyle w:val="ListParagraph"/>
        <w:numPr>
          <w:ilvl w:val="0"/>
          <w:numId w:val="2"/>
        </w:numPr>
        <w:spacing w:after="40" w:before="40"/>
      </w:pPr>
      <w:r>
        <w:rPr>
          <w:rFonts w:ascii="Arial" w:cs="Arial" w:eastAsia="Arial" w:hAnsi="Arial"/>
          <w:sz w:val="20"/>
          <w:szCs w:val="20"/>
        </w:rPr>
        <w:t xml:space="preserve">Clause 5.3 — Defines organisational roles, responsibilities, and authorities relevant to information security, ensuring they are assigned and communicated within the organisation.</w:t>
      </w:r>
    </w:p>
    <w:p>
      <w:pPr>
        <w:spacing w:after="60" w:before="60"/>
      </w:pPr>
    </w:p>
    <w:p>
      <w:pPr>
        <w:spacing w:after="80" w:before="80"/>
        <w:jc w:val="left"/>
      </w:pPr>
      <w:r>
        <w:rPr>
          <w:rFonts w:ascii="Arial" w:cs="Arial" w:eastAsia="Arial" w:hAnsi="Arial"/>
          <w:b w:val="false"/>
          <w:bCs w:val="false"/>
          <w:color w:val="000000"/>
          <w:sz w:val="20"/>
          <w:szCs w:val="20"/>
        </w:rPr>
        <w:t xml:space="preserve">This document is owned by the Managing Director as top management and is reviewed at minimum annually at the ISMS Management Review. The Information Security Policy contained within Section 4 of this document is the organisation's formal, published policy for the purposes of ISO 27001:2022 Clause 5.2(e).</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2. Scope of Application</w:t>
      </w:r>
    </w:p>
    <w:p>
      <w:pPr>
        <w:spacing w:after="80" w:before="80"/>
        <w:jc w:val="left"/>
      </w:pPr>
      <w:r>
        <w:rPr>
          <w:rFonts w:ascii="Arial" w:cs="Arial" w:eastAsia="Arial" w:hAnsi="Arial"/>
          <w:b w:val="false"/>
          <w:bCs w:val="false"/>
          <w:color w:val="000000"/>
          <w:sz w:val="20"/>
          <w:szCs w:val="20"/>
        </w:rPr>
        <w:t xml:space="preserve">This document applies to all personnel (employees and contractors) of Apex Managed Services Ltd operating within the ISMS scope as defined in ISMS-CTX-001. The information security policy contained herein applies to all activities, systems, and information assets within that scope. Leadership commitments documented herein bind top management to the ongoing operation, maintenance, and improvement of the ISMS.</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3. Clause 5.1 — Leadership and Commitment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5.1</w:t>
            </w:r>
          </w:p>
          <w:p>
            <w:pPr>
              <w:jc w:val="center"/>
            </w:pPr>
            <w:r>
              <w:rPr>
                <w:rFonts w:ascii="Arial" w:cs="Arial" w:eastAsia="Arial" w:hAnsi="Arial"/>
                <w:color w:val="D6E4F0"/>
                <w:sz w:val="14"/>
                <w:szCs w:val="14"/>
              </w:rPr>
              <w:t xml:space="preserve">Leadership</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Top management shall demonstrate leadership and commitment with respect to the ISMS by meeting eight specific requirements (a) through (h).</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ISO 27001:2022 Clause 5.1 requires top management to actively demonstrate leadership and commitment — not merely to endorse the ISMS in principle. The commitment register below documents how each of the eight requirements is met at Apex Managed Services Ltd, the specific mechanisms through which commitment is demonstrated, and the evidence available to support this during audit.</w:t>
      </w:r>
    </w:p>
    <w:p>
      <w:pPr>
        <w:spacing w:after="120" w:before="120"/>
      </w:pPr>
    </w:p>
    <w:p>
      <w:pPr>
        <w:pStyle w:val="Heading2"/>
        <w:spacing w:after="80" w:before="240"/>
      </w:pPr>
      <w:r>
        <w:rPr>
          <w:rFonts w:ascii="Arial" w:cs="Arial" w:eastAsia="Arial" w:hAnsi="Arial"/>
          <w:b/>
          <w:bCs/>
          <w:color w:val="2E75B6"/>
          <w:sz w:val="26"/>
          <w:szCs w:val="26"/>
        </w:rPr>
        <w:t xml:space="preserve">3.1 Leadership Commitment Register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160"/>
        <w:gridCol w:w="1500"/>
        <w:gridCol w:w="1400"/>
      </w:tblGrid>
      <w:tr>
        <w:trPr>
          <w:tblHeader/>
        </w:trPr>
        <w:tc>
          <w:tcPr>
            <w:tcW w:type="dxa" w:w="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Leadership Commitment (Clause 5.1)</w:t>
            </w:r>
          </w:p>
        </w:tc>
        <w:tc>
          <w:tcPr>
            <w:tcW w:type="dxa" w:w="3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Demonstrated at Apex Managed Services Ltd</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 Document</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5.1(a)</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Ensuring the information security policy and objectives are established and compatible with the organisation's strategic direction.</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Managing Director has formally approved the Information Security Policy (ISMS-POL-001) and annual security objectives (ISMS-OBJ-001). Both are reviewed at management review to ensure continued alignment with the organisation's strategic goals of client trust, certified security delivery, and regulatory compliance.</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ISMS-POL-001; ISMS-OBJ-001; Management Review Minutes</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Implemented</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5.1(b)</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Ensuring the integration of ISMS requirements into the organisation's processes.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requirements are embedded into core operational processes: client onboarding includes security scoping; project delivery includes security checkpoints; HR processes include security responsibilities in role profiles; procurement includes supplier risk assessment. The ISMS process inventory (ISMS-CTX-001 §6.2) documents all integrated processes.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ISMS-CTX-001; ISMS-OPS-001; ISMS-HR-002; ISMS-SUP-001</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5.1(c)</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Ensuring that resources needed for the ISMS are available.</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Managing Director formally approves the annual ISMS budget, covering certification costs, tooling, training, and personnel time. Resource requirements are reviewed at each management review cycle and adjusted in response to risk assessment outputs and audit findings.</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ISMS-MR-001 (budget agenda item); Annual budget approval records</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Implemented</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5.1(d)</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Communicating the importance of effective information security management and conformance with ISMS requirements.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Top management communicates security importance through: (1) all-staff security briefings at least annually; (2) security content in staff onboarding; (3) management review outcomes shared with all personnel; (4) visible leadership participation in security awareness activities. Communication records are maintained.</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ISMS-HR-002; Communication log; Onboarding records</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5.1(e)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Ensuring that the ISMS achieves its intended outcomes.</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Managing Director monitors ISMS performance through quarterly KPI reviews, annual internal audit results (ISMS-IAP-001), and formal management review (ISMS-MR-001). Corrective actions are tracked to closure. Certification body surveillance audits provide independent assurance.</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ISMS-MR-001; ISMS-IAP-001; ISMS-CAR-001; Certification audit reports</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Implemented</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5.1(f)</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Directing and supporting persons to contribute to the effectiveness of the ISMS.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personnel have defined ISMS responsibilities in their role profiles and the RACI matrix (Section 7 of this document). The Information Security Manager provides day-to-day direction and support. Staff are empowered to raise security concerns through the incident reporting procedure (ISMS-IRP-001) without fear of reprisal.</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Role profiles; ISMS-IRP-001; RACI matrix (this document)</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Implemented</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5.1(g)</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Promoting continual improvement.</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Continual improvement is driven through: corrective action process (ISMS-CAR-001); management review improvement actions; internal audit findings; post-incident reviews; and annual review of security objectives. The Managing Director reviews and approves the annual continual improvement plan.</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ISMS-CAR-001; ISMS-MR-001; ISMS-IAP-001</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Implemented</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5.1(h)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Supporting other relevant management roles to demonstrate leadership in their areas of responsibility.</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Head of Technology leads security within the technology function, maintaining asset management and vulnerability management processes. The Information Security Manager leads ISMS day-to-day governance. Both roles report to the Managing Director and are empowered to make security decisions within their authority boundaries as defined in Section 7.</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Role profiles; ISMS-LDR-001 §7; RACI matrix</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Implemented</w:t>
            </w:r>
          </w:p>
        </w:tc>
      </w:tr>
    </w:tbl>
    <w:p>
      <w:pPr>
        <w:spacing w:after="120" w:before="120"/>
      </w:pPr>
    </w:p>
    <w:p>
      <w:pPr>
        <w:spacing w:after="80" w:before="80"/>
        <w:jc w:val="left"/>
      </w:pPr>
      <w:r>
        <w:rPr>
          <w:rFonts w:ascii="Arial" w:cs="Arial" w:eastAsia="Arial" w:hAnsi="Arial"/>
          <w:b w:val="false"/>
          <w:bCs w:val="false"/>
          <w:color w:val="888888"/>
          <w:sz w:val="18"/>
          <w:szCs w:val="18"/>
        </w:rPr>
        <w:t xml:space="preserve">Status key: Implemented = evidence exists and practice is embedded; In Progress = activity underway, evidence being developed; Planned = formally scheduled with target date.</w:t>
      </w:r>
    </w:p>
    <w:p>
      <w:pPr>
        <w:spacing w:after="120" w:before="120"/>
      </w:pPr>
    </w:p>
    <w:p>
      <w:pPr>
        <w:pStyle w:val="Heading2"/>
        <w:spacing w:after="80" w:before="240"/>
      </w:pPr>
      <w:r>
        <w:rPr>
          <w:rFonts w:ascii="Arial" w:cs="Arial" w:eastAsia="Arial" w:hAnsi="Arial"/>
          <w:b/>
          <w:bCs/>
          <w:color w:val="2E75B6"/>
          <w:sz w:val="26"/>
          <w:szCs w:val="26"/>
        </w:rPr>
        <w:t xml:space="preserve">3.2 Management Review Schedule</w:t>
      </w:r>
    </w:p>
    <w:p>
      <w:pPr>
        <w:spacing w:after="80" w:before="80"/>
        <w:jc w:val="left"/>
      </w:pPr>
      <w:r>
        <w:rPr>
          <w:rFonts w:ascii="Arial" w:cs="Arial" w:eastAsia="Arial" w:hAnsi="Arial"/>
          <w:b w:val="false"/>
          <w:bCs w:val="false"/>
          <w:color w:val="000000"/>
          <w:sz w:val="20"/>
          <w:szCs w:val="20"/>
        </w:rPr>
        <w:t xml:space="preserve">Top management conducts formal ISMS Management Reviews in accordance with ISO 27001:2022 Clause 9.3. This is a primary mechanism through which Clause 5.1 leadership is demonstrated on an ongoing basis.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19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Type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Chair</w:t>
            </w:r>
          </w:p>
        </w:tc>
        <w:tc>
          <w:tcPr>
            <w:tcW w:type="dxa" w:w="1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Full ISMS Management Review</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Annual — minimum; additional reviews triggered by material incidents, audit findings, or significant context changes</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ISMS-MR-001</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 KPI and Performance Review</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Quarterly — performance metrics, incident trend, corrective action status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ISMS-MR-002 (template)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Post-Incident Review</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Within 5 working days of incident closure for High-rated incidents; within 10 working days for Medium</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ISMS-IRP-001</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4. Clause 5.2 — Information Security Policy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5.2</w:t>
            </w:r>
          </w:p>
          <w:p>
            <w:pPr>
              <w:jc w:val="center"/>
            </w:pPr>
            <w:r>
              <w:rPr>
                <w:rFonts w:ascii="Arial" w:cs="Arial" w:eastAsia="Arial" w:hAnsi="Arial"/>
                <w:color w:val="D6E4F0"/>
                <w:sz w:val="14"/>
                <w:szCs w:val="14"/>
              </w:rPr>
              <w:t xml:space="preserve">Policy</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Top management shall establish an information security policy that is appropriate to the organisation's purpose, includes security objectives or their framework, commits to satisfying applicable requirements, and commits to continual improvement. The policy shall be documented, communicated, and available to interested parties.</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The Information Security Policy below constitutes the formal, top-management-approved policy of Apex Managed Services Ltd for the purposes of ISO 27001:2022 Clause 5.2(e). It meets the content requirements of Clause 5.2(a)–(d) and is published in accordance with Clause 5.2(e)–(g).</w:t>
      </w:r>
    </w:p>
    <w:p>
      <w:pPr>
        <w:spacing w:after="120" w:before="120"/>
      </w:pPr>
    </w:p>
    <w:p>
      <w:pPr>
        <w:pStyle w:val="Heading2"/>
        <w:spacing w:after="80" w:before="240"/>
      </w:pPr>
      <w:r>
        <w:rPr>
          <w:rFonts w:ascii="Arial" w:cs="Arial" w:eastAsia="Arial" w:hAnsi="Arial"/>
          <w:b/>
          <w:bCs/>
          <w:color w:val="2E75B6"/>
          <w:sz w:val="26"/>
          <w:szCs w:val="26"/>
        </w:rPr>
        <w:t xml:space="preserve">4.1 Information Security Policy Statement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20"/>
              <w:left w:type="dxa" w:w="240"/>
              <w:bottom w:type="dxa" w:w="120"/>
              <w:right w:type="dxa" w:w="240"/>
            </w:tcMar>
          </w:tcPr>
          <w:p>
            <w:pPr>
              <w:spacing w:after="60" w:before="0"/>
              <w:jc w:val="center"/>
            </w:pPr>
            <w:r>
              <w:rPr>
                <w:rFonts w:ascii="Arial" w:cs="Arial" w:eastAsia="Arial" w:hAnsi="Arial"/>
                <w:b/>
                <w:bCs/>
                <w:color w:val="FFFFFF"/>
                <w:sz w:val="24"/>
                <w:szCs w:val="24"/>
              </w:rPr>
              <w:t xml:space="preserve">APEX MANAGED SERVICES LTD</w:t>
            </w:r>
          </w:p>
          <w:p>
            <w:pPr>
              <w:spacing w:after="60" w:before="0"/>
              <w:jc w:val="center"/>
            </w:pPr>
            <w:r>
              <w:rPr>
                <w:rFonts w:ascii="Arial" w:cs="Arial" w:eastAsia="Arial" w:hAnsi="Arial"/>
                <w:b/>
                <w:bCs/>
                <w:color w:val="D6E4F0"/>
                <w:sz w:val="28"/>
                <w:szCs w:val="28"/>
              </w:rPr>
              <w:t xml:space="preserve">INFORMATION SECURITY POLICY</w:t>
            </w:r>
          </w:p>
          <w:p>
            <w:pPr>
              <w:spacing w:after="0" w:before="0"/>
              <w:jc w:val="center"/>
            </w:pPr>
            <w:r>
              <w:rPr>
                <w:rFonts w:ascii="Arial" w:cs="Arial" w:eastAsia="Arial" w:hAnsi="Arial"/>
                <w:color w:val="AAAAAA"/>
                <w:sz w:val="16"/>
                <w:szCs w:val="16"/>
              </w:rPr>
              <w:t xml:space="preserve">ISO/IEC 27001:2022 | ISMS-LDR-001 | Version 1.0 | 02 April 2026</w:t>
            </w:r>
          </w:p>
        </w:tc>
      </w:tr>
      <w:tr>
        <w:tc>
          <w:tcPr>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spacing w:after="120" w:before="0"/>
            </w:pPr>
            <w:r>
              <w:rPr>
                <w:rFonts w:ascii="Arial" w:cs="Arial" w:eastAsia="Arial" w:hAnsi="Arial"/>
                <w:b/>
                <w:bCs/>
                <w:color w:val="1F3864"/>
                <w:sz w:val="24"/>
                <w:szCs w:val="24"/>
              </w:rPr>
              <w:t xml:space="preserve">Policy Statement</w:t>
            </w:r>
          </w:p>
          <w:p>
            <w:pPr>
              <w:spacing w:after="100" w:before="0"/>
            </w:pPr>
            <w:r>
              <w:rPr>
                <w:rFonts w:ascii="Arial" w:cs="Arial" w:eastAsia="Arial" w:hAnsi="Arial"/>
                <w:color w:val="000000"/>
                <w:sz w:val="20"/>
                <w:szCs w:val="20"/>
              </w:rPr>
              <w:t xml:space="preserve">Apex Managed Services Ltd is committed to protecting the confidentiality, integrity, and availability of all information assets within its control, in support of its primary purpose of delivering trusted, high-quality IT managed services and cyber security advisory to its clients.</w:t>
            </w:r>
          </w:p>
          <w:p>
            <w:pPr>
              <w:spacing w:after="100" w:before="100"/>
            </w:pPr>
            <w:r>
              <w:rPr>
                <w:rFonts w:ascii="Arial" w:cs="Arial" w:eastAsia="Arial" w:hAnsi="Arial"/>
                <w:sz w:val="20"/>
                <w:szCs w:val="20"/>
              </w:rPr>
              <w:t xml:space="preserve">Information is a critical asset of this organisation and of our clients. The loss, corruption, or unauthorised disclosure of information could cause significant harm to our clients, our organisation, and the individuals whose data we are entrusted to protect. We recognise that effective information security is not merely a compliance obligation — it is fundamental to our ability to deliver the services our clients depend on.</w:t>
            </w:r>
          </w:p>
        </w:tc>
      </w:tr>
      <w:tr>
        <w:tc>
          <w:tcPr>
            <w:tcBorders>
              <w:top w:val="single" w:color="CCCCCC" w:sz="1"/>
              <w:left w:val="single" w:color="CCCCCC" w:sz="1"/>
              <w:bottom w:val="single" w:color="CCCCCC" w:sz="1"/>
              <w:right w:val="single" w:color="CCCCCC" w:sz="1"/>
            </w:tcBorders>
            <w:tcMar>
              <w:top w:type="dxa" w:w="140"/>
              <w:left w:type="dxa" w:w="240"/>
              <w:bottom w:type="dxa" w:w="140"/>
              <w:right w:type="dxa" w:w="240"/>
            </w:tcMar>
          </w:tcPr>
          <w:p>
            <w:pPr>
              <w:spacing w:after="100" w:before="0"/>
            </w:pPr>
            <w:r>
              <w:rPr>
                <w:rFonts w:ascii="Arial" w:cs="Arial" w:eastAsia="Arial" w:hAnsi="Arial"/>
                <w:b/>
                <w:bCs/>
                <w:color w:val="1F3864"/>
                <w:sz w:val="22"/>
                <w:szCs w:val="22"/>
              </w:rPr>
              <w:t xml:space="preserve">Our Commitments</w:t>
            </w:r>
          </w:p>
          <w:p>
            <w:pPr>
              <w:pStyle w:val="ListParagraph"/>
              <w:numPr>
                <w:ilvl w:val="0"/>
                <w:numId w:val="2"/>
              </w:numPr>
              <w:spacing w:after="40" w:before="40"/>
            </w:pPr>
            <w:r>
              <w:rPr>
                <w:rFonts w:ascii="Arial" w:cs="Arial" w:eastAsia="Arial" w:hAnsi="Arial"/>
                <w:sz w:val="20"/>
                <w:szCs w:val="20"/>
              </w:rPr>
              <w:t xml:space="preserve">We will establish, implement, maintain, and continually improve an Information Security Management System (ISMS) in accordance with the requirements of ISO/IEC 27001:2022.</w:t>
            </w:r>
          </w:p>
          <w:p>
            <w:pPr>
              <w:pStyle w:val="ListParagraph"/>
              <w:numPr>
                <w:ilvl w:val="0"/>
                <w:numId w:val="2"/>
              </w:numPr>
              <w:spacing w:after="40" w:before="40"/>
            </w:pPr>
            <w:r>
              <w:rPr>
                <w:rFonts w:ascii="Arial" w:cs="Arial" w:eastAsia="Arial" w:hAnsi="Arial"/>
                <w:sz w:val="20"/>
                <w:szCs w:val="20"/>
              </w:rPr>
              <w:t xml:space="preserve">We will define and pursue measurable information security objectives that are aligned with our business strategy, client commitments, and regulatory obligations.</w:t>
            </w:r>
          </w:p>
          <w:p>
            <w:pPr>
              <w:pStyle w:val="ListParagraph"/>
              <w:numPr>
                <w:ilvl w:val="0"/>
                <w:numId w:val="2"/>
              </w:numPr>
              <w:spacing w:after="40" w:before="40"/>
            </w:pPr>
            <w:r>
              <w:rPr>
                <w:rFonts w:ascii="Arial" w:cs="Arial" w:eastAsia="Arial" w:hAnsi="Arial"/>
                <w:sz w:val="20"/>
                <w:szCs w:val="20"/>
              </w:rPr>
              <w:t xml:space="preserve">We will comply with all applicable legal, regulatory, and contractual requirements relating to information security, including UK GDPR, the Data Protection Act 2018, and the NIS Regulations 2018.</w:t>
            </w:r>
          </w:p>
          <w:p>
            <w:pPr>
              <w:pStyle w:val="ListParagraph"/>
              <w:numPr>
                <w:ilvl w:val="0"/>
                <w:numId w:val="2"/>
              </w:numPr>
              <w:spacing w:after="40" w:before="40"/>
            </w:pPr>
            <w:r>
              <w:rPr>
                <w:rFonts w:ascii="Arial" w:cs="Arial" w:eastAsia="Arial" w:hAnsi="Arial"/>
                <w:sz w:val="20"/>
                <w:szCs w:val="20"/>
              </w:rPr>
              <w:t xml:space="preserve">We will apply risk-based thinking to identify, assess, and treat information security risks in a manner proportionate to their potential impact on our organisation and our clients.</w:t>
            </w:r>
          </w:p>
          <w:p>
            <w:pPr>
              <w:pStyle w:val="ListParagraph"/>
              <w:numPr>
                <w:ilvl w:val="0"/>
                <w:numId w:val="2"/>
              </w:numPr>
              <w:spacing w:after="40" w:before="40"/>
            </w:pPr>
            <w:r>
              <w:rPr>
                <w:rFonts w:ascii="Arial" w:cs="Arial" w:eastAsia="Arial" w:hAnsi="Arial"/>
                <w:sz w:val="20"/>
                <w:szCs w:val="20"/>
              </w:rPr>
              <w:t xml:space="preserve">We will ensure that all personnel — employees, contractors, and relevant third parties — are aware of their information security responsibilities and are equipped to fulfil them.</w:t>
            </w:r>
          </w:p>
          <w:p>
            <w:pPr>
              <w:pStyle w:val="ListParagraph"/>
              <w:numPr>
                <w:ilvl w:val="0"/>
                <w:numId w:val="2"/>
              </w:numPr>
              <w:spacing w:after="40" w:before="40"/>
            </w:pPr>
            <w:r>
              <w:rPr>
                <w:rFonts w:ascii="Arial" w:cs="Arial" w:eastAsia="Arial" w:hAnsi="Arial"/>
                <w:sz w:val="20"/>
                <w:szCs w:val="20"/>
              </w:rPr>
              <w:t xml:space="preserve">We will respond to information security incidents promptly, transparently, and in accordance with our documented incident management procedures.</w:t>
            </w:r>
          </w:p>
          <w:p>
            <w:pPr>
              <w:pStyle w:val="ListParagraph"/>
              <w:numPr>
                <w:ilvl w:val="0"/>
                <w:numId w:val="2"/>
              </w:numPr>
              <w:spacing w:after="40" w:before="40"/>
            </w:pPr>
            <w:r>
              <w:rPr>
                <w:rFonts w:ascii="Arial" w:cs="Arial" w:eastAsia="Arial" w:hAnsi="Arial"/>
                <w:sz w:val="20"/>
                <w:szCs w:val="20"/>
              </w:rPr>
              <w:t xml:space="preserve">We will embed information security requirements into our processes, contracts, and supplier relationships.</w:t>
            </w:r>
          </w:p>
          <w:p>
            <w:pPr>
              <w:pStyle w:val="ListParagraph"/>
              <w:numPr>
                <w:ilvl w:val="0"/>
                <w:numId w:val="2"/>
              </w:numPr>
              <w:spacing w:after="100" w:before="40"/>
            </w:pPr>
            <w:r>
              <w:rPr>
                <w:rFonts w:ascii="Arial" w:cs="Arial" w:eastAsia="Arial" w:hAnsi="Arial"/>
                <w:sz w:val="20"/>
                <w:szCs w:val="20"/>
              </w:rPr>
              <w:t xml:space="preserve">We will promote a culture in which information security is everyone's responsibility, led by example from top management.</w:t>
            </w:r>
          </w:p>
        </w:tc>
      </w:tr>
      <w:tr>
        <w:tc>
          <w:tcPr>
            <w:tcBorders>
              <w:top w:val="single" w:color="CCCCCC" w:sz="1"/>
              <w:left w:val="single" w:color="CCCCCC" w:sz="1"/>
              <w:bottom w:val="single" w:color="CCCCCC" w:sz="1"/>
              <w:right w:val="single" w:color="CCCCCC" w:sz="1"/>
            </w:tcBorders>
            <w:shd w:fill="F2F2F2" w:val="clear"/>
            <w:tcMar>
              <w:top w:type="dxa" w:w="140"/>
              <w:left w:type="dxa" w:w="240"/>
              <w:bottom w:type="dxa" w:w="140"/>
              <w:right w:type="dxa" w:w="240"/>
            </w:tcMar>
          </w:tcPr>
          <w:p>
            <w:pPr>
              <w:spacing w:after="80" w:before="0"/>
            </w:pPr>
            <w:r>
              <w:rPr>
                <w:rFonts w:ascii="Arial" w:cs="Arial" w:eastAsia="Arial" w:hAnsi="Arial"/>
                <w:b/>
                <w:bCs/>
                <w:color w:val="1F3864"/>
                <w:sz w:val="22"/>
                <w:szCs w:val="22"/>
              </w:rPr>
              <w:t xml:space="preserve">Management Authorisation</w:t>
            </w:r>
          </w:p>
          <w:p>
            <w:pPr>
              <w:spacing w:after="100" w:before="0"/>
            </w:pPr>
            <w:r>
              <w:rPr>
                <w:rFonts w:ascii="Arial" w:cs="Arial" w:eastAsia="Arial" w:hAnsi="Arial"/>
                <w:sz w:val="20"/>
                <w:szCs w:val="20"/>
              </w:rPr>
              <w:t xml:space="preserve">This policy is approved by top management and applies to all personnel and activities within the scope of the ISMS. It is reviewed at minimum annually, or following any significant change to the organisation or its operating environment, to ensure its continued suitability, adequacy, and effectiveness.</w:t>
            </w:r>
          </w:p>
          <w:p>
            <w:pPr>
              <w:spacing w:after="80" w:before="0"/>
              <w:jc w:val="left"/>
            </w:pPr>
            <w:r>
              <w:rPr>
                <w:rFonts w:ascii="Arial" w:cs="Arial" w:eastAsia="Arial" w:hAnsi="Arial"/>
                <w:sz w:val="20"/>
                <w:szCs w:val="20"/>
              </w:rPr>
              <w:t xml:space="preserve">Signed: ______________________________    </w:t>
            </w:r>
            <w:r>
              <w:rPr>
                <w:rFonts w:ascii="Arial" w:cs="Arial" w:eastAsia="Arial" w:hAnsi="Arial"/>
                <w:sz w:val="20"/>
                <w:szCs w:val="20"/>
              </w:rPr>
              <w:t xml:space="preserve">Name: ______________________________</w:t>
            </w:r>
          </w:p>
          <w:p>
            <w:pPr>
              <w:spacing w:after="80" w:before="0"/>
              <w:jc w:val="left"/>
            </w:pPr>
            <w:r>
              <w:rPr>
                <w:rFonts w:ascii="Arial" w:cs="Arial" w:eastAsia="Arial" w:hAnsi="Arial"/>
                <w:sz w:val="20"/>
                <w:szCs w:val="20"/>
              </w:rPr>
              <w:t xml:space="preserve">Role: Managing Director                          </w:t>
            </w:r>
            <w:r>
              <w:rPr>
                <w:rFonts w:ascii="Arial" w:cs="Arial" w:eastAsia="Arial" w:hAnsi="Arial"/>
                <w:sz w:val="20"/>
                <w:szCs w:val="20"/>
              </w:rPr>
              <w:t xml:space="preserve">Date: 02 April 2026</w:t>
            </w:r>
          </w:p>
        </w:tc>
      </w:tr>
    </w:tbl>
    <w:p>
      <w:pPr>
        <w:spacing w:after="120" w:before="120"/>
      </w:pPr>
    </w:p>
    <w:p>
      <w:pPr>
        <w:pStyle w:val="Heading2"/>
        <w:spacing w:after="80" w:before="240"/>
      </w:pPr>
      <w:r>
        <w:rPr>
          <w:rFonts w:ascii="Arial" w:cs="Arial" w:eastAsia="Arial" w:hAnsi="Arial"/>
          <w:b/>
          <w:bCs/>
          <w:color w:val="2E75B6"/>
          <w:sz w:val="26"/>
          <w:szCs w:val="26"/>
        </w:rPr>
        <w:t xml:space="preserve">4.2 Information Security Objectives Framework</w:t>
      </w:r>
    </w:p>
    <w:p>
      <w:pPr>
        <w:spacing w:after="80" w:before="80"/>
        <w:jc w:val="left"/>
      </w:pPr>
      <w:r>
        <w:rPr>
          <w:rFonts w:ascii="Arial" w:cs="Arial" w:eastAsia="Arial" w:hAnsi="Arial"/>
          <w:b w:val="false"/>
          <w:bCs w:val="false"/>
          <w:color w:val="000000"/>
          <w:sz w:val="20"/>
          <w:szCs w:val="20"/>
        </w:rPr>
        <w:t xml:space="preserve">In accordance with Clause 5.2(b), this policy provides the framework for setting information security objectives. Measurable objectives are documented separately in ISMS-OBJ-001 and are reviewed at each management review cycle. The following objective categories are established by this policy: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80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Objective Category</w:t>
            </w:r>
          </w:p>
        </w:tc>
        <w:tc>
          <w:tcPr>
            <w:tcW w:type="dxa" w:w="5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Measured In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Confidentiality</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Protection of client and organisational information from unauthorised disclosure, in transit and at rest.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ISMS-OBJ-001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Integrity</w:t>
            </w:r>
          </w:p>
        </w:tc>
        <w:tc>
          <w:tcPr>
            <w:tcW w:type="dxa" w:w="5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Assurance that information is accurate, complete, and protected from unauthorised modification.</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ISMS-OBJ-001</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Availability</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Ensuring information and systems are accessible to authorised users when required, in accordance with client SLAs.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ISMS-OBJ-001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Compliance</w:t>
            </w:r>
          </w:p>
        </w:tc>
        <w:tc>
          <w:tcPr>
            <w:tcW w:type="dxa" w:w="5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Satisfaction of applicable legal, regulatory, and contractual requirements including UK GDPR, NIS Regulations, and client contractual obligations.</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ISMS-OBJ-001</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 Management</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Systematic identification and treatment of information security risks to an acceptable level, as defined by the organisation's risk appetite.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ISMS-OBJ-001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Continual Improvement</w:t>
            </w:r>
          </w:p>
        </w:tc>
        <w:tc>
          <w:tcPr>
            <w:tcW w:type="dxa" w:w="5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Year-on-year improvement in ISMS maturity, measured through audit outcomes, corrective action closure rates, and reduction in repeat nonconformities.</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ISMS-OBJ-001</w:t>
            </w:r>
          </w:p>
        </w:tc>
      </w:tr>
    </w:tbl>
    <w:p>
      <w:pPr>
        <w:spacing w:after="120" w:before="120"/>
      </w:pPr>
    </w:p>
    <w:p>
      <w:pPr>
        <w:pStyle w:val="Heading2"/>
        <w:spacing w:after="80" w:before="240"/>
      </w:pPr>
      <w:r>
        <w:rPr>
          <w:rFonts w:ascii="Arial" w:cs="Arial" w:eastAsia="Arial" w:hAnsi="Arial"/>
          <w:b/>
          <w:bCs/>
          <w:color w:val="2E75B6"/>
          <w:sz w:val="26"/>
          <w:szCs w:val="26"/>
        </w:rPr>
        <w:t xml:space="preserve">4.3 Policy Communication and Availability</w:t>
      </w:r>
    </w:p>
    <w:p>
      <w:pPr>
        <w:spacing w:after="80" w:before="80"/>
        <w:jc w:val="left"/>
      </w:pPr>
      <w:r>
        <w:rPr>
          <w:rFonts w:ascii="Arial" w:cs="Arial" w:eastAsia="Arial" w:hAnsi="Arial"/>
          <w:b w:val="false"/>
          <w:bCs w:val="false"/>
          <w:color w:val="000000"/>
          <w:sz w:val="20"/>
          <w:szCs w:val="20"/>
        </w:rPr>
        <w:t xml:space="preserve">In accordance with Clause 5.2(e)–(g), the Information Security Policy is: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760"/>
        <w:gridCol w:w="1700"/>
      </w:tblGrid>
      <w:tr>
        <w:trPr>
          <w:tblHeader/>
        </w:trP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w:t>
            </w:r>
          </w:p>
        </w:tc>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3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Fulfilled</w:t>
            </w:r>
          </w:p>
        </w:tc>
        <w:tc>
          <w:tcPr>
            <w:tcW w:type="dxa" w:w="1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5.2(e)</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Available as documented information</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Policy published in Section 4.1 of this document (ISMS-LDR-001) and as a standalone one-page summary (ISMS-POL-001-SUM) for display and distribution.</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ISMS-LDR-001 §4.1; ISMS-POL-001-SUM</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5.2(f)</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Communicated within the organisation</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Policy communicated to all staff at onboarding; re-communicated annually via security awareness programme; accessible on internal knowledge base. Acknowledgement recorded.</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ISMS-HR-002; Communication log; Onboarding records</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5.2(g)</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Available to interested parties, as appropriate</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Policy summary (ISMS-POL-001-SUM) provided to clients on request; available to certification body during audit; referenced in supplier contracts. Full policy available internally.</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 contracts; Supplier agreements; Certification body access</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5. Clause 5.3 — Organisational Roles, Responsibilities and Authorities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5.3</w:t>
            </w:r>
          </w:p>
          <w:p>
            <w:pPr>
              <w:jc w:val="center"/>
            </w:pPr>
            <w:r>
              <w:rPr>
                <w:rFonts w:ascii="Arial" w:cs="Arial" w:eastAsia="Arial" w:hAnsi="Arial"/>
                <w:color w:val="D6E4F0"/>
                <w:sz w:val="14"/>
                <w:szCs w:val="14"/>
              </w:rPr>
              <w:t xml:space="preserve">Roles</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Top management shall ensure that responsibilities and authorities for roles relevant to information security are assigned and communicated. Top management shall assign responsibility for: (a) ensuring ISMS conformance; (b) reporting ISMS performance to top management.</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The following section defines all roles with information security responsibilities within Apex Managed Services Ltd. Role assignments satisfy the mandatory requirements of Clause 5.3(a) and 5.3(b). Where a single individual holds multiple roles, this is noted in the register. All role assignments are communicated to the relevant post-holders and to all staff through the security awareness programme.</w:t>
      </w:r>
    </w:p>
    <w:p>
      <w:pPr>
        <w:spacing w:after="120" w:before="120"/>
      </w:pPr>
    </w:p>
    <w:p>
      <w:pPr>
        <w:pStyle w:val="Heading2"/>
        <w:spacing w:after="80" w:before="240"/>
      </w:pPr>
      <w:r>
        <w:rPr>
          <w:rFonts w:ascii="Arial" w:cs="Arial" w:eastAsia="Arial" w:hAnsi="Arial"/>
          <w:b/>
          <w:bCs/>
          <w:color w:val="2E75B6"/>
          <w:sz w:val="26"/>
          <w:szCs w:val="26"/>
        </w:rPr>
        <w:t xml:space="preserve">5.1 ISMS Role Assignment Register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360"/>
        <w:gridCol w:w="2100"/>
        <w:gridCol w:w="12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Post-holder</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ISMS Responsibilities</w:t>
            </w:r>
          </w:p>
        </w:tc>
        <w:tc>
          <w:tcPr>
            <w:tcW w:type="dxa" w:w="21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Authorities</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Reports To</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Managing Director</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[Name]</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Top management accountability for ISMS; approves policy, budget, and scope; chairs management review; approves risk acceptance decisions above defined threshold; signs off on SoA and certification.</w:t>
            </w:r>
          </w:p>
        </w:tc>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Final authority on risk acceptance; ISMS budget approval; policy approval; scope changes; certification decisions.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Board / Owners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Information Security Manager (ISM)</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[Name]</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Day-to-day ISMS governance; maintains ISMS documentation; coordinates risk assessment and treatment; manages internal audit programme; tracks corrective actions; reports ISMS performance to top management; manages security incidents.</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 operational security procedures; direct security-related activities; escalate risks to MD; pause or restrict activities posing unacceptable risk pending MD decision.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Head of Technology (HoT)</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[Name]</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Owns and maintains technical security controls; manages asset register and CMDB; oversees vulnerability management and patch compliance; manages privileged access tooling; implements and monitors cloud security configuration.</w:t>
            </w:r>
          </w:p>
        </w:tc>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Technical control implementation decisions; platform configuration changes; vulnerability remediation prioritisation; technology procurement security assessment.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All Personnel (Employees &amp; Contractors)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staff</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Adhere to all ISMS policies and procedures; complete mandatory security awareness training; report security incidents, near-misses, and weaknesses promptly; protect information assets in their care; use systems only for authorised purposes.</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 incidents and weaknesses without requiring management approval; decline requests that would violate policy and escalate.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 Manager / ISM</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 Internal Auditor</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[Name / External Party]</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 and execute the annual internal audit programme (ISMS-IAP-001) in accordance with the audit schedule; report audit findings objectively; verify corrective action closure; maintain auditor independence.</w:t>
            </w:r>
          </w:p>
        </w:tc>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Access all ISMS processes, documents, and personnel within audit scope; raise non-conformities and observations; report directly to the Managing Director.</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 (functional independence)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 Protection Lead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[Name — may be dual-hatted with ISM]</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Ensure ISMS controls adequately address UK GDPR and DPA 2018 obligations; manage data subject rights requests; maintain Records of Processing Activities (RoPA); coordinate breach notifications to ICO within 72-hour window.</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Escalate data protection risks directly to Managing Director; engage ICO where required; advise on data processing activities.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bl>
    <w:p>
      <w:pPr>
        <w:spacing w:after="120" w:before="120"/>
      </w:pPr>
    </w:p>
    <w:p>
      <w:pPr>
        <w:spacing w:after="80" w:before="80"/>
        <w:jc w:val="left"/>
      </w:pPr>
      <w:r>
        <w:rPr>
          <w:rFonts w:ascii="Arial" w:cs="Arial" w:eastAsia="Arial" w:hAnsi="Arial"/>
          <w:b w:val="false"/>
          <w:bCs w:val="false"/>
          <w:color w:val="888888"/>
          <w:sz w:val="18"/>
          <w:szCs w:val="18"/>
        </w:rPr>
        <w:t xml:space="preserve">Where roles are dual-hatted (e.g. ISM and Data Protection Lead held by the same individual), compensating controls are applied to manage any conflicts of interest, particularly in the context of internal audit independence.</w:t>
      </w:r>
    </w:p>
    <w:p>
      <w:pPr>
        <w:spacing w:after="120" w:before="120"/>
      </w:pPr>
    </w:p>
    <w:p>
      <w:pPr>
        <w:pStyle w:val="Heading2"/>
        <w:spacing w:after="80" w:before="240"/>
      </w:pPr>
      <w:r>
        <w:rPr>
          <w:rFonts w:ascii="Arial" w:cs="Arial" w:eastAsia="Arial" w:hAnsi="Arial"/>
          <w:b/>
          <w:bCs/>
          <w:color w:val="2E75B6"/>
          <w:sz w:val="26"/>
          <w:szCs w:val="26"/>
        </w:rPr>
        <w:t xml:space="preserve">5.2 Mandatory Clause 5.3 Assignments</w:t>
      </w:r>
    </w:p>
    <w:p>
      <w:pPr>
        <w:spacing w:after="80" w:before="80"/>
        <w:jc w:val="left"/>
      </w:pPr>
      <w:r>
        <w:rPr>
          <w:rFonts w:ascii="Arial" w:cs="Arial" w:eastAsia="Arial" w:hAnsi="Arial"/>
          <w:b w:val="false"/>
          <w:bCs w:val="false"/>
          <w:color w:val="000000"/>
          <w:sz w:val="20"/>
          <w:szCs w:val="20"/>
        </w:rPr>
        <w:t xml:space="preserve">ISO 27001:2022 Clause 5.3 requires top management to explicitly assign responsibility for two specific functions: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3260"/>
        <w:gridCol w:w="2600"/>
        <w:gridCol w:w="2200"/>
      </w:tblGrid>
      <w:tr>
        <w:trPr>
          <w:tblHeader/>
        </w:trP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Mandatory Requirement</w:t>
            </w:r>
          </w:p>
        </w:tc>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Assigned Role</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Post-holder</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5.3(a)</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Ensuring that the ISMS conforms to the requirements of ISO/IEC 27001:2022.</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Information Security Manager</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[Name] — accountable to Managing Director</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5.3(b)</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Reporting on the performance of the ISMS to top management.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Information Security Manager</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[Name] — reports at quarterly reviews and annual management review</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6. RACI Matrix</w:t>
      </w:r>
    </w:p>
    <w:p>
      <w:pPr>
        <w:spacing w:after="80" w:before="80"/>
        <w:jc w:val="left"/>
      </w:pPr>
      <w:r>
        <w:rPr>
          <w:rFonts w:ascii="Arial" w:cs="Arial" w:eastAsia="Arial" w:hAnsi="Arial"/>
          <w:b w:val="false"/>
          <w:bCs w:val="false"/>
          <w:color w:val="000000"/>
          <w:sz w:val="20"/>
          <w:szCs w:val="20"/>
        </w:rPr>
        <w:t xml:space="preserve">The RACI matrix below defines responsibility, accountability, consultation, and information requirements for all key ISMS activities across the defined roles. This matrix supports the communication of responsibilities required by Clause 5.3 and underpins the leadership commitments documented in Clause 5.1(f).</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900"/>
        <w:gridCol w:w="3160"/>
      </w:tblGrid>
      <w:t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RACI Key</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R</w:t>
            </w:r>
          </w:p>
        </w:tc>
        <w:tc>
          <w:tcPr>
            <w:tcW w:type="dxa" w:w="9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A</w:t>
            </w:r>
          </w:p>
        </w:tc>
        <w:tc>
          <w:tcPr>
            <w:tcW w:type="dxa" w:w="9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C</w:t>
            </w:r>
          </w:p>
        </w:tc>
        <w:tc>
          <w:tcPr>
            <w:tcW w:type="dxa" w:w="9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tcPr>
          <w:p>
            <w:pPr>
              <w:jc w:val="center"/>
            </w:pPr>
            <w:r>
              <w:rPr>
                <w:rFonts w:ascii="Arial" w:cs="Arial" w:eastAsia="Arial" w:hAnsi="Arial"/>
                <w:b/>
                <w:bCs/>
                <w:color w:val="FFFFFF"/>
                <w:sz w:val="22"/>
                <w:szCs w:val="22"/>
              </w:rPr>
              <w:t xml:space="preserve">I</w:t>
            </w:r>
          </w:p>
        </w:tc>
        <w:tc>
          <w:tcPr>
            <w:tcW w:type="dxa" w:w="90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R</w:t>
            </w:r>
            <w:r>
              <w:rPr>
                <w:rFonts w:ascii="Arial" w:cs="Arial" w:eastAsia="Arial" w:hAnsi="Arial"/>
                <w:sz w:val="18"/>
                <w:szCs w:val="18"/>
              </w:rPr>
              <w:t xml:space="preserve"> = Responsible  </w:t>
            </w:r>
            <w:r>
              <w:rPr>
                <w:rFonts w:ascii="Arial" w:cs="Arial" w:eastAsia="Arial" w:hAnsi="Arial"/>
                <w:b/>
                <w:bCs/>
                <w:color w:val="ED7D31"/>
                <w:sz w:val="18"/>
                <w:szCs w:val="18"/>
              </w:rPr>
              <w:t xml:space="preserve">A</w:t>
            </w:r>
            <w:r>
              <w:rPr>
                <w:rFonts w:ascii="Arial" w:cs="Arial" w:eastAsia="Arial" w:hAnsi="Arial"/>
                <w:sz w:val="18"/>
                <w:szCs w:val="18"/>
              </w:rPr>
              <w:t xml:space="preserve"> = Accountable  </w:t>
            </w:r>
            <w:r>
              <w:rPr>
                <w:rFonts w:ascii="Arial" w:cs="Arial" w:eastAsia="Arial" w:hAnsi="Arial"/>
                <w:b/>
                <w:bCs/>
                <w:color w:val="2E75B6"/>
                <w:sz w:val="18"/>
                <w:szCs w:val="18"/>
              </w:rPr>
              <w:t xml:space="preserve">C</w:t>
            </w:r>
            <w:r>
              <w:rPr>
                <w:rFonts w:ascii="Arial" w:cs="Arial" w:eastAsia="Arial" w:hAnsi="Arial"/>
                <w:sz w:val="18"/>
                <w:szCs w:val="18"/>
              </w:rPr>
              <w:t xml:space="preserve"> = Consulted  </w:t>
            </w:r>
            <w:r>
              <w:rPr>
                <w:rFonts w:ascii="Arial" w:cs="Arial" w:eastAsia="Arial" w:hAnsi="Arial"/>
                <w:b/>
                <w:bCs/>
                <w:color w:val="70AD47"/>
                <w:sz w:val="18"/>
                <w:szCs w:val="18"/>
              </w:rPr>
              <w:t xml:space="preserve">I</w:t>
            </w:r>
            <w:r>
              <w:rPr>
                <w:rFonts w:ascii="Arial" w:cs="Arial" w:eastAsia="Arial" w:hAnsi="Arial"/>
                <w:sz w:val="18"/>
                <w:szCs w:val="18"/>
              </w:rPr>
              <w:t xml:space="preserve"> = Informed  </w:t>
            </w:r>
            <w:r>
              <w:rPr>
                <w:rFonts w:ascii="Arial" w:cs="Arial" w:eastAsia="Arial" w:hAnsi="Arial"/>
                <w:b/>
                <w:bCs/>
                <w:color w:val="888888"/>
                <w:sz w:val="18"/>
                <w:szCs w:val="18"/>
              </w:rPr>
              <w:t xml:space="preserve">—</w:t>
            </w:r>
            <w:r>
              <w:rPr>
                <w:rFonts w:ascii="Arial" w:cs="Arial" w:eastAsia="Arial" w:hAnsi="Arial"/>
                <w:sz w:val="18"/>
                <w:szCs w:val="18"/>
              </w:rPr>
              <w:t xml:space="preserve"> = Not involved</w:t>
            </w:r>
          </w:p>
        </w:tc>
      </w:tr>
    </w:tbl>
    <w:p>
      <w:pPr>
        <w:spacing w:after="60" w:before="60"/>
      </w:pPr>
    </w:p>
    <w:p>
      <w:pPr>
        <w:spacing w:after="80" w:before="80"/>
        <w:jc w:val="left"/>
      </w:pPr>
      <w:r>
        <w:rPr>
          <w:rFonts w:ascii="Arial" w:cs="Arial" w:eastAsia="Arial" w:hAnsi="Arial"/>
          <w:b w:val="false"/>
          <w:bCs w:val="false"/>
          <w:color w:val="888888"/>
          <w:sz w:val="18"/>
          <w:szCs w:val="18"/>
        </w:rPr>
        <w:t xml:space="preserve">MD = Managing Director  |  ISM = Information Security Manager  |  HoT = Head of Technology  |  3rd Party = External auditors, suppliers, certification body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860"/>
        <w:gridCol w:w="1080"/>
        <w:gridCol w:w="1080"/>
        <w:gridCol w:w="1080"/>
        <w:gridCol w:w="1080"/>
        <w:gridCol w:w="1080"/>
      </w:tblGrid>
      <w:tr>
        <w:trPr>
          <w:tblHeader/>
        </w:trPr>
        <w:tc>
          <w:tcPr>
            <w:tcW w:type="dxa" w:w="3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ISMS Activity</w:t>
            </w:r>
          </w:p>
        </w:tc>
        <w:tc>
          <w:tcPr>
            <w:tcW w:type="dxa" w:w="10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MD</w:t>
            </w:r>
          </w:p>
        </w:tc>
        <w:tc>
          <w:tcPr>
            <w:tcW w:type="dxa" w:w="10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ISM</w:t>
            </w:r>
          </w:p>
        </w:tc>
        <w:tc>
          <w:tcPr>
            <w:tcW w:type="dxa" w:w="10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HoT</w:t>
            </w:r>
          </w:p>
        </w:tc>
        <w:tc>
          <w:tcPr>
            <w:tcW w:type="dxa" w:w="10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All Staff</w:t>
            </w:r>
          </w:p>
        </w:tc>
        <w:tc>
          <w:tcPr>
            <w:tcW w:type="dxa" w:w="10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3rd Party</w:t>
            </w:r>
          </w:p>
        </w:tc>
      </w:tr>
      <w:tr>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 Information Security Policy</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r>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 ISMS Scope and Context Document</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r>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 Annual ISMS Budget</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r>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 Management Review</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A/R</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r>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 Risk Assessment</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r>
      <w:tr>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 Risk Treatment Decisions</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r>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 Statement of Applicability</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r>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 and Maintain Technical Controls</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r>
      <w:tr>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 Asset Register and CMDB</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r>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 Privileged Access and PAM</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r>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 Security Awareness Training</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r>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 Security Incidents</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r>
      <w:tr>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 Incident Response</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r>
      <w:tr>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 Internal Audits</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r>
      <w:tr>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Track and Close Corrective Actions</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r>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 Supplier / Third-Party Risk</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r>
      <w:tr>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Maintain ISMS Documentation</w:t>
            </w:r>
          </w:p>
        </w:tc>
        <w:tc>
          <w:tcPr>
            <w:tcW w:type="dxa" w:w="108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r>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 ISMS Performance to Management</w:t>
            </w:r>
          </w:p>
        </w:tc>
        <w:tc>
          <w:tcPr>
            <w:tcW w:type="dxa" w:w="108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R/A</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080"/>
            <w:tcBorders>
              <w:top w:val="single" w:color="CCCCCC" w:sz="1"/>
              <w:left w:val="single" w:color="CCCCCC" w:sz="1"/>
              <w:bottom w:val="single" w:color="CCCCCC" w:sz="1"/>
              <w:right w:val="single" w:color="CCCCCC" w:sz="1"/>
            </w:tcBorders>
            <w:shd w:fill="AAAAA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7. Linkage to Other ISMS Documents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4260"/>
        <w:gridCol w:w="3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 to Clause 5</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ISMS-CTX-001</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Context Document (Clauses 4.1–4.4)</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Provides strategic context and interested party requirements that inform this policy and role structure.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ISMS-POL-001-SUM</w:t>
            </w:r>
          </w:p>
        </w:tc>
        <w:tc>
          <w:tcPr>
            <w:tcW w:type="dxa" w:w="4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Policy — Summary (one page)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Standalone published summary of policy in §4.1; provided to staff and interested parties.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ISMS-OBJ-001</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Objectives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Measurable objectives established under the framework set by the policy in §4.2.</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ISMS-RA-001</w:t>
            </w:r>
          </w:p>
        </w:tc>
        <w:tc>
          <w:tcPr>
            <w:tcW w:type="dxa" w:w="4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Assessment and Treatment Plan</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treatment decisions require MD approval per the authority matrix in §5 and RACI in §6.</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ISMS-HR-002</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Awareness and Training</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Policy communication and RACI training responsibilities delivered through this programme.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ISMS-MR-001</w:t>
            </w:r>
          </w:p>
        </w:tc>
        <w:tc>
          <w:tcPr>
            <w:tcW w:type="dxa" w:w="4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 Procedure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Formal mechanism through which leadership commitment (5.1) is demonstrated on an ongoing basis.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ISMS-CAR-001</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Corrective Action and Nonconformity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holds responsibility for tracking corrective actions per RACI; MD holds accountability.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ISMS-IAP-001</w:t>
            </w:r>
          </w:p>
        </w:tc>
        <w:tc>
          <w:tcPr>
            <w:tcW w:type="dxa" w:w="4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 Programme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Auditor role defined in §5.1; MD holds accountability for audit programme per RACI.</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8. Review and Maintenance</w:t>
      </w:r>
    </w:p>
    <w:p>
      <w:pPr>
        <w:spacing w:after="80" w:before="80"/>
        <w:jc w:val="left"/>
      </w:pPr>
      <w:r>
        <w:rPr>
          <w:rFonts w:ascii="Arial" w:cs="Arial" w:eastAsia="Arial" w:hAnsi="Arial"/>
          <w:b w:val="false"/>
          <w:bCs w:val="false"/>
          <w:color w:val="000000"/>
          <w:sz w:val="20"/>
          <w:szCs w:val="20"/>
        </w:rPr>
        <w:t xml:space="preserve">This document shall be reviewed and updated under the following conditions:</w:t>
      </w:r>
    </w:p>
    <w:p>
      <w:pPr>
        <w:spacing w:after="60" w:before="60"/>
      </w:pPr>
    </w:p>
    <w:p>
      <w:pPr>
        <w:pStyle w:val="ListParagraph"/>
        <w:numPr>
          <w:ilvl w:val="0"/>
          <w:numId w:val="2"/>
        </w:numPr>
        <w:spacing w:after="40" w:before="40"/>
      </w:pPr>
      <w:r>
        <w:rPr>
          <w:rFonts w:ascii="Arial" w:cs="Arial" w:eastAsia="Arial" w:hAnsi="Arial"/>
          <w:sz w:val="20"/>
          <w:szCs w:val="20"/>
        </w:rPr>
        <w:t xml:space="preserve">Annually as part of the ISMS Management Review (mandatory trigger per Clause 9.3)</w:t>
      </w:r>
    </w:p>
    <w:p>
      <w:pPr>
        <w:pStyle w:val="ListParagraph"/>
        <w:numPr>
          <w:ilvl w:val="0"/>
          <w:numId w:val="2"/>
        </w:numPr>
        <w:spacing w:after="40" w:before="40"/>
      </w:pPr>
      <w:r>
        <w:rPr>
          <w:rFonts w:ascii="Arial" w:cs="Arial" w:eastAsia="Arial" w:hAnsi="Arial"/>
          <w:sz w:val="20"/>
          <w:szCs w:val="20"/>
        </w:rPr>
        <w:t xml:space="preserve">Following any change in top management personnel or key ISMS role post-holders</w:t>
      </w:r>
    </w:p>
    <w:p>
      <w:pPr>
        <w:pStyle w:val="ListParagraph"/>
        <w:numPr>
          <w:ilvl w:val="0"/>
          <w:numId w:val="2"/>
        </w:numPr>
        <w:spacing w:after="40" w:before="40"/>
      </w:pPr>
      <w:r>
        <w:rPr>
          <w:rFonts w:ascii="Arial" w:cs="Arial" w:eastAsia="Arial" w:hAnsi="Arial"/>
          <w:sz w:val="20"/>
          <w:szCs w:val="20"/>
        </w:rPr>
        <w:t xml:space="preserve">Following a significant organisational restructure affecting information security responsibilities</w:t>
      </w:r>
    </w:p>
    <w:p>
      <w:pPr>
        <w:pStyle w:val="ListParagraph"/>
        <w:numPr>
          <w:ilvl w:val="0"/>
          <w:numId w:val="2"/>
        </w:numPr>
        <w:spacing w:after="40" w:before="40"/>
      </w:pPr>
      <w:r>
        <w:rPr>
          <w:rFonts w:ascii="Arial" w:cs="Arial" w:eastAsia="Arial" w:hAnsi="Arial"/>
          <w:sz w:val="20"/>
          <w:szCs w:val="20"/>
        </w:rPr>
        <w:t xml:space="preserve">Following a material change in the regulatory environment that affects policy content or role responsibilities</w:t>
      </w:r>
    </w:p>
    <w:p>
      <w:pPr>
        <w:pStyle w:val="ListParagraph"/>
        <w:numPr>
          <w:ilvl w:val="0"/>
          <w:numId w:val="2"/>
        </w:numPr>
        <w:spacing w:after="40" w:before="40"/>
      </w:pPr>
      <w:r>
        <w:rPr>
          <w:rFonts w:ascii="Arial" w:cs="Arial" w:eastAsia="Arial" w:hAnsi="Arial"/>
          <w:sz w:val="20"/>
          <w:szCs w:val="20"/>
        </w:rPr>
        <w:t xml:space="preserve">Following a significant security incident revealing a gap in role definition, authority, or policy</w:t>
      </w:r>
    </w:p>
    <w:p>
      <w:pPr>
        <w:pStyle w:val="ListParagraph"/>
        <w:numPr>
          <w:ilvl w:val="0"/>
          <w:numId w:val="2"/>
        </w:numPr>
        <w:spacing w:after="40" w:before="40"/>
      </w:pPr>
      <w:r>
        <w:rPr>
          <w:rFonts w:ascii="Arial" w:cs="Arial" w:eastAsia="Arial" w:hAnsi="Arial"/>
          <w:sz w:val="20"/>
          <w:szCs w:val="20"/>
        </w:rPr>
        <w:t xml:space="preserve">At the discretion of the Managing Director or Information Security Manager</w:t>
      </w:r>
    </w:p>
    <w:p>
      <w:pPr>
        <w:spacing w:after="60" w:before="60"/>
      </w:pPr>
    </w:p>
    <w:p>
      <w:pPr>
        <w:spacing w:after="80" w:before="80"/>
        <w:jc w:val="left"/>
      </w:pPr>
      <w:r>
        <w:rPr>
          <w:rFonts w:ascii="Arial" w:cs="Arial" w:eastAsia="Arial" w:hAnsi="Arial"/>
          <w:b w:val="false"/>
          <w:bCs w:val="false"/>
          <w:color w:val="000000"/>
          <w:sz w:val="20"/>
          <w:szCs w:val="20"/>
        </w:rPr>
        <w:t xml:space="preserve">Changes to the Information Security Policy (Section 4) require approval by the Managing Director as top management. Changes to role assignments (Section 5) and the RACI matrix (Section 6) require approval by the Information Security Manager. All changes must be communicated to affected personnel within 10 working days of approval.</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9.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 Standard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27001:2022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Clause 5 — Leadership: 5.1 Leadership and Commitment; 5.2 Policy; 5.3 Organisational Roles, Responsibilities and Authorities.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27001:2022</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Clause 6.2 — Information security objectives and planning to achieve them (referenced by policy §4.2).</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UK GDPR / DPA 2018</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UK General Data Protection Regulation and Data Protection Act 2018 — applicable requirements committed to in policy.</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NIS Regulations 2018</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and Information Systems Regulations 2018 — applicable requirements committed to in policy.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ISMS-CTX-001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 Context Document — Clauses 4.1 to 4.4 (parent contextual document).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ISMS-OBJ-001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Objectives — measurable objectives established under this policy.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ISMS-MR-001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Management Review Procedure — primary mechanism for ongoing leadership commitment.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ISMS-IAP-001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Audit Programme — auditor role defined and accountability assigned herein.</w:t>
            </w:r>
          </w:p>
        </w:tc>
      </w:tr>
    </w:tbl>
    <w:p>
      <w:pPr>
        <w:spacing w:after="0" w:before="240"/>
      </w:pPr>
    </w:p>
    <w:p>
      <w:pPr>
        <w:spacing w:after="0" w:before="240"/>
      </w:pPr>
      <w:r>
        <w:rPr>
          <w:rFonts w:ascii="Arial" w:cs="Arial" w:eastAsia="Arial" w:hAnsi="Arial"/>
          <w:color w:val="AAAAAA"/>
          <w:sz w:val="16"/>
          <w:szCs w:val="16"/>
        </w:rPr>
        <w:t xml:space="preserve">END OF DOCUMENT — ISMS-LDR-001 v1.0</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20"/>
    </w:pPr>
    <w:r>
      <w:rPr>
        <w:rFonts w:ascii="Arial" w:cs="Arial" w:eastAsia="Arial" w:hAnsi="Arial"/>
        <w:b/>
        <w:bCs/>
        <w:color w:val="2E75B6"/>
        <w:sz w:val="16"/>
        <w:szCs w:val="16"/>
      </w:rPr>
      <w:t xml:space="preserve">INTERNAL</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b/>
        <w:bCs/>
        <w:color w:val="1F3864"/>
        <w:sz w:val="18"/>
        <w:szCs w:val="18"/>
      </w:rPr>
      <w:t xml:space="preserve">Apex Managed Services Ltd — ISMS Leadership, Policy and Roles</w:t>
    </w:r>
    <w:r>
      <w:rPr>
        <w:rFonts w:ascii="Arial" w:cs="Arial" w:eastAsia="Arial" w:hAnsi="Arial"/>
        <w:color w:val="888888"/>
        <w:sz w:val="16"/>
        <w:szCs w:val="16"/>
      </w:rPr>
      <w:t xml:space="preserve">	ISMS-LDR-001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2026-04-02T18:33:48.959Z</dcterms:created>
  <dcterms:modified xsi:type="dcterms:W3CDTF">2026-04-02T18:33:48.960Z</dcterms:modified>
</cp:coreProperties>
</file>

<file path=docProps/custom.xml><?xml version="1.0" encoding="utf-8"?>
<Properties xmlns="http://schemas.openxmlformats.org/officeDocument/2006/custom-properties" xmlns:vt="http://schemas.openxmlformats.org/officeDocument/2006/docPropsVTypes"/>
</file>