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42"/>
          <w:szCs w:val="42"/>
        </w:rPr>
        <w:t xml:space="preserve">Operation</w:t>
      </w:r>
    </w:p>
    <w:p>
      <w:pPr>
        <w:spacing w:after="480" w:before="0"/>
        <w:jc w:val="center"/>
      </w:pPr>
      <w:r>
        <w:rPr>
          <w:rFonts w:ascii="Arial" w:cs="Arial" w:eastAsia="Arial" w:hAnsi="Arial"/>
          <w:color w:val="404040"/>
          <w:sz w:val="22"/>
          <w:szCs w:val="22"/>
        </w:rPr>
        <w:t xml:space="preserve">Operational Planning &amp; Control  |  Risk Assessment Execution  |  Risk Treatment Implementation</w:t>
      </w:r>
    </w:p>
    <w:p>
      <w:pPr>
        <w:spacing w:after="80" w:before="0"/>
        <w:jc w:val="center"/>
      </w:pPr>
      <w:r>
        <w:rPr>
          <w:rFonts w:ascii="Arial" w:cs="Arial" w:eastAsia="Arial" w:hAnsi="Arial"/>
          <w:color w:val="404040"/>
          <w:sz w:val="22"/>
          <w:szCs w:val="22"/>
        </w:rPr>
        <w:t xml:space="preserve">ISO/IEC 27001:2022 — Clauses 8.1, 8.2, 8.3</w:t>
      </w:r>
    </w:p>
    <w:p>
      <w:pPr>
        <w:spacing w:after="80" w:before="60"/>
        <w:jc w:val="center"/>
      </w:pPr>
      <w:r>
        <w:rPr>
          <w:rFonts w:ascii="Arial" w:cs="Arial" w:eastAsia="Arial" w:hAnsi="Arial"/>
          <w:color w:val="888888"/>
          <w:sz w:val="20"/>
          <w:szCs w:val="20"/>
        </w:rPr>
        <w:t xml:space="preserve">ISMS-OPS-001  |  Version 1.0  |  02 April 2026</w:t>
      </w:r>
    </w:p>
    <w:p>
      <w:pPr>
        <w:spacing w:after="600" w:before="0"/>
        <w:jc w:val="center"/>
      </w:pPr>
      <w:r>
        <w:rPr>
          <w:rFonts w:ascii="Arial" w:cs="Arial" w:eastAsia="Arial" w:hAnsi="Arial"/>
          <w:b/>
          <w:bCs/>
          <w:color w:val="2E75B6"/>
          <w:sz w:val="22"/>
          <w:szCs w:val="22"/>
        </w:rPr>
        <w:t xml:space="preserve">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ISMS-OPS-001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Operation — Operational Planning, Risk Assessment Execution &amp; Risk Treatment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8.1, 8.2, 8.3</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Operational process register, criteria and evidence requirements, operational change management procedure, third-party controls register, risk assessment execution schedule and log, risk treatment control implementation tracker, and evidence of treatment log.</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w:t>
      </w:r>
    </w:p>
    <w:p>
      <w:pPr>
        <w:spacing w:after="80" w:before="80"/>
        <w:jc w:val="left"/>
      </w:pPr>
      <w:r>
        <w:rPr>
          <w:rFonts w:ascii="Arial" w:cs="Arial" w:eastAsia="Arial" w:hAnsi="Arial"/>
          <w:b w:val="false"/>
          <w:bCs w:val="false"/>
          <w:color w:val="000000"/>
          <w:sz w:val="20"/>
          <w:szCs w:val="20"/>
        </w:rPr>
        <w:t xml:space="preserve">2.  Relationship to Clause 6 Planning</w:t>
      </w:r>
    </w:p>
    <w:p>
      <w:pPr>
        <w:spacing w:after="80" w:before="80"/>
        <w:jc w:val="left"/>
      </w:pPr>
      <w:r>
        <w:rPr>
          <w:rFonts w:ascii="Arial" w:cs="Arial" w:eastAsia="Arial" w:hAnsi="Arial"/>
          <w:b w:val="false"/>
          <w:bCs w:val="false"/>
          <w:color w:val="000000"/>
          <w:sz w:val="20"/>
          <w:szCs w:val="20"/>
        </w:rPr>
        <w:t xml:space="preserve">3.  Clause 8.1 — Operational Planning and Control</w:t>
      </w:r>
    </w:p>
    <w:p>
      <w:pPr>
        <w:spacing w:after="80" w:before="80"/>
        <w:jc w:val="left"/>
      </w:pPr>
      <w:r>
        <w:rPr>
          <w:rFonts w:ascii="Arial" w:cs="Arial" w:eastAsia="Arial" w:hAnsi="Arial"/>
          <w:b w:val="false"/>
          <w:bCs w:val="false"/>
          <w:color w:val="000000"/>
          <w:sz w:val="20"/>
          <w:szCs w:val="20"/>
        </w:rPr>
        <w:t xml:space="preserve">    3.1  Operational Process Register</w:t>
      </w:r>
    </w:p>
    <w:p>
      <w:pPr>
        <w:spacing w:after="80" w:before="80"/>
        <w:jc w:val="left"/>
      </w:pPr>
      <w:r>
        <w:rPr>
          <w:rFonts w:ascii="Arial" w:cs="Arial" w:eastAsia="Arial" w:hAnsi="Arial"/>
          <w:b w:val="false"/>
          <w:bCs w:val="false"/>
          <w:color w:val="000000"/>
          <w:sz w:val="20"/>
          <w:szCs w:val="20"/>
        </w:rPr>
        <w:t xml:space="preserve">    3.2  Process Criteria and Evidence Requirements</w:t>
      </w:r>
    </w:p>
    <w:p>
      <w:pPr>
        <w:spacing w:after="80" w:before="80"/>
        <w:jc w:val="left"/>
      </w:pPr>
      <w:r>
        <w:rPr>
          <w:rFonts w:ascii="Arial" w:cs="Arial" w:eastAsia="Arial" w:hAnsi="Arial"/>
          <w:b w:val="false"/>
          <w:bCs w:val="false"/>
          <w:color w:val="000000"/>
          <w:sz w:val="20"/>
          <w:szCs w:val="20"/>
        </w:rPr>
        <w:t xml:space="preserve">    3.3  Operational Change Management</w:t>
      </w:r>
    </w:p>
    <w:p>
      <w:pPr>
        <w:spacing w:after="80" w:before="80"/>
        <w:jc w:val="left"/>
      </w:pPr>
      <w:r>
        <w:rPr>
          <w:rFonts w:ascii="Arial" w:cs="Arial" w:eastAsia="Arial" w:hAnsi="Arial"/>
          <w:b w:val="false"/>
          <w:bCs w:val="false"/>
          <w:color w:val="000000"/>
          <w:sz w:val="20"/>
          <w:szCs w:val="20"/>
        </w:rPr>
        <w:t xml:space="preserve">    3.3.1  Change Type Framework</w:t>
      </w:r>
    </w:p>
    <w:p>
      <w:pPr>
        <w:spacing w:after="80" w:before="80"/>
        <w:jc w:val="left"/>
      </w:pPr>
      <w:r>
        <w:rPr>
          <w:rFonts w:ascii="Arial" w:cs="Arial" w:eastAsia="Arial" w:hAnsi="Arial"/>
          <w:b w:val="false"/>
          <w:bCs w:val="false"/>
          <w:color w:val="000000"/>
          <w:sz w:val="20"/>
          <w:szCs w:val="20"/>
        </w:rPr>
        <w:t xml:space="preserve">    3.3.2  Unplanned Change Response Procedure</w:t>
      </w:r>
    </w:p>
    <w:p>
      <w:pPr>
        <w:spacing w:after="80" w:before="80"/>
        <w:jc w:val="left"/>
      </w:pPr>
      <w:r>
        <w:rPr>
          <w:rFonts w:ascii="Arial" w:cs="Arial" w:eastAsia="Arial" w:hAnsi="Arial"/>
          <w:b w:val="false"/>
          <w:bCs w:val="false"/>
          <w:color w:val="000000"/>
          <w:sz w:val="20"/>
          <w:szCs w:val="20"/>
        </w:rPr>
        <w:t xml:space="preserve">    3.4  Control of Externally Provided Processes, Products and Services</w:t>
      </w:r>
    </w:p>
    <w:p>
      <w:pPr>
        <w:spacing w:after="80" w:before="80"/>
        <w:jc w:val="left"/>
      </w:pPr>
      <w:r>
        <w:rPr>
          <w:rFonts w:ascii="Arial" w:cs="Arial" w:eastAsia="Arial" w:hAnsi="Arial"/>
          <w:b w:val="false"/>
          <w:bCs w:val="false"/>
          <w:color w:val="000000"/>
          <w:sz w:val="20"/>
          <w:szCs w:val="20"/>
        </w:rPr>
        <w:t xml:space="preserve">4.  Clause 8.2 — Information Security Risk Assessment Execution</w:t>
      </w:r>
    </w:p>
    <w:p>
      <w:pPr>
        <w:spacing w:after="80" w:before="80"/>
        <w:jc w:val="left"/>
      </w:pPr>
      <w:r>
        <w:rPr>
          <w:rFonts w:ascii="Arial" w:cs="Arial" w:eastAsia="Arial" w:hAnsi="Arial"/>
          <w:b w:val="false"/>
          <w:bCs w:val="false"/>
          <w:color w:val="000000"/>
          <w:sz w:val="20"/>
          <w:szCs w:val="20"/>
        </w:rPr>
        <w:t xml:space="preserve">    4.1  Risk Assessment Schedule and Trigger Framework</w:t>
      </w:r>
    </w:p>
    <w:p>
      <w:pPr>
        <w:spacing w:after="80" w:before="80"/>
        <w:jc w:val="left"/>
      </w:pPr>
      <w:r>
        <w:rPr>
          <w:rFonts w:ascii="Arial" w:cs="Arial" w:eastAsia="Arial" w:hAnsi="Arial"/>
          <w:b w:val="false"/>
          <w:bCs w:val="false"/>
          <w:color w:val="000000"/>
          <w:sz w:val="20"/>
          <w:szCs w:val="20"/>
        </w:rPr>
        <w:t xml:space="preserve">    4.2  Risk Assessment Execution Log</w:t>
      </w:r>
    </w:p>
    <w:p>
      <w:pPr>
        <w:spacing w:after="80" w:before="80"/>
        <w:jc w:val="left"/>
      </w:pPr>
      <w:r>
        <w:rPr>
          <w:rFonts w:ascii="Arial" w:cs="Arial" w:eastAsia="Arial" w:hAnsi="Arial"/>
          <w:b w:val="false"/>
          <w:bCs w:val="false"/>
          <w:color w:val="000000"/>
          <w:sz w:val="20"/>
          <w:szCs w:val="20"/>
        </w:rPr>
        <w:t xml:space="preserve">    4.3  Evidence of Risk Assessment Results</w:t>
      </w:r>
    </w:p>
    <w:p>
      <w:pPr>
        <w:spacing w:after="80" w:before="80"/>
        <w:jc w:val="left"/>
      </w:pPr>
      <w:r>
        <w:rPr>
          <w:rFonts w:ascii="Arial" w:cs="Arial" w:eastAsia="Arial" w:hAnsi="Arial"/>
          <w:b w:val="false"/>
          <w:bCs w:val="false"/>
          <w:color w:val="000000"/>
          <w:sz w:val="20"/>
          <w:szCs w:val="20"/>
        </w:rPr>
        <w:t xml:space="preserve">5.  Clause 8.3 — Information Security Risk Treatment Implementation</w:t>
      </w:r>
    </w:p>
    <w:p>
      <w:pPr>
        <w:spacing w:after="80" w:before="80"/>
        <w:jc w:val="left"/>
      </w:pPr>
      <w:r>
        <w:rPr>
          <w:rFonts w:ascii="Arial" w:cs="Arial" w:eastAsia="Arial" w:hAnsi="Arial"/>
          <w:b w:val="false"/>
          <w:bCs w:val="false"/>
          <w:color w:val="000000"/>
          <w:sz w:val="20"/>
          <w:szCs w:val="20"/>
        </w:rPr>
        <w:t xml:space="preserve">    5.1  Control Implementation Tracker</w:t>
      </w:r>
    </w:p>
    <w:p>
      <w:pPr>
        <w:spacing w:after="80" w:before="80"/>
        <w:jc w:val="left"/>
      </w:pPr>
      <w:r>
        <w:rPr>
          <w:rFonts w:ascii="Arial" w:cs="Arial" w:eastAsia="Arial" w:hAnsi="Arial"/>
          <w:b w:val="false"/>
          <w:bCs w:val="false"/>
          <w:color w:val="000000"/>
          <w:sz w:val="20"/>
          <w:szCs w:val="20"/>
        </w:rPr>
        <w:t xml:space="preserve">    5.2  Evidence of Risk Treatment</w:t>
      </w:r>
    </w:p>
    <w:p>
      <w:pPr>
        <w:spacing w:after="80" w:before="80"/>
        <w:jc w:val="left"/>
      </w:pPr>
      <w:r>
        <w:rPr>
          <w:rFonts w:ascii="Arial" w:cs="Arial" w:eastAsia="Arial" w:hAnsi="Arial"/>
          <w:b w:val="false"/>
          <w:bCs w:val="false"/>
          <w:color w:val="000000"/>
          <w:sz w:val="20"/>
          <w:szCs w:val="20"/>
        </w:rPr>
        <w:t xml:space="preserve">    5.3  Treatment Effectiveness Evaluation</w:t>
      </w:r>
    </w:p>
    <w:p>
      <w:pPr>
        <w:spacing w:after="80" w:before="80"/>
        <w:jc w:val="left"/>
      </w:pPr>
      <w:r>
        <w:rPr>
          <w:rFonts w:ascii="Arial" w:cs="Arial" w:eastAsia="Arial" w:hAnsi="Arial"/>
          <w:b w:val="false"/>
          <w:bCs w:val="false"/>
          <w:color w:val="000000"/>
          <w:sz w:val="20"/>
          <w:szCs w:val="20"/>
        </w:rPr>
        <w:t xml:space="preserve">6.  Linkage to Other ISMS Documents</w:t>
      </w:r>
    </w:p>
    <w:p>
      <w:pPr>
        <w:spacing w:after="80" w:before="80"/>
        <w:jc w:val="left"/>
      </w:pPr>
      <w:r>
        <w:rPr>
          <w:rFonts w:ascii="Arial" w:cs="Arial" w:eastAsia="Arial" w:hAnsi="Arial"/>
          <w:b w:val="false"/>
          <w:bCs w:val="false"/>
          <w:color w:val="000000"/>
          <w:sz w:val="20"/>
          <w:szCs w:val="20"/>
        </w:rPr>
        <w:t xml:space="preserve">7.  Review and Maintenance</w:t>
      </w:r>
    </w:p>
    <w:p>
      <w:pPr>
        <w:spacing w:after="80" w:before="80"/>
        <w:jc w:val="left"/>
      </w:pPr>
      <w:r>
        <w:rPr>
          <w:rFonts w:ascii="Arial" w:cs="Arial" w:eastAsia="Arial" w:hAnsi="Arial"/>
          <w:b w:val="false"/>
          <w:bCs w:val="false"/>
          <w:color w:val="000000"/>
          <w:sz w:val="20"/>
          <w:szCs w:val="20"/>
        </w:rPr>
        <w:t xml:space="preserve">8.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w:t>
      </w:r>
    </w:p>
    <w:p>
      <w:pPr>
        <w:spacing w:after="80" w:before="80"/>
        <w:jc w:val="left"/>
      </w:pPr>
      <w:r>
        <w:rPr>
          <w:rFonts w:ascii="Arial" w:cs="Arial" w:eastAsia="Arial" w:hAnsi="Arial"/>
          <w:b w:val="false"/>
          <w:bCs w:val="false"/>
          <w:color w:val="000000"/>
          <w:sz w:val="20"/>
          <w:szCs w:val="20"/>
        </w:rPr>
        <w:t xml:space="preserve">This document constitutes the ISMS Operation document for Apex Managed Services Ltd and provides the consolidated documented evidence required by ISO/IEC 27001:2022 Clause 8 — Operation. It is the operational layer of the ISMS, translating the planning outputs of Clause 6 into controlled, evidenced, running processes.</w:t>
      </w:r>
    </w:p>
    <w:p>
      <w:pPr>
        <w:spacing w:after="60" w:before="60"/>
      </w:pPr>
    </w:p>
    <w:p>
      <w:pPr>
        <w:spacing w:after="80" w:before="80"/>
        <w:jc w:val="left"/>
      </w:pPr>
      <w:r>
        <w:rPr>
          <w:rFonts w:ascii="Arial" w:cs="Arial" w:eastAsia="Arial" w:hAnsi="Arial"/>
          <w:b w:val="false"/>
          <w:bCs w:val="false"/>
          <w:color w:val="000000"/>
          <w:sz w:val="20"/>
          <w:szCs w:val="20"/>
        </w:rPr>
        <w:t xml:space="preserve">Clause 8 is distinct from Clause 6 in the following critical respect: where Clause 6 defines the methodology and planning intent (how risk assessments will be done, which controls will be applied, what objectives will be pursued), Clause 8 provides evidence that those plans are actually being implemented and executed. An auditor examining Clause 8 evidence is looking for proof of operation — logs, reports, records — not just procedure documents.</w:t>
      </w:r>
    </w:p>
    <w:p>
      <w:pPr>
        <w:spacing w:after="60" w:before="60"/>
      </w:pPr>
    </w:p>
    <w:p>
      <w:pPr>
        <w:spacing w:after="80" w:before="80"/>
        <w:jc w:val="left"/>
      </w:pPr>
      <w:r>
        <w:rPr>
          <w:rFonts w:ascii="Arial" w:cs="Arial" w:eastAsia="Arial" w:hAnsi="Arial"/>
          <w:b w:val="false"/>
          <w:bCs w:val="false"/>
          <w:color w:val="000000"/>
          <w:sz w:val="20"/>
          <w:szCs w:val="20"/>
        </w:rPr>
        <w:t xml:space="preserve">This document addresses the three sub-clauses of Clause 8:</w:t>
      </w:r>
    </w:p>
    <w:p>
      <w:pPr>
        <w:spacing w:after="60" w:before="60"/>
      </w:pPr>
    </w:p>
    <w:p>
      <w:pPr>
        <w:pStyle w:val="ListParagraph"/>
        <w:numPr>
          <w:ilvl w:val="0"/>
          <w:numId w:val="2"/>
        </w:numPr>
        <w:spacing w:after="40" w:before="40"/>
      </w:pPr>
      <w:r>
        <w:rPr>
          <w:rFonts w:ascii="Arial" w:cs="Arial" w:eastAsia="Arial" w:hAnsi="Arial"/>
          <w:sz w:val="20"/>
          <w:szCs w:val="20"/>
        </w:rPr>
        <w:t xml:space="preserve">Clause 8.1 — Operational planning and control: defines the operational processes, their criteria, the evidence demonstrating planned execution, the change management procedure for planned and unplanned changes, and the controls applied to externally provided processes, products, and services.</w:t>
      </w:r>
    </w:p>
    <w:p>
      <w:pPr>
        <w:pStyle w:val="ListParagraph"/>
        <w:numPr>
          <w:ilvl w:val="0"/>
          <w:numId w:val="2"/>
        </w:numPr>
        <w:spacing w:after="40" w:before="40"/>
      </w:pPr>
      <w:r>
        <w:rPr>
          <w:rFonts w:ascii="Arial" w:cs="Arial" w:eastAsia="Arial" w:hAnsi="Arial"/>
          <w:sz w:val="20"/>
          <w:szCs w:val="20"/>
        </w:rPr>
        <w:t xml:space="preserve">Clause 8.2 — Risk assessment execution: documents the schedule and triggers for performing information security risk assessments, the execution log for completed and planned assessments, and the evidence retained as required by the clause.</w:t>
      </w:r>
    </w:p>
    <w:p>
      <w:pPr>
        <w:pStyle w:val="ListParagraph"/>
        <w:numPr>
          <w:ilvl w:val="0"/>
          <w:numId w:val="2"/>
        </w:numPr>
        <w:spacing w:after="40" w:before="40"/>
      </w:pPr>
      <w:r>
        <w:rPr>
          <w:rFonts w:ascii="Arial" w:cs="Arial" w:eastAsia="Arial" w:hAnsi="Arial"/>
          <w:sz w:val="20"/>
          <w:szCs w:val="20"/>
        </w:rPr>
        <w:t xml:space="preserve">Clause 8.3 — Risk treatment implementation: provides the control implementation tracker demonstrating that the risk treatment plan (ISMS-PLN-001) is being implemented, with evidence of treatment and residual risk re-evaluation.</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Relationship to Clause 6 Planning</w:t>
      </w:r>
    </w:p>
    <w:p>
      <w:pPr>
        <w:spacing w:after="80" w:before="80"/>
        <w:jc w:val="left"/>
      </w:pPr>
      <w:r>
        <w:rPr>
          <w:rFonts w:ascii="Arial" w:cs="Arial" w:eastAsia="Arial" w:hAnsi="Arial"/>
          <w:b w:val="false"/>
          <w:bCs w:val="false"/>
          <w:color w:val="000000"/>
          <w:sz w:val="20"/>
          <w:szCs w:val="20"/>
        </w:rPr>
        <w:t xml:space="preserve">The relationship between Clause 6 (Planning) and Clause 8 (Operation) is fundamental to understanding what this document must evidence. The table below clarifies the division: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06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Clause 6 Establishes (Planning)</w:t>
            </w:r>
          </w:p>
        </w:tc>
        <w:tc>
          <w:tcPr>
            <w:tcW w:type="dxa" w:w="4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Clause 8 Evidences (Operation)</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6.1.2 / 8.2</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methodology, criteria, scoring scales, acceptance thresholds. (ISMS-PLN-001 §3)</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Actual risk assessment results, execution dates, trigger records, evidence of assessments performed at planned intervals. (This document §4)</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6.1.3 / 8.3</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treatment options selected, controls determined, Annex A cross-reference, SoA, treatment plan. (ISMS-PLN-001 §4)</w:t>
            </w:r>
          </w:p>
        </w:tc>
        <w:tc>
          <w:tcPr>
            <w:tcW w:type="dxa" w:w="4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Evidence that treatment controls are actually implemented: deployment records, configuration audits, logs, reports. (This document §5)</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6.2 / 8.1</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Information security objectives and planning to achieve them. (ISMS-PLN-001 §5)</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processes implementing the objectives, with defined criteria and documented evidence of execution. (This document §3)</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6.3 / 8.1</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planning procedure — how changes to the ISMS will be managed. (ISMS-PLN-001 §6)</w:t>
            </w:r>
          </w:p>
        </w:tc>
        <w:tc>
          <w:tcPr>
            <w:tcW w:type="dxa" w:w="4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change management in practice: change log, unplanned change response, third-party change controls. (This document §3.3)</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8.1 — Operational Planning and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8.1</w:t>
            </w:r>
          </w:p>
          <w:p>
            <w:pPr>
              <w:jc w:val="center"/>
            </w:pPr>
            <w:r>
              <w:rPr>
                <w:rFonts w:ascii="Arial" w:cs="Arial" w:eastAsia="Arial" w:hAnsi="Arial"/>
                <w:color w:val="D6E4F0"/>
                <w:sz w:val="14"/>
                <w:szCs w:val="14"/>
              </w:rPr>
              <w:t xml:space="preserve">Operational Planning</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plan, implement and control the processes needed to meet requirements and implement Clause 6 actions, by establishing process criteria and implementing control accordingly. Documented information shall confirm processes have been carried out as planned. Planned changes shall be controlled; unplanned changes reviewed and adverse effects mitigated. Externally provided processes, products and services relevant to the ISMS shall be controlled.</w:t>
            </w:r>
          </w:p>
        </w:tc>
      </w:tr>
    </w:tbl>
    <w:p>
      <w:pPr>
        <w:spacing w:after="120" w:before="120"/>
      </w:pPr>
    </w:p>
    <w:p>
      <w:pPr>
        <w:pStyle w:val="Heading2"/>
        <w:spacing w:after="80" w:before="240"/>
      </w:pPr>
      <w:r>
        <w:rPr>
          <w:rFonts w:ascii="Arial" w:cs="Arial" w:eastAsia="Arial" w:hAnsi="Arial"/>
          <w:b/>
          <w:bCs/>
          <w:color w:val="2E75B6"/>
          <w:sz w:val="26"/>
          <w:szCs w:val="26"/>
        </w:rPr>
        <w:t xml:space="preserve">3.1 Operational Process Register</w:t>
      </w:r>
    </w:p>
    <w:p>
      <w:pPr>
        <w:spacing w:after="80" w:before="80"/>
        <w:jc w:val="left"/>
      </w:pPr>
      <w:r>
        <w:rPr>
          <w:rFonts w:ascii="Arial" w:cs="Arial" w:eastAsia="Arial" w:hAnsi="Arial"/>
          <w:b w:val="false"/>
          <w:bCs w:val="false"/>
          <w:color w:val="000000"/>
          <w:sz w:val="20"/>
          <w:szCs w:val="20"/>
        </w:rPr>
        <w:t xml:space="preserve">The following operational processes are established, implemented, and controlled by Apex Managed Services Ltd to meet ISMS requirements and implement the actions determined in Clause 6. Each process has defined criteria against which it is operated, and identified evidence demonstrating that it has been carried out as planned — satisfying the documented information requirement of Clause 8.1.</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760"/>
        <w:gridCol w:w="2060"/>
        <w:gridCol w:w="1800"/>
        <w:gridCol w:w="760"/>
        <w:gridCol w:w="1200"/>
        <w:gridCol w:w="100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Operational Process</w:t>
            </w:r>
          </w:p>
        </w:tc>
        <w:tc>
          <w:tcPr>
            <w:tcW w:type="dxa" w:w="2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Process Criteria</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of Planned Execution</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OPS-001</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Privileged Access Management (PAM)</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privileged access to client environments provisioned via PAM tool with session recording enabled; MFA enforced; access reviewed quarterly; JIT provisioning applied for non-routine access.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PAM session logs; access review records; MFA enforcement report (Entra ID); access provisioning/deprovisioning log.</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 / Quarterly review</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OPS-002</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Identity and Access Management — Joiner/Mover/Leaver (JML)</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Joiners: accounts provisioned within 1 business day of start date with minimum necessary access. Movers: access reviewed and adjusted within 5 business days of role change. Leavers: all access revoked within 4 hours of departure; privileged access revoked immediately.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AD/Entra ID account creation and deletion timestamps; access provisioning log; leaver checklist (ISMS-HR-001); access review records.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Event-triggered</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OPS-003</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Vulnerability Scanning and Patch Management</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Vulnerability scans executed weekly across all corporate endpoints and cloud assets; Critical vulnerabilities remediated ≤24h; High ≤7d; Medium ≤30d; Low ≤90d. Scan coverage ≥99% of enrolled endpoints.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Vulnerability scan reports; patch compliance dashboard (Defender VM / Intune); remediation SLA performance log; exceptions register.</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Weekly scan; continuous monitoring</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OPS-004</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Monitoring and Alert Triage (SIEM)</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Microsoft Sentinel alerts reviewed daily; High-severity alerts acknowledged within 1 hour; all alerts triaged within 4 hours; false positives tuned monthly; detection rules reviewed quarterly.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Sentinel alert queue audit log; triage timestamps; incident tickets raised from alerts; monthly false-positive tuning report.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 / Daily triage</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OPS-005</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Incident Detection, Reporting and Response</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security events reported to ISM within 1 working day; incidents classified and response initiated per ISMS-IRP-001 SLA; Post-Incident Review (PIR) completed within 10 working days of High incident closure; ICO notified within 72 hours where personal data involved.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Incident log (ISMS-IRP-001); classification records; PIR reports; ICO notification records; mean-time-to-detect (MTTD) and mean-time-to-respond (MTTR) metrics.</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Event-triggered; daily monitoring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OPS-006</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Backup and Recovery Validation</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Automated backups executed daily for all critical systems; backup success confirmed within 1 business day; restoration test performed quarterly; RTO/RPO validated against client SLAs; backup stored geographically separate from primary.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Backup success/failure log; quarterly restoration test report; RTO/RPO validation record; backup configuration audit.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Daily backup; Quarterly restore test</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OPS-007</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Cloud Security Configuration Management (CSPM)</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Microsoft Secure Score reviewed monthly with documented target score; Defender for Cloud recommendations actioned within defined priority timelines; configuration baseline (CIS Benchmark) assessed quarterly; no Critical misconfigurations left unaddressed beyond 48 hours.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Microsoft Secure Score monthly report; Defender for Cloud recommendation tracker; CSPM quarterly assessment report; configuration change audit log.</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Monthly review; Quarterly assessment</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OPS-008</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Endpoint Security and Device Management</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corporate endpoints enrolled in Intune MDM; Defender for Endpoint deployed on 100% of enrolled devices; BitLocker/FileVault full-disk encryption enforced; device compliance policy applied; non-compliant devices blocked from corporate resources.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Intune compliance report; Defender endpoint coverage report; BitLocker compliance report; non-compliant device log and remediation records.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 enforcement; Weekly review</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OPS-009</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Supplier and Third-Party Security Reviews</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new critical suppliers assessed using the supplier risk assessment process (ISMS-SUP-001) before contract award; contractual security clauses applied to all supplier agreements; existing critical suppliers reviewed annually; supplier security incidents reported to ISM within 24 hours.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Supplier risk assessment records (ISMS-SUP-001); supplier contract security schedule; annual supplier review records; supplier incident notification log.</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Pre-contract; Annual review</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OPS-010</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Awareness Training Delivery</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mandatory security awareness training delivered and completed by ≥95% of staff within 30 days of launch; quarterly phishing simulations conducted; new starter induction completed within first 5 working days; completion records maintained.</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LMS completion reports; phishing simulation metrics; onboarding training records; policy acknowledgement log (ISMS-TRN-REC).</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 Quarterly + Event</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OPS-011</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Internal Audit</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internal audit programme executed per ISMS-IAP-001 schedule; all mandatory Clause and Annex A control areas covered within the 12-month cycle; audit reports issued within 10 working days of field audit completion; nonconformities entered into corrective action tracker within 5 working days.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Audit plan (ISMS-IAP-001); audit reports; nonconformity records (ISMS-CAR-001); auditor independence confirmation.</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Auditor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programme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OPS-012</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ISMS Management Review</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management review conducted per ISMS-MR-001 with all mandatory agenda items addressed; quarterly KPI review conducted; review minutes published within 5 working days; all action items tracked to closure.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Management review minutes (ISMS-MR-001); KPI reports (ISMS-MR-002); action item tracker; attendance record.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MD / ISM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full; Quarterly KPI</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OPS-013</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Cryptography and Key Management</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Encryption applied to all data at rest (BitLocker/FileVault) and in transit (TLS 1.2 minimum); cryptographic keys managed per documented key management procedure; key rotation schedule defined and followed; expired or compromised keys revoked immediately.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Encryption configuration audit; TLS configuration scan results; key inventory and rotation log; expired key revocation records.</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 Annual key review</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OPS-014</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Secure Configuration and Hardening</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Security baselines (CIS Benchmarks for endpoints, M365, Azure) documented and applied to all in-scope systems; configuration deviations require documented exception with risk acceptance; baseline compliance assessed quarterly.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Baseline configuration documents; quarterly compliance assessment report; exception register with risk acceptance records; configuration audit trail.</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Quarterly assessment; Continuous enforcement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OPS-015</w:t>
            </w:r>
          </w:p>
        </w:tc>
        <w:tc>
          <w:tcPr>
            <w:tcW w:type="dxa" w:w="1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Asset Lifecycle Management</w:t>
            </w:r>
          </w:p>
        </w:tc>
        <w:tc>
          <w:tcPr>
            <w:tcW w:type="dxa" w:w="2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All in-scope information assets inventoried in ISMS-AST-001 within 5 working days of acquisition; assets classified per data classification policy; end-of-life assets securely decommissioned with data destruction verified and evidenced; asset register reviewed quarterly.</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Asset register (ISMS-AST-001); asset acquisition and decommission records; data destruction certificates; quarterly register review record.</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 Quarterly review</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bl>
    <w:p>
      <w:pPr>
        <w:spacing w:after="60" w:before="60"/>
      </w:pPr>
    </w:p>
    <w:p>
      <w:pPr>
        <w:spacing w:after="80" w:before="80"/>
        <w:jc w:val="left"/>
      </w:pPr>
      <w:r>
        <w:rPr>
          <w:rFonts w:ascii="Arial" w:cs="Arial" w:eastAsia="Arial" w:hAnsi="Arial"/>
          <w:b w:val="false"/>
          <w:bCs w:val="false"/>
          <w:color w:val="888888"/>
          <w:sz w:val="18"/>
          <w:szCs w:val="18"/>
        </w:rPr>
        <w:t xml:space="preserve">Status reflects current implementation state at document date. All In Progress and Planned processes have target completion dates defined in ISMS-PLN-001 §5 (Security Objectives). Process status is reviewed at the quarterly KPI review and annually at management review.</w:t>
      </w:r>
    </w:p>
    <w:p>
      <w:pPr>
        <w:spacing w:after="120" w:before="120"/>
      </w:pPr>
    </w:p>
    <w:p>
      <w:pPr>
        <w:pStyle w:val="Heading2"/>
        <w:spacing w:after="80" w:before="240"/>
      </w:pPr>
      <w:r>
        <w:rPr>
          <w:rFonts w:ascii="Arial" w:cs="Arial" w:eastAsia="Arial" w:hAnsi="Arial"/>
          <w:b/>
          <w:bCs/>
          <w:color w:val="2E75B6"/>
          <w:sz w:val="26"/>
          <w:szCs w:val="26"/>
        </w:rPr>
        <w:t xml:space="preserve">3.2 Process Criteria and Evidence Requirements</w:t>
      </w:r>
    </w:p>
    <w:p>
      <w:pPr>
        <w:spacing w:after="80" w:before="80"/>
        <w:jc w:val="left"/>
      </w:pPr>
      <w:r>
        <w:rPr>
          <w:rFonts w:ascii="Arial" w:cs="Arial" w:eastAsia="Arial" w:hAnsi="Arial"/>
          <w:b w:val="false"/>
          <w:bCs w:val="false"/>
          <w:color w:val="000000"/>
          <w:sz w:val="20"/>
          <w:szCs w:val="20"/>
        </w:rPr>
        <w:t xml:space="preserve">For each operational process, two elements must be demonstrable to an auditor: (1) that process criteria are defined and controlled against — establishing the standard against which the process operates; and (2) that documented information exists confirming the process has been carried out as planned. The table above documents both elements per process. The following principles govern evidence management:</w:t>
      </w:r>
    </w:p>
    <w:p>
      <w:pPr>
        <w:spacing w:after="60" w:before="60"/>
      </w:pPr>
    </w:p>
    <w:p>
      <w:pPr>
        <w:pStyle w:val="ListParagraph"/>
        <w:numPr>
          <w:ilvl w:val="0"/>
          <w:numId w:val="2"/>
        </w:numPr>
        <w:spacing w:after="40" w:before="40"/>
      </w:pPr>
      <w:r>
        <w:rPr>
          <w:rFonts w:ascii="Arial" w:cs="Arial" w:eastAsia="Arial" w:hAnsi="Arial"/>
          <w:sz w:val="20"/>
          <w:szCs w:val="20"/>
        </w:rPr>
        <w:t xml:space="preserve">Evidence is retained per the retention schedule in ISMS-SPT-001 §6.6.</w:t>
      </w:r>
    </w:p>
    <w:p>
      <w:pPr>
        <w:pStyle w:val="ListParagraph"/>
        <w:numPr>
          <w:ilvl w:val="0"/>
          <w:numId w:val="2"/>
        </w:numPr>
        <w:spacing w:after="40" w:before="40"/>
      </w:pPr>
      <w:r>
        <w:rPr>
          <w:rFonts w:ascii="Arial" w:cs="Arial" w:eastAsia="Arial" w:hAnsi="Arial"/>
          <w:sz w:val="20"/>
          <w:szCs w:val="20"/>
        </w:rPr>
        <w:t xml:space="preserve">Automated evidence (logs, reports, dashboards) is preferred over manual records where technically feasible.</w:t>
      </w:r>
    </w:p>
    <w:p>
      <w:pPr>
        <w:pStyle w:val="ListParagraph"/>
        <w:numPr>
          <w:ilvl w:val="0"/>
          <w:numId w:val="2"/>
        </w:numPr>
        <w:spacing w:after="40" w:before="40"/>
      </w:pPr>
      <w:r>
        <w:rPr>
          <w:rFonts w:ascii="Arial" w:cs="Arial" w:eastAsia="Arial" w:hAnsi="Arial"/>
          <w:sz w:val="20"/>
          <w:szCs w:val="20"/>
        </w:rPr>
        <w:t xml:space="preserve">Evidence is stored in the designated ISMS document management system or in the relevant operational platform (Sentinel, Intune, Defender VM) with access controlled per document classification.</w:t>
      </w:r>
    </w:p>
    <w:p>
      <w:pPr>
        <w:pStyle w:val="ListParagraph"/>
        <w:numPr>
          <w:ilvl w:val="0"/>
          <w:numId w:val="2"/>
        </w:numPr>
        <w:spacing w:after="40" w:before="40"/>
      </w:pPr>
      <w:r>
        <w:rPr>
          <w:rFonts w:ascii="Arial" w:cs="Arial" w:eastAsia="Arial" w:hAnsi="Arial"/>
          <w:sz w:val="20"/>
          <w:szCs w:val="20"/>
        </w:rPr>
        <w:t xml:space="preserve">Where a process is not yet fully implemented (status: In Progress / Planned), interim evidence of partial implementation is retained and the gap is tracked as a corrective action or objective.</w:t>
      </w:r>
    </w:p>
    <w:p>
      <w:pPr>
        <w:pStyle w:val="ListParagraph"/>
        <w:numPr>
          <w:ilvl w:val="0"/>
          <w:numId w:val="2"/>
        </w:numPr>
        <w:spacing w:after="40" w:before="40"/>
      </w:pPr>
      <w:r>
        <w:rPr>
          <w:rFonts w:ascii="Arial" w:cs="Arial" w:eastAsia="Arial" w:hAnsi="Arial"/>
          <w:sz w:val="20"/>
          <w:szCs w:val="20"/>
        </w:rPr>
        <w:t xml:space="preserve">The ISM reviews operational evidence completeness quarterly and reports gaps to management review.</w:t>
      </w:r>
    </w:p>
    <w:p>
      <w:pPr>
        <w:spacing w:after="120" w:before="120"/>
      </w:pPr>
    </w:p>
    <w:p>
      <w:pPr>
        <w:pStyle w:val="Heading2"/>
        <w:spacing w:after="80" w:before="240"/>
      </w:pPr>
      <w:r>
        <w:rPr>
          <w:rFonts w:ascii="Arial" w:cs="Arial" w:eastAsia="Arial" w:hAnsi="Arial"/>
          <w:b/>
          <w:bCs/>
          <w:color w:val="2E75B6"/>
          <w:sz w:val="26"/>
          <w:szCs w:val="26"/>
        </w:rPr>
        <w:t xml:space="preserve">3.3 Operational Change Management</w:t>
      </w:r>
    </w:p>
    <w:p>
      <w:pPr>
        <w:spacing w:after="80" w:before="80"/>
        <w:jc w:val="left"/>
      </w:pPr>
      <w:r>
        <w:rPr>
          <w:rFonts w:ascii="Arial" w:cs="Arial" w:eastAsia="Arial" w:hAnsi="Arial"/>
          <w:b w:val="false"/>
          <w:bCs w:val="false"/>
          <w:color w:val="000000"/>
          <w:sz w:val="20"/>
          <w:szCs w:val="20"/>
        </w:rPr>
        <w:t xml:space="preserve">Clause 8.1 requires the organisation to control planned changes and review the consequences of unplanned changes, taking action to mitigate any adverse effects. The following change management framework operates within the ISMS. The change planning procedure (strategic framework) is defined in ISMS-PLN-001 §6.3; this section governs the operational implementation.</w:t>
      </w:r>
    </w:p>
    <w:p>
      <w:pPr>
        <w:spacing w:after="120" w:before="120"/>
      </w:pPr>
    </w:p>
    <w:p>
      <w:pPr>
        <w:pStyle w:val="Heading3"/>
        <w:spacing w:after="60" w:before="160"/>
      </w:pPr>
      <w:r>
        <w:rPr>
          <w:rFonts w:ascii="Arial" w:cs="Arial" w:eastAsia="Arial" w:hAnsi="Arial"/>
          <w:b/>
          <w:bCs/>
          <w:color w:val="404040"/>
          <w:sz w:val="22"/>
          <w:szCs w:val="22"/>
        </w:rPr>
        <w:t xml:space="preserve">3.3.1 Change Type Framework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000"/>
        <w:gridCol w:w="1060"/>
        <w:gridCol w:w="8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Type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Approval Authority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Documentation Required</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Pre-approval Required?</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Post-review</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Standard / Routine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Low-risk, pre-approved changes to known processes (e.g. routine patch application, user account provisioning within established parameters).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ISM (or HoT for technical)</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Standard Change List (pre-approved); documented in change log within 5 working days.</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None required</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Post-implementation: verify within 7 days.</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Normal / Planned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Planned changes with defined risk that require assessment and approval before implementation (e.g. new tooling, scope changes, policy revisions, infrastructure modifications).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ISM (assess) → MD (approve if scope/policy impact)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Change request form; risk assessment; implementation plan; rollback plan; communication plan.</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Before implementation: ISM review; MD approval for scope/policy changes.</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Within 30 days: effectiveness evaluation; lessons learned if issues arose.</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Emergency</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Urgent changes required to prevent or mitigate an active security incident or critical failure (e.g. emergency account lockout, emergency patch, IOC blocking).</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HoT / ISM (immediate); retrospective MD notification within 24h</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Emergency change record created within 4 hours; retrospective review within 5 working days; ISM sign-off.</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Post-implementation (within 5 working days): retrospective assessment and approval.</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Post-incident review (ISMS-IRP-001) where applicable.</w:t>
            </w:r>
          </w:p>
        </w:tc>
      </w:tr>
    </w:tbl>
    <w:p>
      <w:pPr>
        <w:spacing w:after="120" w:before="120"/>
      </w:pPr>
    </w:p>
    <w:p>
      <w:pPr>
        <w:pStyle w:val="Heading3"/>
        <w:spacing w:after="60" w:before="160"/>
      </w:pPr>
      <w:r>
        <w:rPr>
          <w:rFonts w:ascii="Arial" w:cs="Arial" w:eastAsia="Arial" w:hAnsi="Arial"/>
          <w:b/>
          <w:bCs/>
          <w:color w:val="404040"/>
          <w:sz w:val="22"/>
          <w:szCs w:val="22"/>
        </w:rPr>
        <w:t xml:space="preserve">3.3.2 Unplanned Change Response Procedure</w:t>
      </w:r>
    </w:p>
    <w:p>
      <w:pPr>
        <w:spacing w:after="80" w:before="80"/>
        <w:jc w:val="left"/>
      </w:pPr>
      <w:r>
        <w:rPr>
          <w:rFonts w:ascii="Arial" w:cs="Arial" w:eastAsia="Arial" w:hAnsi="Arial"/>
          <w:b w:val="false"/>
          <w:bCs w:val="false"/>
          <w:color w:val="000000"/>
          <w:sz w:val="20"/>
          <w:szCs w:val="20"/>
        </w:rPr>
        <w:t xml:space="preserve">Where an unplanned change occurs — including configuration drift, unintended system changes, shadow IT introduction, or third-party platform changes — the following procedure applies in accordance with Clause 8.1 (review consequences; mitigate adverse effects):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760"/>
        <w:gridCol w:w="1700"/>
      </w:tblGrid>
      <w:tr>
        <w:trPr>
          <w:tblHeader/>
        </w:trPr>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4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1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 / SLA</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Detection</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Unplanned change identified through: monitoring alerts (Sentinel, Defender for Cloud); CSPM drift detection; staff reporting; audit observation; third-party notification.</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ISM / Any staff</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Impact Assessment</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 assesses the change against: impact on security controls; impact on ISMS scope or risk register; whether the change introduces a new risk; whether notification obligations are triggered.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within 4 hours of detection</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Adverse Effect Mitigation</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adverse effects are identified: immediate mitigating action taken (rollback, compensating control, alert suppression); corrective action raised in ISMS-CAR-001; risk register updated if new or elevated risk identified.</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 ISM within 24 hours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Documentation</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Unplanned change recorded in the operational change log with: date detected, description, root cause (if known), impact assessment outcome, mitigating actions taken, and who was notified.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within 5 working days</w:t>
            </w:r>
          </w:p>
        </w:tc>
      </w:tr>
      <w:tr>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Review</w:t>
            </w:r>
          </w:p>
        </w:tc>
        <w:tc>
          <w:tcPr>
            <w:tcW w:type="dxa" w:w="4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reviewed at next management review or quarterly KPI cycle. Recurring unplanned changes trigger process improvement or risk re-assessment.</w:t>
            </w:r>
          </w:p>
        </w:tc>
        <w:tc>
          <w:tcPr>
            <w:tcW w:type="dxa" w:w="17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 at review cycle</w:t>
            </w:r>
          </w:p>
        </w:tc>
      </w:tr>
    </w:tbl>
    <w:p>
      <w:pPr>
        <w:spacing w:after="60" w:before="60"/>
      </w:pPr>
    </w:p>
    <w:p>
      <w:pPr>
        <w:pStyle w:val="Heading3"/>
        <w:spacing w:after="60" w:before="160"/>
      </w:pPr>
      <w:r>
        <w:rPr>
          <w:rFonts w:ascii="Arial" w:cs="Arial" w:eastAsia="Arial" w:hAnsi="Arial"/>
          <w:b/>
          <w:bCs/>
          <w:color w:val="404040"/>
          <w:sz w:val="22"/>
          <w:szCs w:val="22"/>
        </w:rPr>
        <w:t xml:space="preserve">3.3.3 Operational Change Log</w:t>
      </w:r>
    </w:p>
    <w:p>
      <w:pPr>
        <w:spacing w:after="80" w:before="80"/>
        <w:jc w:val="left"/>
      </w:pPr>
      <w:r>
        <w:rPr>
          <w:rFonts w:ascii="Arial" w:cs="Arial" w:eastAsia="Arial" w:hAnsi="Arial"/>
          <w:b w:val="false"/>
          <w:bCs w:val="false"/>
          <w:color w:val="000000"/>
          <w:sz w:val="20"/>
          <w:szCs w:val="20"/>
        </w:rPr>
        <w:t xml:space="preserve">All operational changes (planned and unplanned, Normal and Emergency) are recorded in the operational change log below. Standard/Routine pre-approved changes are recorded in batch. This log provides the documented information evidence for Clause 8.1 change control.</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2000"/>
        <w:gridCol w:w="1400"/>
        <w:gridCol w:w="1400"/>
        <w:gridCol w:w="1200"/>
        <w:gridCol w:w="1000"/>
        <w:gridCol w:w="8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CHG-Ref</w:t>
            </w:r>
          </w:p>
        </w:tc>
        <w:tc>
          <w:tcPr>
            <w:tcW w:type="dxa" w:w="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Approval Date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 Date</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Adverse Effects?</w:t>
            </w:r>
          </w:p>
        </w:tc>
        <w:tc>
          <w:tcPr>
            <w:tcW w:type="dxa" w:w="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CHG-001</w:t>
            </w:r>
          </w:p>
        </w:tc>
        <w:tc>
          <w:tcPr>
            <w:tcW w:type="dxa" w:w="6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Planned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Initial ISMS establishment: documentation programme, tooling deployment, process implementation.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Managing Director</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April 2026</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Ongoing</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None identified</w:t>
            </w:r>
          </w:p>
        </w:tc>
        <w:tc>
          <w:tcPr>
            <w:tcW w:type="dxa" w:w="86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r>
      <w:tr>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600"/>
            <w:tcBorders>
              <w:top w:val="single" w:color="CCCCCC" w:sz="1"/>
              <w:left w:val="single" w:color="CCCCCC" w:sz="1"/>
              <w:bottom w:val="single" w:color="CCCCCC" w:sz="1"/>
              <w:right w:val="single" w:color="CCCCCC" w:sz="1"/>
            </w:tcBorders>
            <w:shd w:fill="DDDDDD"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AAAAAA"/>
                <w:sz w:val="16"/>
                <w:szCs w:val="16"/>
              </w:rPr>
              <w:t xml:space="preserve">[Future changes recorded here]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3.4 Control of Externally Provided Processes, Products and Services</w:t>
      </w:r>
    </w:p>
    <w:p>
      <w:pPr>
        <w:spacing w:after="80" w:before="80"/>
        <w:jc w:val="left"/>
      </w:pPr>
      <w:r>
        <w:rPr>
          <w:rFonts w:ascii="Arial" w:cs="Arial" w:eastAsia="Arial" w:hAnsi="Arial"/>
          <w:b w:val="false"/>
          <w:bCs w:val="false"/>
          <w:color w:val="000000"/>
          <w:sz w:val="20"/>
          <w:szCs w:val="20"/>
        </w:rPr>
        <w:t xml:space="preserve">Clause 8.1 requires the organisation to ensure that externally provided processes, products, or services relevant to the ISMS are controlled. The third-party controls register below documents all relevant external providers, the nature of their relevance to the ISMS, and the controls applied. Full supplier risk assessments and contractual security schedules are maintained in ISMS-SUP-001.</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800"/>
        <w:gridCol w:w="700"/>
        <w:gridCol w:w="1400"/>
        <w:gridCol w:w="1800"/>
        <w:gridCol w:w="1000"/>
        <w:gridCol w:w="800"/>
        <w:gridCol w:w="108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Third Party</w:t>
            </w:r>
          </w:p>
        </w:tc>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Criticality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ISMS Relevance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Controls Applied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Type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w:t>
            </w:r>
          </w:p>
        </w:tc>
        <w:tc>
          <w:tcPr>
            <w:tcW w:type="dxa" w:w="10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Cloud Platform Provider (Microsoft Azure / M365)</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Critical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Primary infrastructure and security tooling platform; processes personal data under shared responsibility model.</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Microsoft Online Services Agreement; Data Processing Addendum; review Microsoft Service Trust Portal; monitor Microsoft Security Advisory notifications; Defender for Cloud compliance posture.</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 Technical monitoring</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HoT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Certification Body (ISO 27001 Auditor)</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Conducts external audit; has access to ISMS documentation and evidence; independent assurance function.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UKAS-accredited CB engaged; audit scope agreement signed; NDA in place; access limited to ISMS evidence during audit windows; audit findings acted on per ISMS-CAR-001.</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 Procedural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Per audit cycle</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TP-003</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Cyber Liability Insurer</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Medium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Financial risk transfer; policy conditions impose minimum security control obligations.</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policy renewal with security questionnaire; compliance with policy conditions (MFA, backup, IR capability); material change notification obligations documented.</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renewal</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MD</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TP-004</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External IT / Security Subcontractors</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May perform privileged technical work within client or organisational environments under supervision.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Security clauses in subcontractor agreements; background checks where required by client; privileged access provisioned via PAM with session recording; access revoked immediately on contract end; NDA signed.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 Technical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Per engagement + Annual</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TP-005</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Security Awareness / Phishing Simulation Platform</w:t>
            </w:r>
          </w:p>
        </w:tc>
        <w:tc>
          <w:tcPr>
            <w:tcW w:type="dxa" w:w="7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Medium</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Processes staff contact information and training data; delivers mandatory awareness content.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DPA/DPO in place; processing limited to contracted purposes; UK GDPR data processing agreement in place; data retention limits specified.</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review</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TP-006</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External Incident Response Retainer</w:t>
            </w:r>
          </w:p>
        </w:tc>
        <w:tc>
          <w:tcPr>
            <w:tcW w:type="dxa" w:w="7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May have access to sensitive organisational or client data during an incident; provides surge IR capability.</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IR retainer agreement with NDA; access granted only during declared incidents; scope of access agreed at engagement commencement; post-incident data handling obligations specified.</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 Procedural</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retainer review</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ISM / MD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TP-007</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Clients (as third-party data controllers)</w:t>
            </w:r>
          </w:p>
        </w:tc>
        <w:tc>
          <w:tcPr>
            <w:tcW w:type="dxa" w:w="7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Critical</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Organisation acts as data processor; clients impose contractual security obligations; privileged access to client tenants maintained.</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Client contracts include security schedules; DPIA completed where required; data processing agreements in place; access limited to in-scope systems per contract; security incidents affecting client data notified per contract SLA.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Contractual; Technical; Procedural</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Per contract + Annual review</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MD / ISM</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TP-008</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NCSC / Government Threat Intelligence Sources</w:t>
            </w:r>
          </w:p>
        </w:tc>
        <w:tc>
          <w:tcPr>
            <w:tcW w:type="dxa" w:w="7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Low</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Provides threat intelligence and vulnerability advisories used in risk assessment and operational decision-making.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NCSC Early Warning Service enrolled; advisories monitored by ISM; significant advisories distributed to HoT and MD; no data sharing obligations.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Monitoring</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Continuous</w:t>
            </w:r>
          </w:p>
        </w:tc>
        <w:tc>
          <w:tcPr>
            <w:tcW w:type="dxa" w:w="108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ISM</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8.2 — Information Security Risk Assessment Execution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8.2</w:t>
            </w:r>
          </w:p>
          <w:p>
            <w:pPr>
              <w:jc w:val="center"/>
            </w:pPr>
            <w:r>
              <w:rPr>
                <w:rFonts w:ascii="Arial" w:cs="Arial" w:eastAsia="Arial" w:hAnsi="Arial"/>
                <w:color w:val="D6E4F0"/>
                <w:sz w:val="14"/>
                <w:szCs w:val="14"/>
              </w:rPr>
              <w:t xml:space="preserve">Risk Assessment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perform information security risk assessments at planned intervals or when significant changes are proposed or occur, taking account of criteria established in 6.1.2(a). The organisation shall retain documented information of the results.</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Clause 8.2 is operationally distinct from Clause 6.1.2: Clause 6.1.2 defines the methodology (how risk assessments will be conducted); Clause 8.2 requires evidence that risk assessments are actually being performed — at planned intervals and when triggered by significant changes. An auditor will ask to see the dated results of actual assessments, not just the procedure.</w:t>
      </w:r>
    </w:p>
    <w:p>
      <w:pPr>
        <w:spacing w:after="120" w:before="120"/>
      </w:pPr>
    </w:p>
    <w:p>
      <w:pPr>
        <w:pStyle w:val="Heading2"/>
        <w:spacing w:after="80" w:before="240"/>
      </w:pPr>
      <w:r>
        <w:rPr>
          <w:rFonts w:ascii="Arial" w:cs="Arial" w:eastAsia="Arial" w:hAnsi="Arial"/>
          <w:b/>
          <w:bCs/>
          <w:color w:val="2E75B6"/>
          <w:sz w:val="26"/>
          <w:szCs w:val="26"/>
        </w:rPr>
        <w:t xml:space="preserve">4.1 Risk Assessment Schedule and Trigger Framework</w:t>
      </w:r>
    </w:p>
    <w:p>
      <w:pPr>
        <w:spacing w:after="80" w:before="80"/>
        <w:jc w:val="left"/>
      </w:pPr>
      <w:r>
        <w:rPr>
          <w:rFonts w:ascii="Arial" w:cs="Arial" w:eastAsia="Arial" w:hAnsi="Arial"/>
          <w:b w:val="false"/>
          <w:bCs w:val="false"/>
          <w:color w:val="000000"/>
          <w:sz w:val="20"/>
          <w:szCs w:val="20"/>
        </w:rPr>
        <w:t xml:space="preserve">Risk assessments are performed according to the following schedule and trigger conditions, applying the criteria established in ISMS-PLN-001 §3.1:</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706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c>
          <w:tcPr>
            <w:tcW w:type="dxa" w:w="7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and Application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Planned annual cycle</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 scheduled for Q2 each year, aligned to management review preparation.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Significant new asset or system</w:t>
            </w:r>
          </w:p>
        </w:tc>
        <w:tc>
          <w:tcPr>
            <w:tcW w:type="dxa" w:w="7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Introduction of a new technology platform, service line, or significant change to existing infrastructure.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Significant organisational change</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in headcount, ownership, key personnel, or operating model that materially affects the attack surface or control environment.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Material change to threat landscape</w:t>
            </w:r>
          </w:p>
        </w:tc>
        <w:tc>
          <w:tcPr>
            <w:tcW w:type="dxa" w:w="7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Emergence of a significant new threat vector relevant to the organisation's sector (e.g. new MSP-targeting campaign, zero-day in deployed tooling).</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Regulatory change</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Introduction of new applicable legislation or regulatory requirement (e.g. NIS2 transposition, AI Act applicability).</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Post-significant incident</w:t>
            </w:r>
          </w:p>
        </w:tc>
        <w:tc>
          <w:tcPr>
            <w:tcW w:type="dxa" w:w="7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Following closure of a High or Critical-rated security incident, particularly where new risks were identified.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 or management review finding</w:t>
            </w:r>
          </w:p>
        </w:tc>
        <w:tc>
          <w:tcPr>
            <w:tcW w:type="dxa" w:w="7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an internal audit or management review identifies a gap in the risk register or treatment plan.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Client or interested party requirement</w:t>
            </w:r>
          </w:p>
        </w:tc>
        <w:tc>
          <w:tcPr>
            <w:tcW w:type="dxa" w:w="7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Where a client or certification body requires a risk assessment to be performed or updated as part of a contract or audit.</w:t>
            </w:r>
          </w:p>
        </w:tc>
      </w:tr>
    </w:tbl>
    <w:p>
      <w:pPr>
        <w:spacing w:after="120" w:before="120"/>
      </w:pPr>
    </w:p>
    <w:p>
      <w:pPr>
        <w:pStyle w:val="Heading2"/>
        <w:spacing w:after="80" w:before="240"/>
      </w:pPr>
      <w:r>
        <w:rPr>
          <w:rFonts w:ascii="Arial" w:cs="Arial" w:eastAsia="Arial" w:hAnsi="Arial"/>
          <w:b/>
          <w:bCs/>
          <w:color w:val="2E75B6"/>
          <w:sz w:val="26"/>
          <w:szCs w:val="26"/>
        </w:rPr>
        <w:t xml:space="preserve">4.2 Risk Assessment Execution Log</w:t>
      </w:r>
    </w:p>
    <w:p>
      <w:pPr>
        <w:spacing w:after="80" w:before="80"/>
        <w:jc w:val="left"/>
      </w:pPr>
      <w:r>
        <w:rPr>
          <w:rFonts w:ascii="Arial" w:cs="Arial" w:eastAsia="Arial" w:hAnsi="Arial"/>
          <w:b w:val="false"/>
          <w:bCs w:val="false"/>
          <w:color w:val="000000"/>
          <w:sz w:val="20"/>
          <w:szCs w:val="20"/>
        </w:rPr>
        <w:t xml:space="preserve">The following log records all completed and planned information security risk assessments. This constitutes the documented information of risk assessment results as required by Clause 8.2. The full results of each assessment are retained in the referenced document.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400"/>
        <w:gridCol w:w="800"/>
        <w:gridCol w:w="900"/>
        <w:gridCol w:w="900"/>
        <w:gridCol w:w="1060"/>
        <w:gridCol w:w="1000"/>
      </w:tblGrid>
      <w:tr>
        <w:trPr>
          <w:tblHeader/>
        </w:trP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 ID</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Assessment Type</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Based On (prior RA)</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Planned Date</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Performed By</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1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Results Document</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RA-2026-001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Annual Full Risk Assessment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Planned — Annual Cycle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ISMS-PLN-001 (initial baseline)</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Q2 2026</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Pending</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Management Review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RA-2026-002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Triggered Assessment — AI Tooling Adoption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Triggered — New technology introduced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RA-2026-001 (parent)</w:t>
            </w:r>
          </w:p>
        </w:tc>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Q3 2026 (estimated)</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 / HoT</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Pending</w:t>
            </w:r>
          </w:p>
        </w:tc>
        <w:tc>
          <w:tcPr>
            <w:tcW w:type="dxa" w:w="1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Prior to production deployment of AI tools</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5"/>
                <w:szCs w:val="15"/>
              </w:rPr>
              <w:t xml:space="preserve">RA-2027-001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5"/>
                <w:szCs w:val="15"/>
              </w:rPr>
              <w:t xml:space="preserve">Annual Full Risk Assessment</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Planned — Annual Cycle</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RA-2026-001</w:t>
            </w:r>
          </w:p>
        </w:tc>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Q2 2027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Scheduled</w:t>
            </w:r>
          </w:p>
        </w:tc>
        <w:tc>
          <w:tcPr>
            <w:tcW w:type="dxa" w:w="1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Management Review 2027</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r>
          </w:p>
        </w:tc>
      </w:tr>
    </w:tbl>
    <w:p>
      <w:pPr>
        <w:spacing w:after="60" w:before="60"/>
      </w:pPr>
    </w:p>
    <w:p>
      <w:pPr>
        <w:spacing w:after="80" w:before="80"/>
        <w:jc w:val="left"/>
      </w:pPr>
      <w:r>
        <w:rPr>
          <w:rFonts w:ascii="Arial" w:cs="Arial" w:eastAsia="Arial" w:hAnsi="Arial"/>
          <w:b w:val="false"/>
          <w:bCs w:val="false"/>
          <w:color w:val="888888"/>
          <w:sz w:val="18"/>
          <w:szCs w:val="18"/>
        </w:rPr>
        <w:t xml:space="preserve">As risk assessments are completed, their results (risk register, scoring records, and owner acceptance documentation) are retained in the document management system with the assessment ID as the primary reference. The results of ISMS-PLN-001 constitute the baseline documented evidence for the initial assessment period.</w:t>
      </w:r>
    </w:p>
    <w:p>
      <w:pPr>
        <w:spacing w:after="120" w:before="120"/>
      </w:pPr>
    </w:p>
    <w:p>
      <w:pPr>
        <w:pStyle w:val="Heading2"/>
        <w:spacing w:after="80" w:before="240"/>
      </w:pPr>
      <w:r>
        <w:rPr>
          <w:rFonts w:ascii="Arial" w:cs="Arial" w:eastAsia="Arial" w:hAnsi="Arial"/>
          <w:b/>
          <w:bCs/>
          <w:color w:val="2E75B6"/>
          <w:sz w:val="26"/>
          <w:szCs w:val="26"/>
        </w:rPr>
        <w:t xml:space="preserve">4.3 Evidence of Risk Assessment Results</w:t>
      </w:r>
    </w:p>
    <w:p>
      <w:pPr>
        <w:spacing w:after="80" w:before="80"/>
        <w:jc w:val="left"/>
      </w:pPr>
      <w:r>
        <w:rPr>
          <w:rFonts w:ascii="Arial" w:cs="Arial" w:eastAsia="Arial" w:hAnsi="Arial"/>
          <w:b w:val="false"/>
          <w:bCs w:val="false"/>
          <w:color w:val="000000"/>
          <w:sz w:val="20"/>
          <w:szCs w:val="20"/>
        </w:rPr>
        <w:t xml:space="preserve">The following categories of documented information are retained as evidence of risk assessment results, satisfying the retention requirement of Clause 8.2:</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20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Category</w:t>
            </w:r>
          </w:p>
        </w:tc>
        <w:tc>
          <w:tcPr>
            <w:tcW w:type="dxa" w:w="3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Retained In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Register</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identified risks with threat source, vulnerability, CIA impact, likelihood, impact, inherent score, and level.</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§3.4/3.5; Annual RA-YYYY-NNN document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Scoring Records</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Likelihood and impact assessment rationale; scoring matrix applied; comparison of results against risk criteria (risk acceptance thresholds).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§3.2/3.3; RA working notes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Owner Identification</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Identification of a named risk owner for each identified risk.</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§3.4; Risk register (Owner column)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Risk Owner Acceptance</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Signed acceptance of residual risks by identified risk owners, including MD sign-off on High residual risks.</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§4.4 (signed acceptance table)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Trigger Records</w:t>
            </w:r>
          </w:p>
        </w:tc>
        <w:tc>
          <w:tcPr>
            <w:tcW w:type="dxa" w:w="3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 triggered (non-annual) assessments: documentation of the triggering event, its nature, and the decision to perform the assessment.</w:t>
            </w:r>
          </w:p>
        </w:tc>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Assessment Execution Log (§4.2 this document); RA document preamble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Assessment Version History</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Version history within each annual risk register document, enabling auditors to trace changes in risk ratings over time.</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Version history table in each RA document; document management system version control</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Clause 8.3 — Information Security Risk Treatment Implementation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8.3</w:t>
            </w:r>
          </w:p>
          <w:p>
            <w:pPr>
              <w:jc w:val="center"/>
            </w:pPr>
            <w:r>
              <w:rPr>
                <w:rFonts w:ascii="Arial" w:cs="Arial" w:eastAsia="Arial" w:hAnsi="Arial"/>
                <w:color w:val="D6E4F0"/>
                <w:sz w:val="14"/>
                <w:szCs w:val="14"/>
              </w:rPr>
              <w:t xml:space="preserve">Risk Treatment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implement the information security risk treatment plan. The organisation shall retain documented information of the results of the information security risk treatment.</w:t>
            </w:r>
          </w:p>
        </w:tc>
      </w:tr>
    </w:tbl>
    <w:p>
      <w:pPr>
        <w:spacing w:after="120" w:before="120"/>
      </w:pPr>
    </w:p>
    <w:p>
      <w:pPr>
        <w:spacing w:after="80" w:before="80"/>
        <w:jc w:val="left"/>
      </w:pPr>
      <w:r>
        <w:rPr>
          <w:rFonts w:ascii="Arial" w:cs="Arial" w:eastAsia="Arial" w:hAnsi="Arial"/>
          <w:b w:val="false"/>
          <w:bCs w:val="false"/>
          <w:color w:val="000000"/>
          <w:sz w:val="20"/>
          <w:szCs w:val="20"/>
        </w:rPr>
        <w:t xml:space="preserve">Clause 8.3 requires two things: (1) that the risk treatment plan (defined in ISMS-PLN-001 §4) is actually being implemented; and (2) that documented information of the results is retained. The control implementation tracker below provides the operational evidence of treatment implementation. An auditor will cross-reference the treatment plan controls against the evidence columns to verify implementation.</w:t>
      </w:r>
    </w:p>
    <w:p>
      <w:pPr>
        <w:spacing w:after="120" w:before="120"/>
      </w:pPr>
    </w:p>
    <w:p>
      <w:pPr>
        <w:pStyle w:val="Heading2"/>
        <w:spacing w:after="80" w:before="240"/>
      </w:pPr>
      <w:r>
        <w:rPr>
          <w:rFonts w:ascii="Arial" w:cs="Arial" w:eastAsia="Arial" w:hAnsi="Arial"/>
          <w:b/>
          <w:bCs/>
          <w:color w:val="2E75B6"/>
          <w:sz w:val="26"/>
          <w:szCs w:val="26"/>
        </w:rPr>
        <w:t xml:space="preserve">5.1 Control Implementation Tracker</w:t>
      </w:r>
    </w:p>
    <w:p>
      <w:pPr>
        <w:spacing w:after="80" w:before="80"/>
        <w:jc w:val="left"/>
      </w:pPr>
      <w:r>
        <w:rPr>
          <w:rFonts w:ascii="Arial" w:cs="Arial" w:eastAsia="Arial" w:hAnsi="Arial"/>
          <w:b w:val="false"/>
          <w:bCs w:val="false"/>
          <w:color w:val="000000"/>
          <w:sz w:val="20"/>
          <w:szCs w:val="20"/>
        </w:rPr>
        <w:t xml:space="preserve">The following tracker maps each risk treatment action from ISMS-PLN-001 to its implementation status and the evidence available. Where multiple controls address a single risk, each control line is tracked separately. This constitutes the primary documented evidence of risk treatment results required by Clause 8.3.</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1400"/>
        <w:gridCol w:w="1100"/>
        <w:gridCol w:w="1560"/>
        <w:gridCol w:w="780"/>
        <w:gridCol w:w="760"/>
        <w:gridCol w:w="760"/>
        <w:gridCol w:w="640"/>
        <w:gridCol w:w="158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ID</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Area</w:t>
            </w:r>
          </w:p>
        </w:tc>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Control / Action</w:t>
            </w:r>
          </w:p>
        </w:tc>
        <w:tc>
          <w:tcPr>
            <w:tcW w:type="dxa" w:w="7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 A</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c>
          <w:tcPr>
            <w:tcW w:type="dxa" w:w="6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5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Ransomware via privileged credentials</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MFA &amp; PAM</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MFA enforced on all privileged accounts; PAM tool with session recording deployed; JIT access provisioning activated.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A.8.5, A.5.15, A.5.16</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 / ISM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Entra ID MFA coverage report; PAM deployment confirmation; Conditional Access policy audit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Ransomware via privileged credentials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Backup &amp; Recovery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Offline/immutable backup validated quarterly; backup restoration tested; RTO/RPO documented per client SLA.</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A.8.13</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Quarterly backup restoration test report; backup configuration audit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ISK-001</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Ransomware via privileged credentials</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Incident Response</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Ransomware-specific IR playbook documented, approved, and tabletop-exercised.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A.5.24, A.5.26</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IR plan document approval; tabletop exercise report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Phishing / credential theft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Email Security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DMARC, DKIM, SPF enforced on all organisational domains; M365 email filtering configured with anti-phishing policies; external sender tagging enabled.</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A.8.23</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DMARC/DKIM/SPF DNS record verification; M365 anti-phishing policy configuration export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Phishing / credential theft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Security Awareness</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Phishing simulation programme operational with quarterly exercises; annual awareness training covering phishing recognition.</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A.6.3</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Phishing simulation click-rate metrics; training completion records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Supply chain / software attack</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Software Integrity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Approved software list maintained; package signing verification enforced where technically feasible; third-party tooling changes go through change management.</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A.5.21, A.8.32</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Approved software list; change management records for tooling updates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Client data confidentiality breach</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Data Classification &amp; DLP</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Data classification policy applied; M365 DLP policies configured for sensitive data detection; encryption at rest and in transit enforced.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A.5.12, A.5.13, A.8.11, A.8.24</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 HoT</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DLP policy configuration export; encryption compliance report; classification audit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Service outage / BCP</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BCP &amp; DR</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BCP and DRP documented and tested; RTO/RPO defined; backup restoration validated; out-of-hours escalation procedure documented.</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A.5.29, A.5.30</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 / MD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BCP/DRP document approval; test report; RTO/RPO validation record</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ISK-006</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Key person dependency</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Succession &amp; Documentation</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Critical process runbooks and SOPs documented; cross-training plan in place; credential escrow for critical systems; external IR retainer engaged.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A.5.37, A.6.1</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MD</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Runbook library; cross-training record; credential escrow confirmation; IR retainer agreement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ISK-007</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Insider threat</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PAM &amp; JML</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PAM with session recording and behavioural alerting; same-day leaver deprovisioning SLA; background screening at onboarding.</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A.5.3, A.5.15, A.6.1, A.6.5</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 HoT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PAM audit logs; leaver deprovisioning records; background check records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ISK-008</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GDPR non-compliance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Data Protection Programme</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RoPA maintained and current; DPIA process implemented; 72-hour breach notification procedure documented and trained.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A.5.34, A.5.24</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DPL</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RoPA document; DPIA register; breach notification procedure; staff training records</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ISK-009</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Unpatched vulnerability</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Vulnerability Management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Vulnerability scanning operational; remediation SLAs defined and tracked; Defender VM deployed; patch compliance reported monthly.</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A.8.8, A.8.19</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Vulnerability scan reports; SLA compliance metrics; Intune patch report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ISK-010</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Device theft / loss</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Endpoint Encryption &amp; MDM</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BitLocker/FileVault enforced on all corporate endpoints; Intune MDM enrolment for remote wipe; BYOD policy documented.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A.7.9, A.7.10, A.8.24</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BitLocker compliance report; Intune enrolment status; BYOD policy document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Inadequate incident response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IR Plan &amp; Exercising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Full IR plan and playbooks documented; Sentinel triage procedure documented; annual tabletop exercise scheduled.</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A.5.24, A.5.25, A.5.26, A.5.27, A.5.28</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IR plan document; Sentinel triage SOP; tabletop exercise report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ISK-012</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Supplier security failure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Supplier Programme</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Formal supplier risk assessment process implemented; contractual security clauses applied; approved supplier register maintained.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A.5.19, A.5.20, A.5.21, A.5.22</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Q3 2026</w:t>
            </w:r>
          </w:p>
        </w:tc>
        <w:tc>
          <w:tcPr>
            <w:tcW w:type="dxa" w:w="64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Planned</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Supplier risk assessment records; contract security schedules; supplier register</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ISO 27001 certification failure</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ISMS Programme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Full ISMS documentation programme underway; internal audit programme scheduled; external consultant engaged for gap assessment.</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All clauses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 / MD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Q4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ISMS document register; internal audit plan; gap assessment report; certification body engagement</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ISK-014</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Cloud misconfiguration</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CSPM &amp; Secure Configuration</w:t>
            </w:r>
          </w:p>
        </w:tc>
        <w:tc>
          <w:tcPr>
            <w:tcW w:type="dxa" w:w="1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Defender for Cloud CSPM alerts configured; Microsoft Secure Score monitored monthly with target threshold; CIS Benchmark baseline applied.</w:t>
            </w:r>
          </w:p>
        </w:tc>
        <w:tc>
          <w:tcPr>
            <w:tcW w:type="dxa" w:w="7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A.8.9, A.8.16, A.8.32</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HoT</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Secure Score monthly report; CSPM alert configuration; baseline compliance assessment</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ISK-015</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Insufficient security awareness</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Awareness Programme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Annual awareness training platform deployed; simulated phishing operational; policy acknowledgements tracked.</w:t>
            </w:r>
          </w:p>
        </w:tc>
        <w:tc>
          <w:tcPr>
            <w:tcW w:type="dxa" w:w="7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A.5.10, A.6.3</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ISM</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Q2 2026</w:t>
            </w:r>
          </w:p>
        </w:tc>
        <w:tc>
          <w:tcPr>
            <w:tcW w:type="dxa" w:w="64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In Progress</w:t>
            </w:r>
          </w:p>
        </w:tc>
        <w:tc>
          <w:tcPr>
            <w:tcW w:type="dxa" w:w="1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Training completion records; phishing metrics; policy acknowledgement log</w:t>
            </w:r>
          </w:p>
        </w:tc>
      </w:tr>
    </w:tbl>
    <w:p>
      <w:pPr>
        <w:spacing w:after="120" w:before="120"/>
      </w:pPr>
    </w:p>
    <w:p>
      <w:pPr>
        <w:pStyle w:val="Heading2"/>
        <w:spacing w:after="80" w:before="240"/>
      </w:pPr>
      <w:r>
        <w:rPr>
          <w:rFonts w:ascii="Arial" w:cs="Arial" w:eastAsia="Arial" w:hAnsi="Arial"/>
          <w:b/>
          <w:bCs/>
          <w:color w:val="2E75B6"/>
          <w:sz w:val="26"/>
          <w:szCs w:val="26"/>
        </w:rPr>
        <w:t xml:space="preserve">5.2 Evidence of Risk Treatment</w:t>
      </w:r>
    </w:p>
    <w:p>
      <w:pPr>
        <w:spacing w:after="80" w:before="80"/>
        <w:jc w:val="left"/>
      </w:pPr>
      <w:r>
        <w:rPr>
          <w:rFonts w:ascii="Arial" w:cs="Arial" w:eastAsia="Arial" w:hAnsi="Arial"/>
          <w:b w:val="false"/>
          <w:bCs w:val="false"/>
          <w:color w:val="000000"/>
          <w:sz w:val="20"/>
          <w:szCs w:val="20"/>
        </w:rPr>
        <w:t xml:space="preserve">The following categories of documented information are retained as evidence of risk treatment results, satisfying the retention requirement of Clause 8.3. Evidence is generated by the operational processes in §3.1 and stored in the designated platforms and document management system.</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Type</w:t>
            </w:r>
          </w:p>
        </w:tc>
        <w:tc>
          <w:tcPr>
            <w:tcW w:type="dxa" w:w="2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4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Generated By / Stored In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Technical Control Deployment Records</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MFA enforcement reports, BitLocker compliance reports, Intune enrolment reports, PAM deployment confirmation.</w:t>
            </w:r>
          </w:p>
        </w:tc>
        <w:tc>
          <w:tcPr>
            <w:tcW w:type="dxa" w:w="4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Entra ID, Intune, Defender portals; exported reports in document management system.</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Configuration Audit Records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CSPM assessment outputs, CIS Benchmark compliance reports, DMARC/DKIM/SPF verification records, TLS scan results.</w:t>
            </w:r>
          </w:p>
        </w:tc>
        <w:tc>
          <w:tcPr>
            <w:tcW w:type="dxa" w:w="4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Defender for Cloud, Microsoft Secure Score, configuration audit tool outputs; stored in document management system.</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Operational Logs and Monitoring Data</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Sentinel alert triage logs, PAM session logs, patch compliance metrics, vulnerability scan reports.</w:t>
            </w:r>
          </w:p>
        </w:tc>
        <w:tc>
          <w:tcPr>
            <w:tcW w:type="dxa" w:w="4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Sentinel, Defender VM, Intune log exports; retained per log retention policy.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Testing and Validation Records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Backup restoration test reports, BCP test reports, IR tabletop exercise reports, penetration test reports.</w:t>
            </w:r>
          </w:p>
        </w:tc>
        <w:tc>
          <w:tcPr>
            <w:tcW w:type="dxa" w:w="4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reports in document management system, referenced in operational process evidence column (§3.1).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Training and Awareness Records</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completion records, phishing simulation click-rate metrics, policy acknowledgement logs.</w:t>
            </w:r>
          </w:p>
        </w:tc>
        <w:tc>
          <w:tcPr>
            <w:tcW w:type="dxa" w:w="4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LMS platform, phishing simulation platform, ISMS-TRN-REC.</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Supplier and Third-Party Assessment Records</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risk assessment reports, contract security schedules, annual review records.</w:t>
            </w:r>
          </w:p>
        </w:tc>
        <w:tc>
          <w:tcPr>
            <w:tcW w:type="dxa" w:w="4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ISMS-SUP-001; document management system supplier folder.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Corrective Action Records</w:t>
            </w:r>
          </w:p>
        </w:tc>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Nonconformity records, root cause analysis, corrective action plans, effectiveness evaluations.</w:t>
            </w:r>
          </w:p>
        </w:tc>
        <w:tc>
          <w:tcPr>
            <w:tcW w:type="dxa" w:w="4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ISMS-CAR-001 (corrective action tracker).</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Treatment Plan Approval</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owner signed acceptance of residual risks; MD approval of High residual risks.</w:t>
            </w:r>
          </w:p>
        </w:tc>
        <w:tc>
          <w:tcPr>
            <w:tcW w:type="dxa" w:w="4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ISMS-PLN-001 §4.4 (signed acceptance table); retained as controlled document.</w:t>
            </w:r>
          </w:p>
        </w:tc>
      </w:tr>
    </w:tbl>
    <w:p>
      <w:pPr>
        <w:spacing w:after="120" w:before="120"/>
      </w:pPr>
    </w:p>
    <w:p>
      <w:pPr>
        <w:pStyle w:val="Heading2"/>
        <w:spacing w:after="80" w:before="240"/>
      </w:pPr>
      <w:r>
        <w:rPr>
          <w:rFonts w:ascii="Arial" w:cs="Arial" w:eastAsia="Arial" w:hAnsi="Arial"/>
          <w:b/>
          <w:bCs/>
          <w:color w:val="2E75B6"/>
          <w:sz w:val="26"/>
          <w:szCs w:val="26"/>
        </w:rPr>
        <w:t xml:space="preserve">5.3 Treatment Effectiveness Evaluation</w:t>
      </w:r>
    </w:p>
    <w:p>
      <w:pPr>
        <w:spacing w:after="80" w:before="80"/>
        <w:jc w:val="left"/>
      </w:pPr>
      <w:r>
        <w:rPr>
          <w:rFonts w:ascii="Arial" w:cs="Arial" w:eastAsia="Arial" w:hAnsi="Arial"/>
          <w:b w:val="false"/>
          <w:bCs w:val="false"/>
          <w:color w:val="000000"/>
          <w:sz w:val="20"/>
          <w:szCs w:val="20"/>
        </w:rPr>
        <w:t xml:space="preserve">The effectiveness of risk treatment controls is evaluated through the following mechanisms, confirming that implemented controls are achieving the intended risk reduction:</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2000"/>
        <w:gridCol w:w="18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Evaluation Mechanism</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Evaluates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Internal Audit</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Whether controls defined in the treatment plan are implemented and operating effectively; whether process criteria are being met.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(per ISMS-IAP-001)</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report; nonconformities in ISMS-CAR-001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Residual Risk Re-scoring</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After treatment controls are fully implemented, risk scores are re-evaluated against the treatment assumptions to confirm actual residual risk level matches planned residual.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RA + post-implementation within 60 days of control deployment</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Updated risk register; re-scored risk register in RA document</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KPI Metrics Review</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metrics (phishing click rate, patch SLA compliance, Secure Score, incident MTTD/MTTR) confirm whether technical controls are producing intended outcomes.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Quarterly (ISMS-MR-002)</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report; management review action items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Management Review</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Senior leadership review of overall risk treatment progress, control effectiveness, residual risk posture, and whether ISMS objectives are being achieved.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(full); Quarterly (KPI)</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minutes (ISMS-MR-001); improvement actions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Post-Incident Review (PIR)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Following a security incident, evaluates whether the controls that should have prevented or detected the incident were in place and effective; identifies gaps in treatment.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Within 10 working days of High incident closure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PIR report (ISMS-IRP-001); risk register updates; corrective actions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Penetration Testing / Red Team</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Independent technical validation of control effectiveness against simulated adversary activity; identifies control gaps not visible in configuration review.</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Annual (minimum); post-significant change</w:t>
            </w:r>
          </w:p>
        </w:tc>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Penetration test report; findings tracked in ISMS-CAR-001</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6.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 to Clause 8</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(Clause 6)</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planning input. Risk assessment methodology (8.2 criteria source), treatment plan (8.3 source), change planning procedure (8.1 strategic framework), objectives (8.1 process criteria source).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Annex A controls referenced in §5.1 tracker. Implementation status in SoA must align with tracker status.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ISMS-SUP-001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Supplier Security Policy</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Third-party controls in §3.4 are operationalised through supplier risk assessments in ISMS-SUP-001.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ISMS-IRP-001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Plan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OPS-005 (incident detection/response) and OPS-004 (SIEM triage) are operationalised through ISMS-IRP-001.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ISMS-CAR-001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Unplanned changes with adverse effects, control failures, and treatment plan gaps are tracked as corrective actions in ISMS-CAR-001.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process performance (§3.1 status), risk treatment progress (§5.1), and risk assessment results (§4.2) are standing management review agenda items.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ISMS-IAP-001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independently verifies Clause 8 compliance: that processes are operating per criteria and that treatment controls are implemented. §5.3 effectiveness mechanism.</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ISMS-BCP-001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Business Continuity Plan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OPS-005 and OPS-006 operational processes feed into BCP. ISK-005 treatment controls are implemented through ISMS-BCP-001.</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ISMS-SPT-001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 (Clause 7)</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Operational processes in §3.1 depend on resources (7.1), competent personnel (7.2), and awareness training (OPS-010) all governed by ISMS-SPT-001.</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7.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(mandatory trigger)</w:t>
      </w:r>
    </w:p>
    <w:p>
      <w:pPr>
        <w:pStyle w:val="ListParagraph"/>
        <w:numPr>
          <w:ilvl w:val="0"/>
          <w:numId w:val="2"/>
        </w:numPr>
        <w:spacing w:after="40" w:before="40"/>
      </w:pPr>
      <w:r>
        <w:rPr>
          <w:rFonts w:ascii="Arial" w:cs="Arial" w:eastAsia="Arial" w:hAnsi="Arial"/>
          <w:sz w:val="20"/>
          <w:szCs w:val="20"/>
        </w:rPr>
        <w:t xml:space="preserve">Following completion of a planned or triggered risk assessment (Sections 4.2/4.3 updated)</w:t>
      </w:r>
    </w:p>
    <w:p>
      <w:pPr>
        <w:pStyle w:val="ListParagraph"/>
        <w:numPr>
          <w:ilvl w:val="0"/>
          <w:numId w:val="2"/>
        </w:numPr>
        <w:spacing w:after="40" w:before="40"/>
      </w:pPr>
      <w:r>
        <w:rPr>
          <w:rFonts w:ascii="Arial" w:cs="Arial" w:eastAsia="Arial" w:hAnsi="Arial"/>
          <w:sz w:val="20"/>
          <w:szCs w:val="20"/>
        </w:rPr>
        <w:t xml:space="preserve">When a new operational process is added, or an existing process is materially changed, retired, or its criteria are modified (Section 3.1 updated)</w:t>
      </w:r>
    </w:p>
    <w:p>
      <w:pPr>
        <w:pStyle w:val="ListParagraph"/>
        <w:numPr>
          <w:ilvl w:val="0"/>
          <w:numId w:val="2"/>
        </w:numPr>
        <w:spacing w:after="40" w:before="40"/>
      </w:pPr>
      <w:r>
        <w:rPr>
          <w:rFonts w:ascii="Arial" w:cs="Arial" w:eastAsia="Arial" w:hAnsi="Arial"/>
          <w:sz w:val="20"/>
          <w:szCs w:val="20"/>
        </w:rPr>
        <w:t xml:space="preserve">Following the introduction of a new third-party relationship relevant to the ISMS (Section 3.4 updated)</w:t>
      </w:r>
    </w:p>
    <w:p>
      <w:pPr>
        <w:pStyle w:val="ListParagraph"/>
        <w:numPr>
          <w:ilvl w:val="0"/>
          <w:numId w:val="2"/>
        </w:numPr>
        <w:spacing w:after="40" w:before="40"/>
      </w:pPr>
      <w:r>
        <w:rPr>
          <w:rFonts w:ascii="Arial" w:cs="Arial" w:eastAsia="Arial" w:hAnsi="Arial"/>
          <w:sz w:val="20"/>
          <w:szCs w:val="20"/>
        </w:rPr>
        <w:t xml:space="preserve">When a significant change is logged that has material ISMS implications (Section 3.3.3 updated)</w:t>
      </w:r>
    </w:p>
    <w:p>
      <w:pPr>
        <w:pStyle w:val="ListParagraph"/>
        <w:numPr>
          <w:ilvl w:val="0"/>
          <w:numId w:val="2"/>
        </w:numPr>
        <w:spacing w:after="40" w:before="40"/>
      </w:pPr>
      <w:r>
        <w:rPr>
          <w:rFonts w:ascii="Arial" w:cs="Arial" w:eastAsia="Arial" w:hAnsi="Arial"/>
          <w:sz w:val="20"/>
          <w:szCs w:val="20"/>
        </w:rPr>
        <w:t xml:space="preserve">When risk treatment controls are implemented, partially implemented, or revised (Section 5.1 updated)</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Changes to the operational change log (§3.3.3) and control implementation tracker (§5.1) may be made by the ISM without full document re-approval, provided the version revision date is updated and the ISM signs off on the changes. Full document revision and re-approval is required for changes to operational process criteria (§3.1) or the third-party controls register (§3.4).</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Clauses 8.1, 8.2, 8.3 — Operation.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27002:2022</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controls — guidance for Annex A controls referenced in the treatment tracker.</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31000:2018</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management guidelines — principles applied in the risk assessment execution methodology.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ISMS-PLN-001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 document (Clause 6) — primary source of risk methodology, treatment plan, and objectives.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ISMS-SoA-001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Statement of Applicability — Annex A control inclusion/exclusion; must be maintained in parallel with §5.1.</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ISMS-SUP-001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Supplier Security Policy — operational detail for third-party controls in §3.4.</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ISMS-IRP-001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Incident Response Plan — operational procedure for OPS-005.</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ISMS-CAR-001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Corrective Action and Nonconformity — receives findings from unplanned change review (§3.3.2) and treatment effectiveness evaluation (§5.3).</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ISMS-BCP-001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Continuity and DR Plan — implements ISK-005 treatment controls.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Review — operational status, risk treatment progress, and RA results reported here.</w:t>
            </w:r>
          </w:p>
        </w:tc>
      </w:tr>
    </w:tbl>
    <w:p>
      <w:pPr>
        <w:spacing w:after="0" w:before="240"/>
      </w:pPr>
    </w:p>
    <w:p>
      <w:pPr>
        <w:spacing w:after="0" w:before="240"/>
      </w:pPr>
      <w:r>
        <w:rPr>
          <w:rFonts w:ascii="Arial" w:cs="Arial" w:eastAsia="Arial" w:hAnsi="Arial"/>
          <w:color w:val="AAAAAA"/>
          <w:sz w:val="16"/>
          <w:szCs w:val="16"/>
        </w:rPr>
        <w:t xml:space="preserve">END OF DOCUMENT — ISMS-OPS-001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ISMS Operation: Clause 8</w:t>
    </w:r>
    <w:r>
      <w:rPr>
        <w:rFonts w:ascii="Arial" w:cs="Arial" w:eastAsia="Arial" w:hAnsi="Arial"/>
        <w:color w:val="888888"/>
        <w:sz w:val="16"/>
        <w:szCs w:val="16"/>
      </w:rPr>
      <w:t xml:space="preserve">	ISMS-OPS-001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2026-04-02T20:00:32.604Z</dcterms:created>
  <dcterms:modified xsi:type="dcterms:W3CDTF">2026-04-02T20:00:32.606Z</dcterms:modified>
</cp:coreProperties>
</file>

<file path=docProps/custom.xml><?xml version="1.0" encoding="utf-8"?>
<Properties xmlns="http://schemas.openxmlformats.org/officeDocument/2006/custom-properties" xmlns:vt="http://schemas.openxmlformats.org/officeDocument/2006/docPropsVTypes"/>
</file>