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p>
    <w:p>
      <w:pPr>
        <w:pBdr>
          <w:bottom w:val="single" w:color="2E75B6" w:sz="18" w:space="4"/>
        </w:pBdr>
        <w:spacing w:after="240" w:before="0"/>
        <w:jc w:val="center"/>
      </w:pPr>
      <w:r>
        <w:rPr>
          <w:rFonts w:ascii="Arial" w:cs="Arial" w:eastAsia="Arial" w:hAnsi="Arial"/>
          <w:b/>
          <w:bCs/>
          <w:color w:val="1F3864"/>
          <w:sz w:val="52"/>
          <w:szCs w:val="52"/>
        </w:rPr>
        <w:t xml:space="preserve">Apex Managed Services Ltd</w:t>
      </w:r>
    </w:p>
    <w:p>
      <w:pPr>
        <w:spacing w:after="120" w:before="240"/>
        <w:jc w:val="center"/>
      </w:pPr>
      <w:r>
        <w:rPr>
          <w:rFonts w:ascii="Arial" w:cs="Arial" w:eastAsia="Arial" w:hAnsi="Arial"/>
          <w:color w:val="404040"/>
          <w:sz w:val="32"/>
          <w:szCs w:val="32"/>
        </w:rPr>
        <w:t xml:space="preserve">Information Security Management System</w:t>
      </w:r>
    </w:p>
    <w:p>
      <w:pPr>
        <w:spacing w:after="120" w:before="0"/>
        <w:jc w:val="center"/>
      </w:pPr>
      <w:r>
        <w:rPr>
          <w:rFonts w:ascii="Arial" w:cs="Arial" w:eastAsia="Arial" w:hAnsi="Arial"/>
          <w:b/>
          <w:bCs/>
          <w:color w:val="2E75B6"/>
          <w:sz w:val="42"/>
          <w:szCs w:val="42"/>
        </w:rPr>
        <w:t xml:space="preserve">Performance Evaluation</w:t>
      </w:r>
    </w:p>
    <w:p>
      <w:pPr>
        <w:spacing w:after="480" w:before="0"/>
        <w:jc w:val="center"/>
      </w:pPr>
      <w:r>
        <w:rPr>
          <w:rFonts w:ascii="Arial" w:cs="Arial" w:eastAsia="Arial" w:hAnsi="Arial"/>
          <w:color w:val="404040"/>
          <w:sz w:val="22"/>
          <w:szCs w:val="22"/>
        </w:rPr>
        <w:t xml:space="preserve">Monitoring &amp; Measurement  |  Internal Audit  |  Management Review</w:t>
      </w:r>
    </w:p>
    <w:p>
      <w:pPr>
        <w:spacing w:after="80" w:before="0"/>
        <w:jc w:val="center"/>
      </w:pPr>
      <w:r>
        <w:rPr>
          <w:rFonts w:ascii="Arial" w:cs="Arial" w:eastAsia="Arial" w:hAnsi="Arial"/>
          <w:color w:val="404040"/>
          <w:sz w:val="22"/>
          <w:szCs w:val="22"/>
        </w:rPr>
        <w:t xml:space="preserve">ISO/IEC 27001:2022 — Clauses 9.1, 9.2, 9.3</w:t>
      </w:r>
    </w:p>
    <w:p>
      <w:pPr>
        <w:spacing w:after="600" w:before="60"/>
        <w:jc w:val="center"/>
      </w:pPr>
      <w:r>
        <w:rPr>
          <w:rFonts w:ascii="Arial" w:cs="Arial" w:eastAsia="Arial" w:hAnsi="Arial"/>
          <w:color w:val="888888"/>
          <w:sz w:val="20"/>
          <w:szCs w:val="20"/>
        </w:rPr>
        <w:t xml:space="preserve">ISMS-PEV-001  |  Version 1.0  |  02 April 2026</w:t>
      </w:r>
    </w:p>
    <w:p>
      <w:r>
        <w:br w:type="page"/>
      </w:r>
    </w:p>
    <w:p>
      <w:pPr>
        <w:pStyle w:val="Heading1"/>
        <w:pBdr>
          <w:bottom w:val="single" w:color="2E75B6" w:sz="8" w:space="4"/>
        </w:pBdr>
        <w:spacing w:after="120" w:before="360"/>
      </w:pPr>
      <w:r>
        <w:rPr>
          <w:rFonts w:ascii="Arial" w:cs="Arial" w:eastAsia="Arial" w:hAnsi="Arial"/>
          <w:b/>
          <w:bCs/>
          <w:color w:val="1F3864"/>
          <w:sz w:val="34"/>
          <w:szCs w:val="34"/>
        </w:rPr>
        <w:t xml:space="preserve">Document Control</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400"/>
        <w:gridCol w:w="3860"/>
        <w:gridCol w:w="1800"/>
        <w:gridCol w:w="1200"/>
      </w:tblGrid>
      <w:tr>
        <w:tc>
          <w:tcPr>
            <w:tcW w:type="dxa" w:w="2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Document Reference</w:t>
            </w:r>
          </w:p>
        </w:tc>
        <w:tc>
          <w:tcPr>
            <w:tcW w:type="dxa" w:w="3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ISMS-PEV-001</w:t>
            </w:r>
          </w:p>
        </w:tc>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Version</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w:t>
            </w:r>
          </w:p>
        </w:tc>
      </w:tr>
      <w:tr>
        <w:tc>
          <w:tcPr>
            <w:tcW w:type="dxa" w:w="2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Document Title</w:t>
            </w:r>
          </w:p>
        </w:tc>
        <w:tc>
          <w:tcPr>
            <w:tcW w:type="dxa" w:w="3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Performance Evaluation — Monitoring, Internal Audit &amp; Management Review</w:t>
            </w:r>
          </w:p>
        </w:tc>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Date</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02 April 2026</w:t>
            </w:r>
          </w:p>
        </w:tc>
      </w:tr>
      <w:tr>
        <w:tc>
          <w:tcPr>
            <w:tcW w:type="dxa" w:w="2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Organisation</w:t>
            </w:r>
          </w:p>
        </w:tc>
        <w:tc>
          <w:tcPr>
            <w:tcW w:type="dxa" w:w="3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Apex Managed Services Ltd</w:t>
            </w:r>
          </w:p>
        </w:tc>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Classification</w:t>
            </w:r>
          </w:p>
        </w:tc>
        <w:tc>
          <w:tcPr>
            <w:tcW w:type="dxa" w:w="12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INTERNAL</w:t>
            </w:r>
          </w:p>
        </w:tc>
      </w:tr>
      <w:tr>
        <w:tc>
          <w:tcPr>
            <w:tcW w:type="dxa" w:w="2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Document Owner</w:t>
            </w:r>
          </w:p>
        </w:tc>
        <w:tc>
          <w:tcPr>
            <w:tcW w:type="dxa" w:w="3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Information Security Manager</w:t>
            </w:r>
          </w:p>
        </w:tc>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Review Frequency</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Annual + triggered</w:t>
            </w:r>
          </w:p>
        </w:tc>
      </w:tr>
      <w:tr>
        <w:tc>
          <w:tcPr>
            <w:tcW w:type="dxa" w:w="2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ISO 27001:2022 Clauses</w:t>
            </w:r>
          </w:p>
        </w:tc>
        <w:tc>
          <w:tcPr>
            <w:tcW w:type="dxa" w:w="3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9.1, 9.2, 9.3</w:t>
            </w:r>
          </w:p>
        </w:tc>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Status</w:t>
            </w:r>
          </w:p>
        </w:tc>
        <w:tc>
          <w:tcPr>
            <w:tcW w:type="dxa" w:w="120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Approved</w:t>
            </w:r>
          </w:p>
        </w:tc>
      </w:tr>
    </w:tbl>
    <w:p>
      <w:pPr>
        <w:spacing w:after="120" w:before="120"/>
      </w:pPr>
    </w:p>
    <w:p>
      <w:pPr>
        <w:pStyle w:val="Heading2"/>
        <w:spacing w:after="80" w:before="240"/>
      </w:pPr>
      <w:r>
        <w:rPr>
          <w:rFonts w:ascii="Arial" w:cs="Arial" w:eastAsia="Arial" w:hAnsi="Arial"/>
          <w:b/>
          <w:bCs/>
          <w:color w:val="2E75B6"/>
          <w:sz w:val="26"/>
          <w:szCs w:val="26"/>
        </w:rPr>
        <w:t xml:space="preserve">Document Approval</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000"/>
        <w:gridCol w:w="2260"/>
      </w:tblGrid>
      <w:tr>
        <w:trPr>
          <w:tblHeader/>
        </w:trPr>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Role</w:t>
            </w:r>
          </w:p>
        </w:tc>
        <w:tc>
          <w:tcPr>
            <w:tcW w:type="dxa" w:w="3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Name</w:t>
            </w:r>
          </w:p>
        </w:tc>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Date</w:t>
            </w:r>
          </w:p>
        </w:tc>
        <w:tc>
          <w:tcPr>
            <w:tcW w:type="dxa" w:w="22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Signature</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Prepared By</w:t>
            </w:r>
          </w:p>
        </w:tc>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Reviewed By</w:t>
            </w:r>
          </w:p>
        </w:tc>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2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Approved By (MD)</w:t>
            </w:r>
          </w:p>
        </w:tc>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bl>
    <w:p>
      <w:pPr>
        <w:spacing w:after="120" w:before="120"/>
      </w:pPr>
    </w:p>
    <w:p>
      <w:pPr>
        <w:pStyle w:val="Heading2"/>
        <w:spacing w:after="80" w:before="240"/>
      </w:pPr>
      <w:r>
        <w:rPr>
          <w:rFonts w:ascii="Arial" w:cs="Arial" w:eastAsia="Arial" w:hAnsi="Arial"/>
          <w:b/>
          <w:bCs/>
          <w:color w:val="2E75B6"/>
          <w:sz w:val="26"/>
          <w:szCs w:val="26"/>
        </w:rPr>
        <w:t xml:space="preserve">Version History</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4260"/>
        <w:gridCol w:w="2300"/>
      </w:tblGrid>
      <w:tr>
        <w:trPr>
          <w:tblHeader/>
        </w:trPr>
        <w:tc>
          <w:tcPr>
            <w:tcW w:type="dxa" w:w="9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Ver.</w:t>
            </w:r>
          </w:p>
        </w:tc>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Date</w:t>
            </w:r>
          </w:p>
        </w:tc>
        <w:tc>
          <w:tcPr>
            <w:tcW w:type="dxa" w:w="42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Change Description</w:t>
            </w:r>
          </w:p>
        </w:tc>
        <w:tc>
          <w:tcPr>
            <w:tcW w:type="dxa" w:w="23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Author</w:t>
            </w:r>
          </w:p>
        </w:tc>
      </w:tr>
      <w:tr>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02 April 2026</w:t>
            </w:r>
          </w:p>
        </w:tc>
        <w:tc>
          <w:tcPr>
            <w:tcW w:type="dxa" w:w="4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Initial release. ISMS KPI monitoring framework (25 KPIs), measurement methodology, analysis schedule, internal audit programme (full clause and Annex A coverage matrix), and management review procedure with agenda template and minutes format.</w:t>
            </w:r>
          </w:p>
        </w:tc>
        <w:tc>
          <w:tcPr>
            <w:tcW w:type="dxa" w:w="23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Information Security Manager</w:t>
            </w:r>
          </w:p>
        </w:tc>
      </w:tr>
    </w:tbl>
    <w:p>
      <w:r>
        <w:br w:type="page"/>
      </w:r>
    </w:p>
    <w:p>
      <w:pPr>
        <w:pStyle w:val="Heading1"/>
        <w:pBdr>
          <w:bottom w:val="single" w:color="2E75B6" w:sz="8" w:space="4"/>
        </w:pBdr>
        <w:spacing w:after="120" w:before="360"/>
      </w:pPr>
      <w:r>
        <w:rPr>
          <w:rFonts w:ascii="Arial" w:cs="Arial" w:eastAsia="Arial" w:hAnsi="Arial"/>
          <w:b/>
          <w:bCs/>
          <w:color w:val="1F3864"/>
          <w:sz w:val="34"/>
          <w:szCs w:val="34"/>
        </w:rPr>
        <w:t xml:space="preserve">Contents</w:t>
      </w:r>
    </w:p>
    <w:p>
      <w:pPr>
        <w:spacing w:after="80" w:before="80"/>
        <w:jc w:val="left"/>
      </w:pPr>
      <w:r>
        <w:rPr>
          <w:rFonts w:ascii="Arial" w:cs="Arial" w:eastAsia="Arial" w:hAnsi="Arial"/>
          <w:b w:val="false"/>
          <w:bCs w:val="false"/>
          <w:color w:val="000000"/>
          <w:sz w:val="20"/>
          <w:szCs w:val="20"/>
        </w:rPr>
        <w:t xml:space="preserve">1.  Purpose</w:t>
      </w:r>
    </w:p>
    <w:p>
      <w:pPr>
        <w:spacing w:after="80" w:before="80"/>
        <w:jc w:val="left"/>
      </w:pPr>
      <w:r>
        <w:rPr>
          <w:rFonts w:ascii="Arial" w:cs="Arial" w:eastAsia="Arial" w:hAnsi="Arial"/>
          <w:b w:val="false"/>
          <w:bCs w:val="false"/>
          <w:color w:val="000000"/>
          <w:sz w:val="20"/>
          <w:szCs w:val="20"/>
        </w:rPr>
        <w:t xml:space="preserve">2.  How Clauses 9.1, 9.2, and 9.3 Interact</w:t>
      </w:r>
    </w:p>
    <w:p>
      <w:pPr>
        <w:spacing w:after="80" w:before="80"/>
        <w:jc w:val="left"/>
      </w:pPr>
      <w:r>
        <w:rPr>
          <w:rFonts w:ascii="Arial" w:cs="Arial" w:eastAsia="Arial" w:hAnsi="Arial"/>
          <w:b w:val="false"/>
          <w:bCs w:val="false"/>
          <w:color w:val="000000"/>
          <w:sz w:val="20"/>
          <w:szCs w:val="20"/>
        </w:rPr>
        <w:t xml:space="preserve">3.  Clause 9.1 — Monitoring, Measurement, Analysis and Evaluation</w:t>
      </w:r>
    </w:p>
    <w:p>
      <w:pPr>
        <w:spacing w:after="80" w:before="80"/>
        <w:jc w:val="left"/>
      </w:pPr>
      <w:r>
        <w:rPr>
          <w:rFonts w:ascii="Arial" w:cs="Arial" w:eastAsia="Arial" w:hAnsi="Arial"/>
          <w:b w:val="false"/>
          <w:bCs w:val="false"/>
          <w:color w:val="000000"/>
          <w:sz w:val="20"/>
          <w:szCs w:val="20"/>
        </w:rPr>
        <w:t xml:space="preserve">    3.1  What Needs to Be Monitored and Measured</w:t>
      </w:r>
    </w:p>
    <w:p>
      <w:pPr>
        <w:spacing w:after="80" w:before="80"/>
        <w:jc w:val="left"/>
      </w:pPr>
      <w:r>
        <w:rPr>
          <w:rFonts w:ascii="Arial" w:cs="Arial" w:eastAsia="Arial" w:hAnsi="Arial"/>
          <w:b w:val="false"/>
          <w:bCs w:val="false"/>
          <w:color w:val="000000"/>
          <w:sz w:val="20"/>
          <w:szCs w:val="20"/>
        </w:rPr>
        <w:t xml:space="preserve">    3.2  ISMS KPI Framework</w:t>
      </w:r>
    </w:p>
    <w:p>
      <w:pPr>
        <w:spacing w:after="80" w:before="80"/>
        <w:jc w:val="left"/>
      </w:pPr>
      <w:r>
        <w:rPr>
          <w:rFonts w:ascii="Arial" w:cs="Arial" w:eastAsia="Arial" w:hAnsi="Arial"/>
          <w:b w:val="false"/>
          <w:bCs w:val="false"/>
          <w:color w:val="000000"/>
          <w:sz w:val="20"/>
          <w:szCs w:val="20"/>
        </w:rPr>
        <w:t xml:space="preserve">    3.3  Monitoring Methods and Validity</w:t>
      </w:r>
    </w:p>
    <w:p>
      <w:pPr>
        <w:spacing w:after="80" w:before="80"/>
        <w:jc w:val="left"/>
      </w:pPr>
      <w:r>
        <w:rPr>
          <w:rFonts w:ascii="Arial" w:cs="Arial" w:eastAsia="Arial" w:hAnsi="Arial"/>
          <w:b w:val="false"/>
          <w:bCs w:val="false"/>
          <w:color w:val="000000"/>
          <w:sz w:val="20"/>
          <w:szCs w:val="20"/>
        </w:rPr>
        <w:t xml:space="preserve">    3.4  Measurement Schedule and Roles</w:t>
      </w:r>
    </w:p>
    <w:p>
      <w:pPr>
        <w:spacing w:after="80" w:before="80"/>
        <w:jc w:val="left"/>
      </w:pPr>
      <w:r>
        <w:rPr>
          <w:rFonts w:ascii="Arial" w:cs="Arial" w:eastAsia="Arial" w:hAnsi="Arial"/>
          <w:b w:val="false"/>
          <w:bCs w:val="false"/>
          <w:color w:val="000000"/>
          <w:sz w:val="20"/>
          <w:szCs w:val="20"/>
        </w:rPr>
        <w:t xml:space="preserve">    3.5  Analysis and Evaluation Schedule and Roles</w:t>
      </w:r>
    </w:p>
    <w:p>
      <w:pPr>
        <w:spacing w:after="80" w:before="80"/>
        <w:jc w:val="left"/>
      </w:pPr>
      <w:r>
        <w:rPr>
          <w:rFonts w:ascii="Arial" w:cs="Arial" w:eastAsia="Arial" w:hAnsi="Arial"/>
          <w:b w:val="false"/>
          <w:bCs w:val="false"/>
          <w:color w:val="000000"/>
          <w:sz w:val="20"/>
          <w:szCs w:val="20"/>
        </w:rPr>
        <w:t xml:space="preserve">    3.6  Evidence of Results</w:t>
      </w:r>
    </w:p>
    <w:p>
      <w:pPr>
        <w:spacing w:after="80" w:before="80"/>
        <w:jc w:val="left"/>
      </w:pPr>
      <w:r>
        <w:rPr>
          <w:rFonts w:ascii="Arial" w:cs="Arial" w:eastAsia="Arial" w:hAnsi="Arial"/>
          <w:b w:val="false"/>
          <w:bCs w:val="false"/>
          <w:color w:val="000000"/>
          <w:sz w:val="20"/>
          <w:szCs w:val="20"/>
        </w:rPr>
        <w:t xml:space="preserve">4.  Clause 9.2 — Internal Audit</w:t>
      </w:r>
    </w:p>
    <w:p>
      <w:pPr>
        <w:spacing w:after="80" w:before="80"/>
        <w:jc w:val="left"/>
      </w:pPr>
      <w:r>
        <w:rPr>
          <w:rFonts w:ascii="Arial" w:cs="Arial" w:eastAsia="Arial" w:hAnsi="Arial"/>
          <w:b w:val="false"/>
          <w:bCs w:val="false"/>
          <w:color w:val="000000"/>
          <w:sz w:val="20"/>
          <w:szCs w:val="20"/>
        </w:rPr>
        <w:t xml:space="preserve">    4.1  Internal Audit Objectives and Programme</w:t>
      </w:r>
    </w:p>
    <w:p>
      <w:pPr>
        <w:spacing w:after="80" w:before="80"/>
        <w:jc w:val="left"/>
      </w:pPr>
      <w:r>
        <w:rPr>
          <w:rFonts w:ascii="Arial" w:cs="Arial" w:eastAsia="Arial" w:hAnsi="Arial"/>
          <w:b w:val="false"/>
          <w:bCs w:val="false"/>
          <w:color w:val="000000"/>
          <w:sz w:val="20"/>
          <w:szCs w:val="20"/>
        </w:rPr>
        <w:t xml:space="preserve">    4.2  Auditor Independence and Competence</w:t>
      </w:r>
    </w:p>
    <w:p>
      <w:pPr>
        <w:spacing w:after="80" w:before="80"/>
        <w:jc w:val="left"/>
      </w:pPr>
      <w:r>
        <w:rPr>
          <w:rFonts w:ascii="Arial" w:cs="Arial" w:eastAsia="Arial" w:hAnsi="Arial"/>
          <w:b w:val="false"/>
          <w:bCs w:val="false"/>
          <w:color w:val="000000"/>
          <w:sz w:val="20"/>
          <w:szCs w:val="20"/>
        </w:rPr>
        <w:t xml:space="preserve">    4.3  Audit Scope — Clause Coverage Matrix</w:t>
      </w:r>
    </w:p>
    <w:p>
      <w:pPr>
        <w:spacing w:after="80" w:before="80"/>
        <w:jc w:val="left"/>
      </w:pPr>
      <w:r>
        <w:rPr>
          <w:rFonts w:ascii="Arial" w:cs="Arial" w:eastAsia="Arial" w:hAnsi="Arial"/>
          <w:b w:val="false"/>
          <w:bCs w:val="false"/>
          <w:color w:val="000000"/>
          <w:sz w:val="20"/>
          <w:szCs w:val="20"/>
        </w:rPr>
        <w:t xml:space="preserve">    4.4  Audit Scope — Annex A Control Coverage</w:t>
      </w:r>
    </w:p>
    <w:p>
      <w:pPr>
        <w:spacing w:after="80" w:before="80"/>
        <w:jc w:val="left"/>
      </w:pPr>
      <w:r>
        <w:rPr>
          <w:rFonts w:ascii="Arial" w:cs="Arial" w:eastAsia="Arial" w:hAnsi="Arial"/>
          <w:b w:val="false"/>
          <w:bCs w:val="false"/>
          <w:color w:val="000000"/>
          <w:sz w:val="20"/>
          <w:szCs w:val="20"/>
        </w:rPr>
        <w:t xml:space="preserve">    4.5  Audit Execution Procedure</w:t>
      </w:r>
    </w:p>
    <w:p>
      <w:pPr>
        <w:spacing w:after="80" w:before="80"/>
        <w:jc w:val="left"/>
      </w:pPr>
      <w:r>
        <w:rPr>
          <w:rFonts w:ascii="Arial" w:cs="Arial" w:eastAsia="Arial" w:hAnsi="Arial"/>
          <w:b w:val="false"/>
          <w:bCs w:val="false"/>
          <w:color w:val="000000"/>
          <w:sz w:val="20"/>
          <w:szCs w:val="20"/>
        </w:rPr>
        <w:t xml:space="preserve">    4.6  Audit Findings Classification</w:t>
      </w:r>
    </w:p>
    <w:p>
      <w:pPr>
        <w:spacing w:after="80" w:before="80"/>
        <w:jc w:val="left"/>
      </w:pPr>
      <w:r>
        <w:rPr>
          <w:rFonts w:ascii="Arial" w:cs="Arial" w:eastAsia="Arial" w:hAnsi="Arial"/>
          <w:b w:val="false"/>
          <w:bCs w:val="false"/>
          <w:color w:val="000000"/>
          <w:sz w:val="20"/>
          <w:szCs w:val="20"/>
        </w:rPr>
        <w:t xml:space="preserve">    4.7  Internal Audit Schedule (Current Cycle)</w:t>
      </w:r>
    </w:p>
    <w:p>
      <w:pPr>
        <w:spacing w:after="80" w:before="80"/>
        <w:jc w:val="left"/>
      </w:pPr>
      <w:r>
        <w:rPr>
          <w:rFonts w:ascii="Arial" w:cs="Arial" w:eastAsia="Arial" w:hAnsi="Arial"/>
          <w:b w:val="false"/>
          <w:bCs w:val="false"/>
          <w:color w:val="000000"/>
          <w:sz w:val="20"/>
          <w:szCs w:val="20"/>
        </w:rPr>
        <w:t xml:space="preserve">    4.8  Internal Audit Results Log</w:t>
      </w:r>
    </w:p>
    <w:p>
      <w:pPr>
        <w:spacing w:after="80" w:before="80"/>
        <w:jc w:val="left"/>
      </w:pPr>
      <w:r>
        <w:rPr>
          <w:rFonts w:ascii="Arial" w:cs="Arial" w:eastAsia="Arial" w:hAnsi="Arial"/>
          <w:b w:val="false"/>
          <w:bCs w:val="false"/>
          <w:color w:val="000000"/>
          <w:sz w:val="20"/>
          <w:szCs w:val="20"/>
        </w:rPr>
        <w:t xml:space="preserve">5.  Clause 9.3 — Management Review</w:t>
      </w:r>
    </w:p>
    <w:p>
      <w:pPr>
        <w:spacing w:after="80" w:before="80"/>
        <w:jc w:val="left"/>
      </w:pPr>
      <w:r>
        <w:rPr>
          <w:rFonts w:ascii="Arial" w:cs="Arial" w:eastAsia="Arial" w:hAnsi="Arial"/>
          <w:b w:val="false"/>
          <w:bCs w:val="false"/>
          <w:color w:val="000000"/>
          <w:sz w:val="20"/>
          <w:szCs w:val="20"/>
        </w:rPr>
        <w:t xml:space="preserve">    5.1  Management Review Objectives and Frequency</w:t>
      </w:r>
    </w:p>
    <w:p>
      <w:pPr>
        <w:spacing w:after="80" w:before="80"/>
        <w:jc w:val="left"/>
      </w:pPr>
      <w:r>
        <w:rPr>
          <w:rFonts w:ascii="Arial" w:cs="Arial" w:eastAsia="Arial" w:hAnsi="Arial"/>
          <w:b w:val="false"/>
          <w:bCs w:val="false"/>
          <w:color w:val="000000"/>
          <w:sz w:val="20"/>
          <w:szCs w:val="20"/>
        </w:rPr>
        <w:t xml:space="preserve">    5.2  Management Review Inputs</w:t>
      </w:r>
    </w:p>
    <w:p>
      <w:pPr>
        <w:spacing w:after="80" w:before="80"/>
        <w:jc w:val="left"/>
      </w:pPr>
      <w:r>
        <w:rPr>
          <w:rFonts w:ascii="Arial" w:cs="Arial" w:eastAsia="Arial" w:hAnsi="Arial"/>
          <w:b w:val="false"/>
          <w:bCs w:val="false"/>
          <w:color w:val="000000"/>
          <w:sz w:val="20"/>
          <w:szCs w:val="20"/>
        </w:rPr>
        <w:t xml:space="preserve">    5.3  Management Review Outputs</w:t>
      </w:r>
    </w:p>
    <w:p>
      <w:pPr>
        <w:spacing w:after="80" w:before="80"/>
        <w:jc w:val="left"/>
      </w:pPr>
      <w:r>
        <w:rPr>
          <w:rFonts w:ascii="Arial" w:cs="Arial" w:eastAsia="Arial" w:hAnsi="Arial"/>
          <w:b w:val="false"/>
          <w:bCs w:val="false"/>
          <w:color w:val="000000"/>
          <w:sz w:val="20"/>
          <w:szCs w:val="20"/>
        </w:rPr>
        <w:t xml:space="preserve">    5.4  Management Review Schedule and Log</w:t>
      </w:r>
    </w:p>
    <w:p>
      <w:pPr>
        <w:spacing w:after="80" w:before="80"/>
        <w:jc w:val="left"/>
      </w:pPr>
      <w:r>
        <w:rPr>
          <w:rFonts w:ascii="Arial" w:cs="Arial" w:eastAsia="Arial" w:hAnsi="Arial"/>
          <w:b w:val="false"/>
          <w:bCs w:val="false"/>
          <w:color w:val="000000"/>
          <w:sz w:val="20"/>
          <w:szCs w:val="20"/>
        </w:rPr>
        <w:t xml:space="preserve">6.  Linkage to Other ISMS Documents</w:t>
      </w:r>
    </w:p>
    <w:p>
      <w:pPr>
        <w:spacing w:after="80" w:before="80"/>
        <w:jc w:val="left"/>
      </w:pPr>
      <w:r>
        <w:rPr>
          <w:rFonts w:ascii="Arial" w:cs="Arial" w:eastAsia="Arial" w:hAnsi="Arial"/>
          <w:b w:val="false"/>
          <w:bCs w:val="false"/>
          <w:color w:val="000000"/>
          <w:sz w:val="20"/>
          <w:szCs w:val="20"/>
        </w:rPr>
        <w:t xml:space="preserve">7.  Review and Maintenance</w:t>
      </w:r>
    </w:p>
    <w:p>
      <w:pPr>
        <w:spacing w:after="80" w:before="80"/>
        <w:jc w:val="left"/>
      </w:pPr>
      <w:r>
        <w:rPr>
          <w:rFonts w:ascii="Arial" w:cs="Arial" w:eastAsia="Arial" w:hAnsi="Arial"/>
          <w:b w:val="false"/>
          <w:bCs w:val="false"/>
          <w:color w:val="000000"/>
          <w:sz w:val="20"/>
          <w:szCs w:val="20"/>
        </w:rPr>
        <w:t xml:space="preserve">8.  References</w:t>
      </w:r>
    </w:p>
    <w:p>
      <w:pPr>
        <w:spacing w:after="60" w:before="60"/>
      </w:pPr>
    </w:p>
    <w:p>
      <w:pPr>
        <w:spacing w:after="80" w:before="80"/>
        <w:jc w:val="left"/>
      </w:pPr>
      <w:r>
        <w:rPr>
          <w:rFonts w:ascii="Arial" w:cs="Arial" w:eastAsia="Arial" w:hAnsi="Arial"/>
          <w:b w:val="false"/>
          <w:bCs w:val="false"/>
          <w:color w:val="888888"/>
          <w:sz w:val="18"/>
          <w:szCs w:val="18"/>
        </w:rPr>
        <w:t xml:space="preserve">Note: Update this page manually or use Word's built-in TOC feature after opening.</w:t>
      </w:r>
    </w:p>
    <w:p>
      <w:r>
        <w:br w:type="page"/>
      </w:r>
    </w:p>
    <w:p>
      <w:pPr>
        <w:pStyle w:val="Heading1"/>
        <w:pBdr>
          <w:bottom w:val="single" w:color="2E75B6" w:sz="8" w:space="4"/>
        </w:pBdr>
        <w:spacing w:after="120" w:before="360"/>
      </w:pPr>
      <w:r>
        <w:rPr>
          <w:rFonts w:ascii="Arial" w:cs="Arial" w:eastAsia="Arial" w:hAnsi="Arial"/>
          <w:b/>
          <w:bCs/>
          <w:color w:val="1F3864"/>
          <w:sz w:val="34"/>
          <w:szCs w:val="34"/>
        </w:rPr>
        <w:t xml:space="preserve">1. Purpose</w:t>
      </w:r>
    </w:p>
    <w:p>
      <w:pPr>
        <w:spacing w:after="80" w:before="80"/>
        <w:jc w:val="left"/>
      </w:pPr>
      <w:r>
        <w:rPr>
          <w:rFonts w:ascii="Arial" w:cs="Arial" w:eastAsia="Arial" w:hAnsi="Arial"/>
          <w:b w:val="false"/>
          <w:bCs w:val="false"/>
          <w:color w:val="000000"/>
          <w:sz w:val="20"/>
          <w:szCs w:val="20"/>
        </w:rPr>
        <w:t xml:space="preserve">This document constitutes the ISMS Performance Evaluation document for Apex Managed Services Ltd and provides the consolidated documented evidence required by ISO/IEC 27001:2022 Clause 9 — Performance Evaluation. It covers all three sub-clauses:</w:t>
      </w:r>
    </w:p>
    <w:p>
      <w:pPr>
        <w:spacing w:after="60" w:before="60"/>
      </w:pPr>
    </w:p>
    <w:p>
      <w:pPr>
        <w:pStyle w:val="ListParagraph"/>
        <w:numPr>
          <w:ilvl w:val="0"/>
          <w:numId w:val="2"/>
        </w:numPr>
        <w:spacing w:after="40" w:before="40"/>
      </w:pPr>
      <w:r>
        <w:rPr>
          <w:rFonts w:ascii="Arial" w:cs="Arial" w:eastAsia="Arial" w:hAnsi="Arial"/>
          <w:sz w:val="20"/>
          <w:szCs w:val="20"/>
        </w:rPr>
        <w:t xml:space="preserve">Clause 9.1 — Monitoring, measurement, analysis and evaluation: defines what is monitored, by whom, when, using what methods, and when and by whom results are analysed. Contains the ISMS KPI framework (25 KPIs) addressing Clause 9.1(a)–(f).</w:t>
      </w:r>
    </w:p>
    <w:p>
      <w:pPr>
        <w:pStyle w:val="ListParagraph"/>
        <w:numPr>
          <w:ilvl w:val="0"/>
          <w:numId w:val="2"/>
        </w:numPr>
        <w:spacing w:after="40" w:before="40"/>
      </w:pPr>
      <w:r>
        <w:rPr>
          <w:rFonts w:ascii="Arial" w:cs="Arial" w:eastAsia="Arial" w:hAnsi="Arial"/>
          <w:sz w:val="20"/>
          <w:szCs w:val="20"/>
        </w:rPr>
        <w:t xml:space="preserve">Clause 9.2 — Internal audit: establishes the internal audit programme, auditor independence requirements, clause and Annex A coverage matrix, audit execution procedure, finding classification, and audit schedule and results log.</w:t>
      </w:r>
    </w:p>
    <w:p>
      <w:pPr>
        <w:pStyle w:val="ListParagraph"/>
        <w:numPr>
          <w:ilvl w:val="0"/>
          <w:numId w:val="2"/>
        </w:numPr>
        <w:spacing w:after="40" w:before="40"/>
      </w:pPr>
      <w:r>
        <w:rPr>
          <w:rFonts w:ascii="Arial" w:cs="Arial" w:eastAsia="Arial" w:hAnsi="Arial"/>
          <w:sz w:val="20"/>
          <w:szCs w:val="20"/>
        </w:rPr>
        <w:t xml:space="preserve">Clause 9.3 — Management review: defines the management review procedure, mandatory inputs (per ISO 27001:2022 Clause 9.3), required outputs, the review schedule, and the management review log.</w:t>
      </w:r>
    </w:p>
    <w:p>
      <w:pPr>
        <w:spacing w:after="120" w:before="120"/>
      </w:pPr>
    </w:p>
    <w:p>
      <w:pPr>
        <w:pStyle w:val="Heading1"/>
        <w:pBdr>
          <w:bottom w:val="single" w:color="2E75B6" w:sz="8" w:space="4"/>
        </w:pBdr>
        <w:spacing w:after="120" w:before="360"/>
      </w:pPr>
      <w:r>
        <w:rPr>
          <w:rFonts w:ascii="Arial" w:cs="Arial" w:eastAsia="Arial" w:hAnsi="Arial"/>
          <w:b/>
          <w:bCs/>
          <w:color w:val="1F3864"/>
          <w:sz w:val="34"/>
          <w:szCs w:val="34"/>
        </w:rPr>
        <w:t xml:space="preserve">2. How Clauses 9.1, 9.2, and 9.3 Interact</w:t>
      </w:r>
    </w:p>
    <w:p>
      <w:pPr>
        <w:spacing w:after="80" w:before="80"/>
        <w:jc w:val="left"/>
      </w:pPr>
      <w:r>
        <w:rPr>
          <w:rFonts w:ascii="Arial" w:cs="Arial" w:eastAsia="Arial" w:hAnsi="Arial"/>
          <w:b w:val="false"/>
          <w:bCs w:val="false"/>
          <w:color w:val="000000"/>
          <w:sz w:val="20"/>
          <w:szCs w:val="20"/>
        </w:rPr>
        <w:t xml:space="preserve">The three performance evaluation mechanisms are mutually reinforcing and feed each other in a defined sequence:</w:t>
      </w:r>
    </w:p>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660"/>
      </w:tblGrid>
      <w:tr>
        <w:trPr>
          <w:tblHeader/>
        </w:trPr>
        <w:tc>
          <w:tcPr>
            <w:tcW w:type="dxa" w:w="1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Mechanism</w:t>
            </w:r>
          </w:p>
        </w:tc>
        <w:tc>
          <w:tcPr>
            <w:tcW w:type="dxa" w:w="3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Primary Function</w:t>
            </w:r>
          </w:p>
        </w:tc>
        <w:tc>
          <w:tcPr>
            <w:tcW w:type="dxa" w:w="46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Feeds Into</w:t>
            </w:r>
          </w:p>
        </w:tc>
      </w:tr>
      <w:tr>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8"/>
                <w:szCs w:val="18"/>
              </w:rPr>
              <w:t xml:space="preserve">9.1 Monitoring</w:t>
            </w:r>
          </w:p>
        </w:tc>
        <w:tc>
          <w:tcPr>
            <w:tcW w:type="dxa" w:w="3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Continuous measurement of ISMS control and process performance against defined KPIs. Produces quantitative data on security posture.</w:t>
            </w:r>
          </w:p>
        </w:tc>
        <w:tc>
          <w:tcPr>
            <w:tcW w:type="dxa" w:w="4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9.3 Management Review (KPI report is a mandatory input); 9.2 Internal Audit (KPI data informs audit focus areas and provides evidence of monitoring); 10.2 Corrective Action (KPI breaches trigger corrective actions).</w:t>
            </w:r>
          </w:p>
        </w:tc>
      </w:tr>
      <w:tr>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E75B6"/>
                <w:sz w:val="18"/>
                <w:szCs w:val="18"/>
              </w:rPr>
              <w:t xml:space="preserve">9.2 Internal Audit</w:t>
            </w:r>
          </w:p>
        </w:tc>
        <w:tc>
          <w:tcPr>
            <w:tcW w:type="dxa" w:w="3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Independent, periodic evaluation of ISMS conformance and control effectiveness across all clauses and Annex A controls. Produces qualitative findings (conforming, NC, observation).</w:t>
            </w:r>
          </w:p>
        </w:tc>
        <w:tc>
          <w:tcPr>
            <w:tcW w:type="dxa" w:w="46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9.3 Management Review (audit results are a mandatory input); 10.2 Corrective Action (nonconformities require corrective action); 8.3 Risk Treatment (control gaps feed treatment plan updates).</w:t>
            </w:r>
          </w:p>
        </w:tc>
      </w:tr>
      <w:tr>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8"/>
                <w:szCs w:val="18"/>
              </w:rPr>
              <w:t xml:space="preserve">9.3 Management Review</w:t>
            </w:r>
          </w:p>
        </w:tc>
        <w:tc>
          <w:tcPr>
            <w:tcW w:type="dxa" w:w="3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Senior leadership review of ISMS overall performance, adequacy, and continued suitability. Produces strategic decisions and resource allocation.</w:t>
            </w:r>
          </w:p>
        </w:tc>
        <w:tc>
          <w:tcPr>
            <w:tcW w:type="dxa" w:w="4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6.1 Risk Assessment (context changes trigger updated assessment); 6.2 Objectives (revised or new objectives set); 7.1 Resources (resource decisions made); 10.1 Continual Improvement (improvement decisions recorded).</w:t>
            </w:r>
          </w:p>
        </w:tc>
      </w:tr>
    </w:tbl>
    <w:p>
      <w:pPr>
        <w:spacing w:after="120" w:before="120"/>
      </w:pPr>
    </w:p>
    <w:p>
      <w:r>
        <w:br w:type="page"/>
      </w:r>
    </w:p>
    <w:p>
      <w:pPr>
        <w:pStyle w:val="Heading1"/>
        <w:pBdr>
          <w:bottom w:val="single" w:color="2E75B6" w:sz="8" w:space="4"/>
        </w:pBdr>
        <w:spacing w:after="120" w:before="360"/>
      </w:pPr>
      <w:r>
        <w:rPr>
          <w:rFonts w:ascii="Arial" w:cs="Arial" w:eastAsia="Arial" w:hAnsi="Arial"/>
          <w:b/>
          <w:bCs/>
          <w:color w:val="1F3864"/>
          <w:sz w:val="34"/>
          <w:szCs w:val="34"/>
        </w:rPr>
        <w:t xml:space="preserve">3. Clause 9.1 — Monitoring, Measurement, Analysis and Evaluation</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400"/>
        <w:gridCol w:w="7860"/>
      </w:tblGrid>
      <w:tr>
        <w:tc>
          <w:tcPr>
            <w:tcW w:type="dxa" w:w="1400"/>
            <w:tcBorders>
              <w:top w:val="single" w:color="CCCCCC" w:sz="1"/>
              <w:left w:val="single" w:color="CCCCCC" w:sz="1"/>
              <w:bottom w:val="single" w:color="CCCCCC" w:sz="1"/>
              <w:right w:val="single" w:color="CCCCCC" w:sz="1"/>
            </w:tcBorders>
            <w:shd w:fill="1F3864"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9.1</w:t>
            </w:r>
          </w:p>
          <w:p>
            <w:pPr>
              <w:jc w:val="center"/>
            </w:pPr>
            <w:r>
              <w:rPr>
                <w:rFonts w:ascii="Arial" w:cs="Arial" w:eastAsia="Arial" w:hAnsi="Arial"/>
                <w:color w:val="D6E4F0"/>
                <w:sz w:val="14"/>
                <w:szCs w:val="14"/>
              </w:rPr>
              <w:t xml:space="preserve">Monitoring &amp; Measurement</w:t>
            </w:r>
          </w:p>
        </w:tc>
        <w:tc>
          <w:tcPr>
            <w:tcW w:type="dxa" w:w="786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r>
              <w:rPr>
                <w:rFonts w:ascii="Arial" w:cs="Arial" w:eastAsia="Arial" w:hAnsi="Arial"/>
                <w:color w:val="1F3864"/>
                <w:sz w:val="18"/>
                <w:szCs w:val="18"/>
              </w:rPr>
              <w:t xml:space="preserve">The organisation shall determine: (a) what needs to be monitored and measured; (b) methods ensuring valid, comparable, reproducible results; (c) when monitoring/measuring shall be performed; (d) who shall monitor and measure; (e) when results shall be analysed and evaluated; (f) who shall analyse and evaluate. Documented information shall be available as evidence of results. The organisation shall evaluate IS performance and ISMS effectiveness.</w:t>
            </w:r>
          </w:p>
        </w:tc>
      </w:tr>
    </w:tbl>
    <w:p>
      <w:pPr>
        <w:spacing w:after="120" w:before="120"/>
      </w:pPr>
    </w:p>
    <w:p>
      <w:pPr>
        <w:pStyle w:val="Heading2"/>
        <w:spacing w:after="80" w:before="240"/>
      </w:pPr>
      <w:r>
        <w:rPr>
          <w:rFonts w:ascii="Arial" w:cs="Arial" w:eastAsia="Arial" w:hAnsi="Arial"/>
          <w:b/>
          <w:bCs/>
          <w:color w:val="2E75B6"/>
          <w:sz w:val="26"/>
          <w:szCs w:val="26"/>
        </w:rPr>
        <w:t xml:space="preserve">3.1 What Needs to Be Monitored and Measured</w:t>
      </w:r>
    </w:p>
    <w:p>
      <w:pPr>
        <w:spacing w:after="80" w:before="80"/>
        <w:jc w:val="left"/>
      </w:pPr>
      <w:r>
        <w:rPr>
          <w:rFonts w:ascii="Arial" w:cs="Arial" w:eastAsia="Arial" w:hAnsi="Arial"/>
          <w:b w:val="false"/>
          <w:bCs w:val="false"/>
          <w:color w:val="000000"/>
          <w:sz w:val="20"/>
          <w:szCs w:val="20"/>
        </w:rPr>
        <w:t xml:space="preserve">The organisation monitors and measures both information security processes and controls, covering the following domains in accordance with Clause 9.1(a):</w:t>
      </w:r>
    </w:p>
    <w:p>
      <w:pPr>
        <w:spacing w:after="60" w:before="60"/>
      </w:pPr>
    </w:p>
    <w:p>
      <w:pPr>
        <w:pStyle w:val="ListParagraph"/>
        <w:numPr>
          <w:ilvl w:val="0"/>
          <w:numId w:val="2"/>
        </w:numPr>
        <w:spacing w:after="40" w:before="40"/>
      </w:pPr>
      <w:r>
        <w:rPr>
          <w:rFonts w:ascii="Arial" w:cs="Arial" w:eastAsia="Arial" w:hAnsi="Arial"/>
          <w:sz w:val="20"/>
          <w:szCs w:val="20"/>
        </w:rPr>
        <w:t xml:space="preserve">Access control and identity management (MFA coverage, privileged account management, JML process compliance)</w:t>
      </w:r>
    </w:p>
    <w:p>
      <w:pPr>
        <w:pStyle w:val="ListParagraph"/>
        <w:numPr>
          <w:ilvl w:val="0"/>
          <w:numId w:val="2"/>
        </w:numPr>
        <w:spacing w:after="40" w:before="40"/>
      </w:pPr>
      <w:r>
        <w:rPr>
          <w:rFonts w:ascii="Arial" w:cs="Arial" w:eastAsia="Arial" w:hAnsi="Arial"/>
          <w:sz w:val="20"/>
          <w:szCs w:val="20"/>
        </w:rPr>
        <w:t xml:space="preserve">Vulnerability and patch management (scan coverage, remediation SLA compliance, cloud security posture)</w:t>
      </w:r>
    </w:p>
    <w:p>
      <w:pPr>
        <w:pStyle w:val="ListParagraph"/>
        <w:numPr>
          <w:ilvl w:val="0"/>
          <w:numId w:val="2"/>
        </w:numPr>
        <w:spacing w:after="40" w:before="40"/>
      </w:pPr>
      <w:r>
        <w:rPr>
          <w:rFonts w:ascii="Arial" w:cs="Arial" w:eastAsia="Arial" w:hAnsi="Arial"/>
          <w:sz w:val="20"/>
          <w:szCs w:val="20"/>
        </w:rPr>
        <w:t xml:space="preserve">Security incident detection and response (MTTD, MTTR, incident volume by severity, PIR completion)</w:t>
      </w:r>
    </w:p>
    <w:p>
      <w:pPr>
        <w:pStyle w:val="ListParagraph"/>
        <w:numPr>
          <w:ilvl w:val="0"/>
          <w:numId w:val="2"/>
        </w:numPr>
        <w:spacing w:after="40" w:before="40"/>
      </w:pPr>
      <w:r>
        <w:rPr>
          <w:rFonts w:ascii="Arial" w:cs="Arial" w:eastAsia="Arial" w:hAnsi="Arial"/>
          <w:sz w:val="20"/>
          <w:szCs w:val="20"/>
        </w:rPr>
        <w:t xml:space="preserve">Security awareness and training (training completion, phishing simulation metrics, policy acknowledgement)</w:t>
      </w:r>
    </w:p>
    <w:p>
      <w:pPr>
        <w:pStyle w:val="ListParagraph"/>
        <w:numPr>
          <w:ilvl w:val="0"/>
          <w:numId w:val="2"/>
        </w:numPr>
        <w:spacing w:after="40" w:before="40"/>
      </w:pPr>
      <w:r>
        <w:rPr>
          <w:rFonts w:ascii="Arial" w:cs="Arial" w:eastAsia="Arial" w:hAnsi="Arial"/>
          <w:sz w:val="20"/>
          <w:szCs w:val="20"/>
        </w:rPr>
        <w:t xml:space="preserve">Risk and compliance (open high/critical risks, corrective action closure, objective progress)</w:t>
      </w:r>
    </w:p>
    <w:p>
      <w:pPr>
        <w:pStyle w:val="ListParagraph"/>
        <w:numPr>
          <w:ilvl w:val="0"/>
          <w:numId w:val="2"/>
        </w:numPr>
        <w:spacing w:after="40" w:before="40"/>
      </w:pPr>
      <w:r>
        <w:rPr>
          <w:rFonts w:ascii="Arial" w:cs="Arial" w:eastAsia="Arial" w:hAnsi="Arial"/>
          <w:sz w:val="20"/>
          <w:szCs w:val="20"/>
        </w:rPr>
        <w:t xml:space="preserve">Data protection (breach incidents, ICO notification SLA)</w:t>
      </w:r>
    </w:p>
    <w:p>
      <w:pPr>
        <w:pStyle w:val="ListParagraph"/>
        <w:numPr>
          <w:ilvl w:val="0"/>
          <w:numId w:val="2"/>
        </w:numPr>
        <w:spacing w:after="40" w:before="40"/>
      </w:pPr>
      <w:r>
        <w:rPr>
          <w:rFonts w:ascii="Arial" w:cs="Arial" w:eastAsia="Arial" w:hAnsi="Arial"/>
          <w:sz w:val="20"/>
          <w:szCs w:val="20"/>
        </w:rPr>
        <w:t xml:space="preserve">Supplier and third-party security (risk assessment coverage)</w:t>
      </w:r>
    </w:p>
    <w:p>
      <w:pPr>
        <w:pStyle w:val="ListParagraph"/>
        <w:numPr>
          <w:ilvl w:val="0"/>
          <w:numId w:val="2"/>
        </w:numPr>
        <w:spacing w:after="40" w:before="40"/>
      </w:pPr>
      <w:r>
        <w:rPr>
          <w:rFonts w:ascii="Arial" w:cs="Arial" w:eastAsia="Arial" w:hAnsi="Arial"/>
          <w:sz w:val="20"/>
          <w:szCs w:val="20"/>
        </w:rPr>
        <w:t xml:space="preserve">Availability and business continuity (backup success, restoration test completion)</w:t>
      </w:r>
    </w:p>
    <w:p>
      <w:pPr>
        <w:pStyle w:val="ListParagraph"/>
        <w:numPr>
          <w:ilvl w:val="0"/>
          <w:numId w:val="2"/>
        </w:numPr>
        <w:spacing w:after="40" w:before="40"/>
      </w:pPr>
      <w:r>
        <w:rPr>
          <w:rFonts w:ascii="Arial" w:cs="Arial" w:eastAsia="Arial" w:hAnsi="Arial"/>
          <w:sz w:val="20"/>
          <w:szCs w:val="20"/>
        </w:rPr>
        <w:t xml:space="preserve">ISMS programme health (internal audit completion, policy acknowledgement)</w:t>
      </w:r>
    </w:p>
    <w:p>
      <w:pPr>
        <w:spacing w:after="120" w:before="120"/>
      </w:pPr>
    </w:p>
    <w:p>
      <w:pPr>
        <w:pStyle w:val="Heading2"/>
        <w:spacing w:after="80" w:before="240"/>
      </w:pPr>
      <w:r>
        <w:rPr>
          <w:rFonts w:ascii="Arial" w:cs="Arial" w:eastAsia="Arial" w:hAnsi="Arial"/>
          <w:b/>
          <w:bCs/>
          <w:color w:val="2E75B6"/>
          <w:sz w:val="26"/>
          <w:szCs w:val="26"/>
        </w:rPr>
        <w:t xml:space="preserve">3.2 ISMS KPI Framework</w:t>
      </w:r>
    </w:p>
    <w:p>
      <w:pPr>
        <w:spacing w:after="80" w:before="80"/>
        <w:jc w:val="left"/>
      </w:pPr>
      <w:r>
        <w:rPr>
          <w:rFonts w:ascii="Arial" w:cs="Arial" w:eastAsia="Arial" w:hAnsi="Arial"/>
          <w:b w:val="false"/>
          <w:bCs w:val="false"/>
          <w:color w:val="000000"/>
          <w:sz w:val="20"/>
          <w:szCs w:val="20"/>
        </w:rPr>
        <w:t xml:space="preserve">The following 25 KPIs define the organisation's monitoring and measurement framework. Each KPI addresses Clause 9.1(a)–(f): what is monitored, the method (ensuring valid/comparable/reproducible results per 9.1(b)), when measured (9.1(c)), who measures (9.1(d)), when analysed (9.1(e)), and who analyses (9.1(f)).</w:t>
      </w:r>
    </w:p>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680"/>
        <w:gridCol w:w="1300"/>
        <w:gridCol w:w="1780"/>
        <w:gridCol w:w="1100"/>
        <w:gridCol w:w="600"/>
        <w:gridCol w:w="640"/>
        <w:gridCol w:w="640"/>
        <w:gridCol w:w="600"/>
        <w:gridCol w:w="920"/>
      </w:tblGrid>
      <w:tr>
        <w:trPr>
          <w:tblHeader/>
        </w:trPr>
        <w:tc>
          <w:tcPr>
            <w:tcW w:type="dxa" w:w="68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13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Domain</w:t>
            </w:r>
          </w:p>
        </w:tc>
        <w:tc>
          <w:tcPr>
            <w:tcW w:type="dxa" w:w="178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KPI / What Monitored (9.1(a))</w:t>
            </w:r>
          </w:p>
        </w:tc>
        <w:tc>
          <w:tcPr>
            <w:tcW w:type="dxa" w:w="11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Method (9.1(b))</w:t>
            </w:r>
          </w:p>
        </w:tc>
        <w:tc>
          <w:tcPr>
            <w:tcW w:type="dxa" w:w="6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When (9.1(c))</w:t>
            </w:r>
          </w:p>
        </w:tc>
        <w:tc>
          <w:tcPr>
            <w:tcW w:type="dxa" w:w="64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Who Measures (9.1(d))</w:t>
            </w:r>
          </w:p>
        </w:tc>
        <w:tc>
          <w:tcPr>
            <w:tcW w:type="dxa" w:w="64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When Analysed (9.1(e))</w:t>
            </w:r>
          </w:p>
        </w:tc>
        <w:tc>
          <w:tcPr>
            <w:tcW w:type="dxa" w:w="6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Who Analyses (9.1(f))</w:t>
            </w:r>
          </w:p>
        </w:tc>
        <w:tc>
          <w:tcPr>
            <w:tcW w:type="dxa" w:w="92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Target</w:t>
            </w:r>
          </w:p>
        </w:tc>
      </w:tr>
      <w:tr>
        <w:tc>
          <w:tcPr>
            <w:tcW w:type="dxa" w:w="6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3"/>
                <w:szCs w:val="13"/>
              </w:rPr>
              <w:t xml:space="preserve">KPI-001</w:t>
            </w:r>
          </w:p>
        </w:tc>
        <w:tc>
          <w:tcPr>
            <w:tcW w:type="dxa" w:w="13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Access Control</w:t>
            </w:r>
          </w:p>
        </w:tc>
        <w:tc>
          <w:tcPr>
            <w:tcW w:type="dxa" w:w="1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3"/>
                <w:szCs w:val="13"/>
              </w:rPr>
              <w:t xml:space="preserve">MFA Coverage — All Accounts</w:t>
            </w:r>
          </w:p>
        </w:tc>
        <w:tc>
          <w:tcPr>
            <w:tcW w:type="dxa" w:w="11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 of user and service accounts with MFA enforced in Entra ID</w:t>
            </w:r>
          </w:p>
        </w:tc>
        <w:tc>
          <w:tcPr>
            <w:tcW w:type="dxa" w:w="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Entra ID MFA Status Report (automated)</w:t>
            </w:r>
          </w:p>
        </w:tc>
        <w:tc>
          <w:tcPr>
            <w:tcW w:type="dxa" w:w="6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Weekly automated; reviewed monthly</w:t>
            </w:r>
          </w:p>
        </w:tc>
        <w:tc>
          <w:tcPr>
            <w:tcW w:type="dxa" w:w="6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HoT</w:t>
            </w:r>
          </w:p>
        </w:tc>
        <w:tc>
          <w:tcPr>
            <w:tcW w:type="dxa" w:w="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Monthly KPI review; Annual MR</w:t>
            </w:r>
          </w:p>
        </w:tc>
        <w:tc>
          <w:tcPr>
            <w:tcW w:type="dxa" w:w="9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12"/>
                <w:szCs w:val="12"/>
              </w:rPr>
              <w:t xml:space="preserve">ISM</w:t>
            </w:r>
          </w:p>
        </w:tc>
      </w:tr>
      <w:tr>
        <w:tc>
          <w:tcPr>
            <w:tcW w:type="dxa" w:w="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3"/>
                <w:szCs w:val="13"/>
              </w:rPr>
              <w:t xml:space="preserve">KPI-002</w:t>
            </w:r>
          </w:p>
        </w:tc>
        <w:tc>
          <w:tcPr>
            <w:tcW w:type="dxa" w:w="1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Access Control</w:t>
            </w:r>
          </w:p>
        </w:tc>
        <w:tc>
          <w:tcPr>
            <w:tcW w:type="dxa" w:w="1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3"/>
                <w:szCs w:val="13"/>
              </w:rPr>
              <w:t xml:space="preserve">Phishing-Resistant MFA Coverage — Privileged Accounts</w:t>
            </w:r>
          </w:p>
        </w:tc>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 of privileged accounts using FIDO2/hardware key or equivalent phishing-resistant MFA</w:t>
            </w:r>
          </w:p>
        </w:tc>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Entra ID sign-in log filter; PAM configuration audit</w:t>
            </w:r>
          </w:p>
        </w:tc>
        <w:tc>
          <w:tcPr>
            <w:tcW w:type="dxa" w:w="6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Monthly</w:t>
            </w:r>
          </w:p>
        </w:tc>
        <w:tc>
          <w:tcPr>
            <w:tcW w:type="dxa" w:w="6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HoT</w:t>
            </w:r>
          </w:p>
        </w:tc>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Monthly KPI review</w:t>
            </w:r>
          </w:p>
        </w:tc>
        <w:tc>
          <w:tcPr>
            <w:tcW w:type="dxa" w:w="9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2"/>
                <w:szCs w:val="12"/>
              </w:rPr>
              <w:t xml:space="preserve">ISM</w:t>
            </w:r>
          </w:p>
        </w:tc>
      </w:tr>
      <w:tr>
        <w:tc>
          <w:tcPr>
            <w:tcW w:type="dxa" w:w="6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3"/>
                <w:szCs w:val="13"/>
              </w:rPr>
              <w:t xml:space="preserve">KPI-003</w:t>
            </w:r>
          </w:p>
        </w:tc>
        <w:tc>
          <w:tcPr>
            <w:tcW w:type="dxa" w:w="13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Access Control</w:t>
            </w:r>
          </w:p>
        </w:tc>
        <w:tc>
          <w:tcPr>
            <w:tcW w:type="dxa" w:w="1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3"/>
                <w:szCs w:val="13"/>
              </w:rPr>
              <w:t xml:space="preserve">Leaver Deprovisioning SLA Compliance</w:t>
            </w:r>
          </w:p>
        </w:tc>
        <w:tc>
          <w:tcPr>
            <w:tcW w:type="dxa" w:w="11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 of leaver accounts deprovisioned within 4 hours of confirmed departure</w:t>
            </w:r>
          </w:p>
        </w:tc>
        <w:tc>
          <w:tcPr>
            <w:tcW w:type="dxa" w:w="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JML log vs. HR departure record timestamp comparison</w:t>
            </w:r>
          </w:p>
        </w:tc>
        <w:tc>
          <w:tcPr>
            <w:tcW w:type="dxa" w:w="6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Per event; reported monthly</w:t>
            </w:r>
          </w:p>
        </w:tc>
        <w:tc>
          <w:tcPr>
            <w:tcW w:type="dxa" w:w="6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ISM / HoT</w:t>
            </w:r>
          </w:p>
        </w:tc>
        <w:tc>
          <w:tcPr>
            <w:tcW w:type="dxa" w:w="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Monthly KPI review</w:t>
            </w:r>
          </w:p>
        </w:tc>
        <w:tc>
          <w:tcPr>
            <w:tcW w:type="dxa" w:w="9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12"/>
                <w:szCs w:val="12"/>
              </w:rPr>
              <w:t xml:space="preserve">ISM</w:t>
            </w:r>
          </w:p>
        </w:tc>
      </w:tr>
      <w:tr>
        <w:tc>
          <w:tcPr>
            <w:tcW w:type="dxa" w:w="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3"/>
                <w:szCs w:val="13"/>
              </w:rPr>
              <w:t xml:space="preserve">KPI-004</w:t>
            </w:r>
          </w:p>
        </w:tc>
        <w:tc>
          <w:tcPr>
            <w:tcW w:type="dxa" w:w="1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Access Control</w:t>
            </w:r>
          </w:p>
        </w:tc>
        <w:tc>
          <w:tcPr>
            <w:tcW w:type="dxa" w:w="1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3"/>
                <w:szCs w:val="13"/>
              </w:rPr>
              <w:t xml:space="preserve">Privileged Account Count</w:t>
            </w:r>
          </w:p>
        </w:tc>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Number of accounts with administrative / privileged roles in Entra ID and client tenants</w:t>
            </w:r>
          </w:p>
        </w:tc>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Entra ID Privileged Identity Management report; monthly export</w:t>
            </w:r>
          </w:p>
        </w:tc>
        <w:tc>
          <w:tcPr>
            <w:tcW w:type="dxa" w:w="6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Monthly</w:t>
            </w:r>
          </w:p>
        </w:tc>
        <w:tc>
          <w:tcPr>
            <w:tcW w:type="dxa" w:w="6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HoT</w:t>
            </w:r>
          </w:p>
        </w:tc>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Monthly KPI review</w:t>
            </w:r>
          </w:p>
        </w:tc>
        <w:tc>
          <w:tcPr>
            <w:tcW w:type="dxa" w:w="9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2"/>
                <w:szCs w:val="12"/>
              </w:rPr>
              <w:t xml:space="preserve">ISM</w:t>
            </w:r>
          </w:p>
        </w:tc>
      </w:tr>
      <w:tr>
        <w:tc>
          <w:tcPr>
            <w:tcW w:type="dxa" w:w="6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3"/>
                <w:szCs w:val="13"/>
              </w:rPr>
              <w:t xml:space="preserve">KPI-005</w:t>
            </w:r>
          </w:p>
        </w:tc>
        <w:tc>
          <w:tcPr>
            <w:tcW w:type="dxa" w:w="13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Vulnerability Mgmt</w:t>
            </w:r>
          </w:p>
        </w:tc>
        <w:tc>
          <w:tcPr>
            <w:tcW w:type="dxa" w:w="1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3"/>
                <w:szCs w:val="13"/>
              </w:rPr>
              <w:t xml:space="preserve">Critical Vulnerability Remediation SLA</w:t>
            </w:r>
          </w:p>
        </w:tc>
        <w:tc>
          <w:tcPr>
            <w:tcW w:type="dxa" w:w="11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 of Critical vulnerabilities remediated within 24 hours of detection</w:t>
            </w:r>
          </w:p>
        </w:tc>
        <w:tc>
          <w:tcPr>
            <w:tcW w:type="dxa" w:w="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Defender Vulnerability Management SLA report</w:t>
            </w:r>
          </w:p>
        </w:tc>
        <w:tc>
          <w:tcPr>
            <w:tcW w:type="dxa" w:w="6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Weekly automated; reviewed monthly</w:t>
            </w:r>
          </w:p>
        </w:tc>
        <w:tc>
          <w:tcPr>
            <w:tcW w:type="dxa" w:w="6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HoT</w:t>
            </w:r>
          </w:p>
        </w:tc>
        <w:tc>
          <w:tcPr>
            <w:tcW w:type="dxa" w:w="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Monthly KPI review; Annual MR</w:t>
            </w:r>
          </w:p>
        </w:tc>
        <w:tc>
          <w:tcPr>
            <w:tcW w:type="dxa" w:w="9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12"/>
                <w:szCs w:val="12"/>
              </w:rPr>
              <w:t xml:space="preserve">ISM</w:t>
            </w:r>
          </w:p>
        </w:tc>
      </w:tr>
      <w:tr>
        <w:tc>
          <w:tcPr>
            <w:tcW w:type="dxa" w:w="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3"/>
                <w:szCs w:val="13"/>
              </w:rPr>
              <w:t xml:space="preserve">KPI-006</w:t>
            </w:r>
          </w:p>
        </w:tc>
        <w:tc>
          <w:tcPr>
            <w:tcW w:type="dxa" w:w="1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Vulnerability Mgmt</w:t>
            </w:r>
          </w:p>
        </w:tc>
        <w:tc>
          <w:tcPr>
            <w:tcW w:type="dxa" w:w="1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3"/>
                <w:szCs w:val="13"/>
              </w:rPr>
              <w:t xml:space="preserve">High Vulnerability Remediation SLA</w:t>
            </w:r>
          </w:p>
        </w:tc>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 of High vulnerabilities remediated within 7 days</w:t>
            </w:r>
          </w:p>
        </w:tc>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Defender VM SLA report</w:t>
            </w:r>
          </w:p>
        </w:tc>
        <w:tc>
          <w:tcPr>
            <w:tcW w:type="dxa" w:w="6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Weekly</w:t>
            </w:r>
          </w:p>
        </w:tc>
        <w:tc>
          <w:tcPr>
            <w:tcW w:type="dxa" w:w="6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HoT</w:t>
            </w:r>
          </w:p>
        </w:tc>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Monthly KPI review</w:t>
            </w:r>
          </w:p>
        </w:tc>
        <w:tc>
          <w:tcPr>
            <w:tcW w:type="dxa" w:w="9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2"/>
                <w:szCs w:val="12"/>
              </w:rPr>
              <w:t xml:space="preserve">ISM</w:t>
            </w:r>
          </w:p>
        </w:tc>
      </w:tr>
      <w:tr>
        <w:tc>
          <w:tcPr>
            <w:tcW w:type="dxa" w:w="6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3"/>
                <w:szCs w:val="13"/>
              </w:rPr>
              <w:t xml:space="preserve">KPI-007</w:t>
            </w:r>
          </w:p>
        </w:tc>
        <w:tc>
          <w:tcPr>
            <w:tcW w:type="dxa" w:w="13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Vulnerability Mgmt</w:t>
            </w:r>
          </w:p>
        </w:tc>
        <w:tc>
          <w:tcPr>
            <w:tcW w:type="dxa" w:w="1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3"/>
                <w:szCs w:val="13"/>
              </w:rPr>
              <w:t xml:space="preserve">Endpoint Scan Coverage</w:t>
            </w:r>
          </w:p>
        </w:tc>
        <w:tc>
          <w:tcPr>
            <w:tcW w:type="dxa" w:w="11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 of enrolled endpoints covered by vulnerability scanning</w:t>
            </w:r>
          </w:p>
        </w:tc>
        <w:tc>
          <w:tcPr>
            <w:tcW w:type="dxa" w:w="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Defender VM / Intune enrolment coverage report</w:t>
            </w:r>
          </w:p>
        </w:tc>
        <w:tc>
          <w:tcPr>
            <w:tcW w:type="dxa" w:w="6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Weekly</w:t>
            </w:r>
          </w:p>
        </w:tc>
        <w:tc>
          <w:tcPr>
            <w:tcW w:type="dxa" w:w="6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HoT</w:t>
            </w:r>
          </w:p>
        </w:tc>
        <w:tc>
          <w:tcPr>
            <w:tcW w:type="dxa" w:w="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Monthly KPI review</w:t>
            </w:r>
          </w:p>
        </w:tc>
        <w:tc>
          <w:tcPr>
            <w:tcW w:type="dxa" w:w="9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12"/>
                <w:szCs w:val="12"/>
              </w:rPr>
              <w:t xml:space="preserve">ISM</w:t>
            </w:r>
          </w:p>
        </w:tc>
      </w:tr>
      <w:tr>
        <w:tc>
          <w:tcPr>
            <w:tcW w:type="dxa" w:w="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3"/>
                <w:szCs w:val="13"/>
              </w:rPr>
              <w:t xml:space="preserve">KPI-008</w:t>
            </w:r>
          </w:p>
        </w:tc>
        <w:tc>
          <w:tcPr>
            <w:tcW w:type="dxa" w:w="1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Vulnerability Mgmt</w:t>
            </w:r>
          </w:p>
        </w:tc>
        <w:tc>
          <w:tcPr>
            <w:tcW w:type="dxa" w:w="1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3"/>
                <w:szCs w:val="13"/>
              </w:rPr>
              <w:t xml:space="preserve">Microsoft Secure Score</w:t>
            </w:r>
          </w:p>
        </w:tc>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Absolute Secure Score value and % change month-on-month</w:t>
            </w:r>
          </w:p>
        </w:tc>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Microsoft Secure Score dashboard (automated monthly snapshot)</w:t>
            </w:r>
          </w:p>
        </w:tc>
        <w:tc>
          <w:tcPr>
            <w:tcW w:type="dxa" w:w="6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Monthly</w:t>
            </w:r>
          </w:p>
        </w:tc>
        <w:tc>
          <w:tcPr>
            <w:tcW w:type="dxa" w:w="6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HoT</w:t>
            </w:r>
          </w:p>
        </w:tc>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Monthly KPI review; Annual MR</w:t>
            </w:r>
          </w:p>
        </w:tc>
        <w:tc>
          <w:tcPr>
            <w:tcW w:type="dxa" w:w="9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2"/>
                <w:szCs w:val="12"/>
              </w:rPr>
              <w:t xml:space="preserve">ISM</w:t>
            </w:r>
          </w:p>
        </w:tc>
      </w:tr>
      <w:tr>
        <w:tc>
          <w:tcPr>
            <w:tcW w:type="dxa" w:w="6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3"/>
                <w:szCs w:val="13"/>
              </w:rPr>
              <w:t xml:space="preserve">KPI-009</w:t>
            </w:r>
          </w:p>
        </w:tc>
        <w:tc>
          <w:tcPr>
            <w:tcW w:type="dxa" w:w="13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Incident Management</w:t>
            </w:r>
          </w:p>
        </w:tc>
        <w:tc>
          <w:tcPr>
            <w:tcW w:type="dxa" w:w="1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3"/>
                <w:szCs w:val="13"/>
              </w:rPr>
              <w:t xml:space="preserve">Mean Time to Detect (MTTD)</w:t>
            </w:r>
          </w:p>
        </w:tc>
        <w:tc>
          <w:tcPr>
            <w:tcW w:type="dxa" w:w="11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Average time from incident occurrence to detection across all logged incidents</w:t>
            </w:r>
          </w:p>
        </w:tc>
        <w:tc>
          <w:tcPr>
            <w:tcW w:type="dxa" w:w="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Sentinel incident creation timestamp vs. estimated occurrence time (per incident log)</w:t>
            </w:r>
          </w:p>
        </w:tc>
        <w:tc>
          <w:tcPr>
            <w:tcW w:type="dxa" w:w="6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Per incident; aggregated monthly</w:t>
            </w:r>
          </w:p>
        </w:tc>
        <w:tc>
          <w:tcPr>
            <w:tcW w:type="dxa" w:w="6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ISM</w:t>
            </w:r>
          </w:p>
        </w:tc>
        <w:tc>
          <w:tcPr>
            <w:tcW w:type="dxa" w:w="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Monthly KPI review; Annual MR</w:t>
            </w:r>
          </w:p>
        </w:tc>
        <w:tc>
          <w:tcPr>
            <w:tcW w:type="dxa" w:w="9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12"/>
                <w:szCs w:val="12"/>
              </w:rPr>
              <w:t xml:space="preserve">ISM</w:t>
            </w:r>
          </w:p>
        </w:tc>
      </w:tr>
      <w:tr>
        <w:tc>
          <w:tcPr>
            <w:tcW w:type="dxa" w:w="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3"/>
                <w:szCs w:val="13"/>
              </w:rPr>
              <w:t xml:space="preserve">KPI-010</w:t>
            </w:r>
          </w:p>
        </w:tc>
        <w:tc>
          <w:tcPr>
            <w:tcW w:type="dxa" w:w="1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Incident Management</w:t>
            </w:r>
          </w:p>
        </w:tc>
        <w:tc>
          <w:tcPr>
            <w:tcW w:type="dxa" w:w="1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3"/>
                <w:szCs w:val="13"/>
              </w:rPr>
              <w:t xml:space="preserve">Mean Time to Respond (MTTR)</w:t>
            </w:r>
          </w:p>
        </w:tc>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Average time from incident detection to initial response action taken</w:t>
            </w:r>
          </w:p>
        </w:tc>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Incident log (ISMS-IRP-001); detection timestamp vs. first action timestamp</w:t>
            </w:r>
          </w:p>
        </w:tc>
        <w:tc>
          <w:tcPr>
            <w:tcW w:type="dxa" w:w="6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Per incident; aggregated monthly</w:t>
            </w:r>
          </w:p>
        </w:tc>
        <w:tc>
          <w:tcPr>
            <w:tcW w:type="dxa" w:w="6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ISM</w:t>
            </w:r>
          </w:p>
        </w:tc>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Monthly KPI review; Annual MR</w:t>
            </w:r>
          </w:p>
        </w:tc>
        <w:tc>
          <w:tcPr>
            <w:tcW w:type="dxa" w:w="9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2"/>
                <w:szCs w:val="12"/>
              </w:rPr>
              <w:t xml:space="preserve">ISM</w:t>
            </w:r>
          </w:p>
        </w:tc>
      </w:tr>
      <w:tr>
        <w:tc>
          <w:tcPr>
            <w:tcW w:type="dxa" w:w="6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3"/>
                <w:szCs w:val="13"/>
              </w:rPr>
              <w:t xml:space="preserve">KPI-011</w:t>
            </w:r>
          </w:p>
        </w:tc>
        <w:tc>
          <w:tcPr>
            <w:tcW w:type="dxa" w:w="13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Incident Management</w:t>
            </w:r>
          </w:p>
        </w:tc>
        <w:tc>
          <w:tcPr>
            <w:tcW w:type="dxa" w:w="1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3"/>
                <w:szCs w:val="13"/>
              </w:rPr>
              <w:t xml:space="preserve">Security Incident Volume (by severity)</w:t>
            </w:r>
          </w:p>
        </w:tc>
        <w:tc>
          <w:tcPr>
            <w:tcW w:type="dxa" w:w="11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Total number of security incidents per month by severity (Critical/High/Medium/Low)</w:t>
            </w:r>
          </w:p>
        </w:tc>
        <w:tc>
          <w:tcPr>
            <w:tcW w:type="dxa" w:w="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Incident log (ISMS-IRP-001); Sentinel incident queue</w:t>
            </w:r>
          </w:p>
        </w:tc>
        <w:tc>
          <w:tcPr>
            <w:tcW w:type="dxa" w:w="6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Monthly</w:t>
            </w:r>
          </w:p>
        </w:tc>
        <w:tc>
          <w:tcPr>
            <w:tcW w:type="dxa" w:w="6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ISM</w:t>
            </w:r>
          </w:p>
        </w:tc>
        <w:tc>
          <w:tcPr>
            <w:tcW w:type="dxa" w:w="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Monthly KPI review; Annual MR</w:t>
            </w:r>
          </w:p>
        </w:tc>
        <w:tc>
          <w:tcPr>
            <w:tcW w:type="dxa" w:w="9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12"/>
                <w:szCs w:val="12"/>
              </w:rPr>
              <w:t xml:space="preserve">ISM</w:t>
            </w:r>
          </w:p>
        </w:tc>
      </w:tr>
      <w:tr>
        <w:tc>
          <w:tcPr>
            <w:tcW w:type="dxa" w:w="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3"/>
                <w:szCs w:val="13"/>
              </w:rPr>
              <w:t xml:space="preserve">KPI-012</w:t>
            </w:r>
          </w:p>
        </w:tc>
        <w:tc>
          <w:tcPr>
            <w:tcW w:type="dxa" w:w="1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Incident Management</w:t>
            </w:r>
          </w:p>
        </w:tc>
        <w:tc>
          <w:tcPr>
            <w:tcW w:type="dxa" w:w="1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3"/>
                <w:szCs w:val="13"/>
              </w:rPr>
              <w:t xml:space="preserve">Post-Incident Review Completion</w:t>
            </w:r>
          </w:p>
        </w:tc>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 of High/Critical incidents with PIR completed within 10 working days of closure</w:t>
            </w:r>
          </w:p>
        </w:tc>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Incident log PIR completion field vs. incident closure date</w:t>
            </w:r>
          </w:p>
        </w:tc>
        <w:tc>
          <w:tcPr>
            <w:tcW w:type="dxa" w:w="6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Per incident; reported monthly</w:t>
            </w:r>
          </w:p>
        </w:tc>
        <w:tc>
          <w:tcPr>
            <w:tcW w:type="dxa" w:w="6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ISM</w:t>
            </w:r>
          </w:p>
        </w:tc>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Monthly KPI review</w:t>
            </w:r>
          </w:p>
        </w:tc>
        <w:tc>
          <w:tcPr>
            <w:tcW w:type="dxa" w:w="9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2"/>
                <w:szCs w:val="12"/>
              </w:rPr>
              <w:t xml:space="preserve">ISM</w:t>
            </w:r>
          </w:p>
        </w:tc>
      </w:tr>
      <w:tr>
        <w:tc>
          <w:tcPr>
            <w:tcW w:type="dxa" w:w="6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3"/>
                <w:szCs w:val="13"/>
              </w:rPr>
              <w:t xml:space="preserve">KPI-013</w:t>
            </w:r>
          </w:p>
        </w:tc>
        <w:tc>
          <w:tcPr>
            <w:tcW w:type="dxa" w:w="13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Awareness &amp; Training</w:t>
            </w:r>
          </w:p>
        </w:tc>
        <w:tc>
          <w:tcPr>
            <w:tcW w:type="dxa" w:w="1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3"/>
                <w:szCs w:val="13"/>
              </w:rPr>
              <w:t xml:space="preserve">Annual Security Awareness Training Completion</w:t>
            </w:r>
          </w:p>
        </w:tc>
        <w:tc>
          <w:tcPr>
            <w:tcW w:type="dxa" w:w="11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 of all staff completing mandatory annual security awareness training</w:t>
            </w:r>
          </w:p>
        </w:tc>
        <w:tc>
          <w:tcPr>
            <w:tcW w:type="dxa" w:w="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LMS completion report</w:t>
            </w:r>
          </w:p>
        </w:tc>
        <w:tc>
          <w:tcPr>
            <w:tcW w:type="dxa" w:w="6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Monthly during launch window; annually at 30-day close</w:t>
            </w:r>
          </w:p>
        </w:tc>
        <w:tc>
          <w:tcPr>
            <w:tcW w:type="dxa" w:w="6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ISM</w:t>
            </w:r>
          </w:p>
        </w:tc>
        <w:tc>
          <w:tcPr>
            <w:tcW w:type="dxa" w:w="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At 30-day mark; Annual MR</w:t>
            </w:r>
          </w:p>
        </w:tc>
        <w:tc>
          <w:tcPr>
            <w:tcW w:type="dxa" w:w="9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12"/>
                <w:szCs w:val="12"/>
              </w:rPr>
              <w:t xml:space="preserve">ISM</w:t>
            </w:r>
          </w:p>
        </w:tc>
      </w:tr>
      <w:tr>
        <w:tc>
          <w:tcPr>
            <w:tcW w:type="dxa" w:w="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3"/>
                <w:szCs w:val="13"/>
              </w:rPr>
              <w:t xml:space="preserve">KPI-014</w:t>
            </w:r>
          </w:p>
        </w:tc>
        <w:tc>
          <w:tcPr>
            <w:tcW w:type="dxa" w:w="1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Awareness &amp; Training</w:t>
            </w:r>
          </w:p>
        </w:tc>
        <w:tc>
          <w:tcPr>
            <w:tcW w:type="dxa" w:w="1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3"/>
                <w:szCs w:val="13"/>
              </w:rPr>
              <w:t xml:space="preserve">Phishing Simulation Click Rate</w:t>
            </w:r>
          </w:p>
        </w:tc>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 of staff clicking simulated phishing emails per quarterly exercise</w:t>
            </w:r>
          </w:p>
        </w:tc>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Phishing simulation platform per-exercise click-rate report</w:t>
            </w:r>
          </w:p>
        </w:tc>
        <w:tc>
          <w:tcPr>
            <w:tcW w:type="dxa" w:w="6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Quarterly</w:t>
            </w:r>
          </w:p>
        </w:tc>
        <w:tc>
          <w:tcPr>
            <w:tcW w:type="dxa" w:w="6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ISM</w:t>
            </w:r>
          </w:p>
        </w:tc>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Quarterly; Annual MR</w:t>
            </w:r>
          </w:p>
        </w:tc>
        <w:tc>
          <w:tcPr>
            <w:tcW w:type="dxa" w:w="9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2"/>
                <w:szCs w:val="12"/>
              </w:rPr>
              <w:t xml:space="preserve">ISM</w:t>
            </w:r>
          </w:p>
        </w:tc>
      </w:tr>
      <w:tr>
        <w:tc>
          <w:tcPr>
            <w:tcW w:type="dxa" w:w="6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3"/>
                <w:szCs w:val="13"/>
              </w:rPr>
              <w:t xml:space="preserve">KPI-015</w:t>
            </w:r>
          </w:p>
        </w:tc>
        <w:tc>
          <w:tcPr>
            <w:tcW w:type="dxa" w:w="13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Awareness &amp; Training</w:t>
            </w:r>
          </w:p>
        </w:tc>
        <w:tc>
          <w:tcPr>
            <w:tcW w:type="dxa" w:w="1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3"/>
                <w:szCs w:val="13"/>
              </w:rPr>
              <w:t xml:space="preserve">Phishing Simulation Report Rate</w:t>
            </w:r>
          </w:p>
        </w:tc>
        <w:tc>
          <w:tcPr>
            <w:tcW w:type="dxa" w:w="11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 of staff correctly reporting simulated phishing emails</w:t>
            </w:r>
          </w:p>
        </w:tc>
        <w:tc>
          <w:tcPr>
            <w:tcW w:type="dxa" w:w="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Phishing simulation platform report-rate metric</w:t>
            </w:r>
          </w:p>
        </w:tc>
        <w:tc>
          <w:tcPr>
            <w:tcW w:type="dxa" w:w="6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Quarterly</w:t>
            </w:r>
          </w:p>
        </w:tc>
        <w:tc>
          <w:tcPr>
            <w:tcW w:type="dxa" w:w="6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ISM</w:t>
            </w:r>
          </w:p>
        </w:tc>
        <w:tc>
          <w:tcPr>
            <w:tcW w:type="dxa" w:w="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Quarterly; Annual MR</w:t>
            </w:r>
          </w:p>
        </w:tc>
        <w:tc>
          <w:tcPr>
            <w:tcW w:type="dxa" w:w="9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12"/>
                <w:szCs w:val="12"/>
              </w:rPr>
              <w:t xml:space="preserve">ISM</w:t>
            </w:r>
          </w:p>
        </w:tc>
      </w:tr>
      <w:tr>
        <w:tc>
          <w:tcPr>
            <w:tcW w:type="dxa" w:w="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3"/>
                <w:szCs w:val="13"/>
              </w:rPr>
              <w:t xml:space="preserve">KPI-016</w:t>
            </w:r>
          </w:p>
        </w:tc>
        <w:tc>
          <w:tcPr>
            <w:tcW w:type="dxa" w:w="1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Risk &amp; Compliance</w:t>
            </w:r>
          </w:p>
        </w:tc>
        <w:tc>
          <w:tcPr>
            <w:tcW w:type="dxa" w:w="1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3"/>
                <w:szCs w:val="13"/>
              </w:rPr>
              <w:t xml:space="preserve">Open High/Critical Risks Beyond Target Date</w:t>
            </w:r>
          </w:p>
        </w:tc>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Number of High or Critical risks in the risk register whose target remediation date has passed without closure</w:t>
            </w:r>
          </w:p>
        </w:tc>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ISMS-PLN-001 risk register review; target date vs. current date</w:t>
            </w:r>
          </w:p>
        </w:tc>
        <w:tc>
          <w:tcPr>
            <w:tcW w:type="dxa" w:w="6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Monthly</w:t>
            </w:r>
          </w:p>
        </w:tc>
        <w:tc>
          <w:tcPr>
            <w:tcW w:type="dxa" w:w="6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ISM</w:t>
            </w:r>
          </w:p>
        </w:tc>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Monthly KPI review; Annual MR</w:t>
            </w:r>
          </w:p>
        </w:tc>
        <w:tc>
          <w:tcPr>
            <w:tcW w:type="dxa" w:w="9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2"/>
                <w:szCs w:val="12"/>
              </w:rPr>
              <w:t xml:space="preserve">ISM / MD</w:t>
            </w:r>
          </w:p>
        </w:tc>
      </w:tr>
      <w:tr>
        <w:tc>
          <w:tcPr>
            <w:tcW w:type="dxa" w:w="6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3"/>
                <w:szCs w:val="13"/>
              </w:rPr>
              <w:t xml:space="preserve">KPI-017</w:t>
            </w:r>
          </w:p>
        </w:tc>
        <w:tc>
          <w:tcPr>
            <w:tcW w:type="dxa" w:w="13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Risk &amp; Compliance</w:t>
            </w:r>
          </w:p>
        </w:tc>
        <w:tc>
          <w:tcPr>
            <w:tcW w:type="dxa" w:w="1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3"/>
                <w:szCs w:val="13"/>
              </w:rPr>
              <w:t xml:space="preserve">Corrective Action Closure Rate</w:t>
            </w:r>
          </w:p>
        </w:tc>
        <w:tc>
          <w:tcPr>
            <w:tcW w:type="dxa" w:w="11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 of corrective actions closed within their agreed target date</w:t>
            </w:r>
          </w:p>
        </w:tc>
        <w:tc>
          <w:tcPr>
            <w:tcW w:type="dxa" w:w="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ISMS-CAR-001 corrective action tracker; closure date vs. target</w:t>
            </w:r>
          </w:p>
        </w:tc>
        <w:tc>
          <w:tcPr>
            <w:tcW w:type="dxa" w:w="6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Monthly</w:t>
            </w:r>
          </w:p>
        </w:tc>
        <w:tc>
          <w:tcPr>
            <w:tcW w:type="dxa" w:w="6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ISM</w:t>
            </w:r>
          </w:p>
        </w:tc>
        <w:tc>
          <w:tcPr>
            <w:tcW w:type="dxa" w:w="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Monthly KPI review; Annual MR</w:t>
            </w:r>
          </w:p>
        </w:tc>
        <w:tc>
          <w:tcPr>
            <w:tcW w:type="dxa" w:w="9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12"/>
                <w:szCs w:val="12"/>
              </w:rPr>
              <w:t xml:space="preserve">ISM</w:t>
            </w:r>
          </w:p>
        </w:tc>
      </w:tr>
      <w:tr>
        <w:tc>
          <w:tcPr>
            <w:tcW w:type="dxa" w:w="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3"/>
                <w:szCs w:val="13"/>
              </w:rPr>
              <w:t xml:space="preserve">KPI-018</w:t>
            </w:r>
          </w:p>
        </w:tc>
        <w:tc>
          <w:tcPr>
            <w:tcW w:type="dxa" w:w="1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Risk &amp; Compliance</w:t>
            </w:r>
          </w:p>
        </w:tc>
        <w:tc>
          <w:tcPr>
            <w:tcW w:type="dxa" w:w="1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3"/>
                <w:szCs w:val="13"/>
              </w:rPr>
              <w:t xml:space="preserve">ISMS Objective Progress</w:t>
            </w:r>
          </w:p>
        </w:tc>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 of annual ISMS objectives on track (per ISMS-PLN-001 §5)</w:t>
            </w:r>
          </w:p>
        </w:tc>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Objective tracker in ISMS-PLN-001; target date and milestone status review</w:t>
            </w:r>
          </w:p>
        </w:tc>
        <w:tc>
          <w:tcPr>
            <w:tcW w:type="dxa" w:w="6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Monthly</w:t>
            </w:r>
          </w:p>
        </w:tc>
        <w:tc>
          <w:tcPr>
            <w:tcW w:type="dxa" w:w="6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ISM</w:t>
            </w:r>
          </w:p>
        </w:tc>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Monthly KPI review; Annual MR</w:t>
            </w:r>
          </w:p>
        </w:tc>
        <w:tc>
          <w:tcPr>
            <w:tcW w:type="dxa" w:w="9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2"/>
                <w:szCs w:val="12"/>
              </w:rPr>
              <w:t xml:space="preserve">ISM / MD</w:t>
            </w:r>
          </w:p>
        </w:tc>
      </w:tr>
      <w:tr>
        <w:tc>
          <w:tcPr>
            <w:tcW w:type="dxa" w:w="6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3"/>
                <w:szCs w:val="13"/>
              </w:rPr>
              <w:t xml:space="preserve">KPI-019</w:t>
            </w:r>
          </w:p>
        </w:tc>
        <w:tc>
          <w:tcPr>
            <w:tcW w:type="dxa" w:w="13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Data Protection</w:t>
            </w:r>
          </w:p>
        </w:tc>
        <w:tc>
          <w:tcPr>
            <w:tcW w:type="dxa" w:w="1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3"/>
                <w:szCs w:val="13"/>
              </w:rPr>
              <w:t xml:space="preserve">Personal Data Breach Incidents</w:t>
            </w:r>
          </w:p>
        </w:tc>
        <w:tc>
          <w:tcPr>
            <w:tcW w:type="dxa" w:w="11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Number of confirmed personal data breaches (UK GDPR Art. 4(12)) in the reporting period</w:t>
            </w:r>
          </w:p>
        </w:tc>
        <w:tc>
          <w:tcPr>
            <w:tcW w:type="dxa" w:w="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Incident log filtered by data breach classification; ICO notification records</w:t>
            </w:r>
          </w:p>
        </w:tc>
        <w:tc>
          <w:tcPr>
            <w:tcW w:type="dxa" w:w="6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Monthly</w:t>
            </w:r>
          </w:p>
        </w:tc>
        <w:tc>
          <w:tcPr>
            <w:tcW w:type="dxa" w:w="6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ISM / DPL</w:t>
            </w:r>
          </w:p>
        </w:tc>
        <w:tc>
          <w:tcPr>
            <w:tcW w:type="dxa" w:w="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Monthly KPI review; Annual MR</w:t>
            </w:r>
          </w:p>
        </w:tc>
        <w:tc>
          <w:tcPr>
            <w:tcW w:type="dxa" w:w="9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12"/>
                <w:szCs w:val="12"/>
              </w:rPr>
              <w:t xml:space="preserve">DPL / ISM</w:t>
            </w:r>
          </w:p>
        </w:tc>
      </w:tr>
      <w:tr>
        <w:tc>
          <w:tcPr>
            <w:tcW w:type="dxa" w:w="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3"/>
                <w:szCs w:val="13"/>
              </w:rPr>
              <w:t xml:space="preserve">KPI-020</w:t>
            </w:r>
          </w:p>
        </w:tc>
        <w:tc>
          <w:tcPr>
            <w:tcW w:type="dxa" w:w="1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Data Protection</w:t>
            </w:r>
          </w:p>
        </w:tc>
        <w:tc>
          <w:tcPr>
            <w:tcW w:type="dxa" w:w="1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3"/>
                <w:szCs w:val="13"/>
              </w:rPr>
              <w:t xml:space="preserve">ICO Notification SLA Compliance</w:t>
            </w:r>
          </w:p>
        </w:tc>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 of reportable breaches notified to ICO within 72 hours of awareness</w:t>
            </w:r>
          </w:p>
        </w:tc>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ICO notification timestamp vs. awareness timestamp</w:t>
            </w:r>
          </w:p>
        </w:tc>
        <w:tc>
          <w:tcPr>
            <w:tcW w:type="dxa" w:w="6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Per event</w:t>
            </w:r>
          </w:p>
        </w:tc>
        <w:tc>
          <w:tcPr>
            <w:tcW w:type="dxa" w:w="6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DPL</w:t>
            </w:r>
          </w:p>
        </w:tc>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Post-event; Annual MR</w:t>
            </w:r>
          </w:p>
        </w:tc>
        <w:tc>
          <w:tcPr>
            <w:tcW w:type="dxa" w:w="9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2"/>
                <w:szCs w:val="12"/>
              </w:rPr>
              <w:t xml:space="preserve">DPL / ISM</w:t>
            </w:r>
          </w:p>
        </w:tc>
      </w:tr>
      <w:tr>
        <w:tc>
          <w:tcPr>
            <w:tcW w:type="dxa" w:w="6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3"/>
                <w:szCs w:val="13"/>
              </w:rPr>
              <w:t xml:space="preserve">KPI-021</w:t>
            </w:r>
          </w:p>
        </w:tc>
        <w:tc>
          <w:tcPr>
            <w:tcW w:type="dxa" w:w="13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Supplier Management</w:t>
            </w:r>
          </w:p>
        </w:tc>
        <w:tc>
          <w:tcPr>
            <w:tcW w:type="dxa" w:w="1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3"/>
                <w:szCs w:val="13"/>
              </w:rPr>
              <w:t xml:space="preserve">Supplier Risk Assessment Coverage</w:t>
            </w:r>
          </w:p>
        </w:tc>
        <w:tc>
          <w:tcPr>
            <w:tcW w:type="dxa" w:w="11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 of critical and high-rated suppliers with current (≤12 months) risk assessment on file</w:t>
            </w:r>
          </w:p>
        </w:tc>
        <w:tc>
          <w:tcPr>
            <w:tcW w:type="dxa" w:w="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ISMS-SUP-001 supplier register; assessment date vs. current date</w:t>
            </w:r>
          </w:p>
        </w:tc>
        <w:tc>
          <w:tcPr>
            <w:tcW w:type="dxa" w:w="6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Quarterly</w:t>
            </w:r>
          </w:p>
        </w:tc>
        <w:tc>
          <w:tcPr>
            <w:tcW w:type="dxa" w:w="6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ISM</w:t>
            </w:r>
          </w:p>
        </w:tc>
        <w:tc>
          <w:tcPr>
            <w:tcW w:type="dxa" w:w="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Quarterly; Annual MR</w:t>
            </w:r>
          </w:p>
        </w:tc>
        <w:tc>
          <w:tcPr>
            <w:tcW w:type="dxa" w:w="9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12"/>
                <w:szCs w:val="12"/>
              </w:rPr>
              <w:t xml:space="preserve">ISM</w:t>
            </w:r>
          </w:p>
        </w:tc>
      </w:tr>
      <w:tr>
        <w:tc>
          <w:tcPr>
            <w:tcW w:type="dxa" w:w="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3"/>
                <w:szCs w:val="13"/>
              </w:rPr>
              <w:t xml:space="preserve">KPI-022</w:t>
            </w:r>
          </w:p>
        </w:tc>
        <w:tc>
          <w:tcPr>
            <w:tcW w:type="dxa" w:w="1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Availability &amp; BCP</w:t>
            </w:r>
          </w:p>
        </w:tc>
        <w:tc>
          <w:tcPr>
            <w:tcW w:type="dxa" w:w="1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3"/>
                <w:szCs w:val="13"/>
              </w:rPr>
              <w:t xml:space="preserve">Backup Success Rate</w:t>
            </w:r>
          </w:p>
        </w:tc>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 of scheduled backup jobs completing successfully</w:t>
            </w:r>
          </w:p>
        </w:tc>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Backup platform success/failure log (automated alert on failure)</w:t>
            </w:r>
          </w:p>
        </w:tc>
        <w:tc>
          <w:tcPr>
            <w:tcW w:type="dxa" w:w="6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Daily (automated); reviewed weekly</w:t>
            </w:r>
          </w:p>
        </w:tc>
        <w:tc>
          <w:tcPr>
            <w:tcW w:type="dxa" w:w="6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HoT</w:t>
            </w:r>
          </w:p>
        </w:tc>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Monthly KPI review; Annual MR</w:t>
            </w:r>
          </w:p>
        </w:tc>
        <w:tc>
          <w:tcPr>
            <w:tcW w:type="dxa" w:w="9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2"/>
                <w:szCs w:val="12"/>
              </w:rPr>
              <w:t xml:space="preserve">ISM</w:t>
            </w:r>
          </w:p>
        </w:tc>
      </w:tr>
      <w:tr>
        <w:tc>
          <w:tcPr>
            <w:tcW w:type="dxa" w:w="6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3"/>
                <w:szCs w:val="13"/>
              </w:rPr>
              <w:t xml:space="preserve">KPI-023</w:t>
            </w:r>
          </w:p>
        </w:tc>
        <w:tc>
          <w:tcPr>
            <w:tcW w:type="dxa" w:w="13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Availability &amp; BCP</w:t>
            </w:r>
          </w:p>
        </w:tc>
        <w:tc>
          <w:tcPr>
            <w:tcW w:type="dxa" w:w="1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3"/>
                <w:szCs w:val="13"/>
              </w:rPr>
              <w:t xml:space="preserve">Backup Restoration Test Completion</w:t>
            </w:r>
          </w:p>
        </w:tc>
        <w:tc>
          <w:tcPr>
            <w:tcW w:type="dxa" w:w="11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Quarterly backup restoration test completed and documented within the quarter</w:t>
            </w:r>
          </w:p>
        </w:tc>
        <w:tc>
          <w:tcPr>
            <w:tcW w:type="dxa" w:w="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Test report completion date vs. quarterly schedule</w:t>
            </w:r>
          </w:p>
        </w:tc>
        <w:tc>
          <w:tcPr>
            <w:tcW w:type="dxa" w:w="6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Quarterly</w:t>
            </w:r>
          </w:p>
        </w:tc>
        <w:tc>
          <w:tcPr>
            <w:tcW w:type="dxa" w:w="6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HoT</w:t>
            </w:r>
          </w:p>
        </w:tc>
        <w:tc>
          <w:tcPr>
            <w:tcW w:type="dxa" w:w="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Quarterly; Annual MR</w:t>
            </w:r>
          </w:p>
        </w:tc>
        <w:tc>
          <w:tcPr>
            <w:tcW w:type="dxa" w:w="9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12"/>
                <w:szCs w:val="12"/>
              </w:rPr>
              <w:t xml:space="preserve">ISM</w:t>
            </w:r>
          </w:p>
        </w:tc>
      </w:tr>
      <w:tr>
        <w:tc>
          <w:tcPr>
            <w:tcW w:type="dxa" w:w="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3"/>
                <w:szCs w:val="13"/>
              </w:rPr>
              <w:t xml:space="preserve">KPI-024</w:t>
            </w:r>
          </w:p>
        </w:tc>
        <w:tc>
          <w:tcPr>
            <w:tcW w:type="dxa" w:w="1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ISMS Programme</w:t>
            </w:r>
          </w:p>
        </w:tc>
        <w:tc>
          <w:tcPr>
            <w:tcW w:type="dxa" w:w="1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3"/>
                <w:szCs w:val="13"/>
              </w:rPr>
              <w:t xml:space="preserve">Internal Audit Programme Completion</w:t>
            </w:r>
          </w:p>
        </w:tc>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 of planned audit activities completed within the annual audit programme schedule</w:t>
            </w:r>
          </w:p>
        </w:tc>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ISMS-IAP-001 audit plan vs. completed audit records</w:t>
            </w:r>
          </w:p>
        </w:tc>
        <w:tc>
          <w:tcPr>
            <w:tcW w:type="dxa" w:w="6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Monthly during audit period; annually at close</w:t>
            </w:r>
          </w:p>
        </w:tc>
        <w:tc>
          <w:tcPr>
            <w:tcW w:type="dxa" w:w="6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ISM / Auditor</w:t>
            </w:r>
          </w:p>
        </w:tc>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Annual MR</w:t>
            </w:r>
          </w:p>
        </w:tc>
        <w:tc>
          <w:tcPr>
            <w:tcW w:type="dxa" w:w="9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2"/>
                <w:szCs w:val="12"/>
              </w:rPr>
              <w:t xml:space="preserve">ISM / MD</w:t>
            </w:r>
          </w:p>
        </w:tc>
      </w:tr>
      <w:tr>
        <w:tc>
          <w:tcPr>
            <w:tcW w:type="dxa" w:w="6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3"/>
                <w:szCs w:val="13"/>
              </w:rPr>
              <w:t xml:space="preserve">KPI-025</w:t>
            </w:r>
          </w:p>
        </w:tc>
        <w:tc>
          <w:tcPr>
            <w:tcW w:type="dxa" w:w="13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ISMS Programme</w:t>
            </w:r>
          </w:p>
        </w:tc>
        <w:tc>
          <w:tcPr>
            <w:tcW w:type="dxa" w:w="1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3"/>
                <w:szCs w:val="13"/>
              </w:rPr>
              <w:t xml:space="preserve">Policy Acknowledgement Compliance</w:t>
            </w:r>
          </w:p>
        </w:tc>
        <w:tc>
          <w:tcPr>
            <w:tcW w:type="dxa" w:w="11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 of staff with current (annual) information security policy acknowledgement on file</w:t>
            </w:r>
          </w:p>
        </w:tc>
        <w:tc>
          <w:tcPr>
            <w:tcW w:type="dxa" w:w="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Policy acknowledgement register in ISMS-TRN-REC; acknowledgement date vs. required renewal date</w:t>
            </w:r>
          </w:p>
        </w:tc>
        <w:tc>
          <w:tcPr>
            <w:tcW w:type="dxa" w:w="6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Monthly</w:t>
            </w:r>
          </w:p>
        </w:tc>
        <w:tc>
          <w:tcPr>
            <w:tcW w:type="dxa" w:w="6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ISM</w:t>
            </w:r>
          </w:p>
        </w:tc>
        <w:tc>
          <w:tcPr>
            <w:tcW w:type="dxa" w:w="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Monthly KPI review; Annual MR</w:t>
            </w:r>
          </w:p>
        </w:tc>
        <w:tc>
          <w:tcPr>
            <w:tcW w:type="dxa" w:w="9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12"/>
                <w:szCs w:val="12"/>
              </w:rPr>
              <w:t xml:space="preserve">ISM</w:t>
            </w:r>
          </w:p>
        </w:tc>
      </w:tr>
    </w:tbl>
    <w:p>
      <w:pPr>
        <w:spacing w:after="60" w:before="60"/>
      </w:pPr>
    </w:p>
    <w:p>
      <w:pPr>
        <w:spacing w:after="80" w:before="80"/>
        <w:jc w:val="left"/>
      </w:pPr>
      <w:r>
        <w:rPr>
          <w:rFonts w:ascii="Arial" w:cs="Arial" w:eastAsia="Arial" w:hAnsi="Arial"/>
          <w:b w:val="false"/>
          <w:bCs w:val="false"/>
          <w:color w:val="888888"/>
          <w:sz w:val="17"/>
          <w:szCs w:val="17"/>
        </w:rPr>
        <w:t xml:space="preserve">'[TBC]' in the Current column indicates the KPI framework has been established but baseline data has not yet been collected at document date. Baseline values will be populated following the first full monitoring cycle (Q2 2026).</w:t>
      </w:r>
    </w:p>
    <w:p>
      <w:pPr>
        <w:spacing w:after="120" w:before="120"/>
      </w:pPr>
    </w:p>
    <w:p>
      <w:pPr>
        <w:pStyle w:val="Heading2"/>
        <w:spacing w:after="80" w:before="240"/>
      </w:pPr>
      <w:r>
        <w:rPr>
          <w:rFonts w:ascii="Arial" w:cs="Arial" w:eastAsia="Arial" w:hAnsi="Arial"/>
          <w:b/>
          <w:bCs/>
          <w:color w:val="2E75B6"/>
          <w:sz w:val="26"/>
          <w:szCs w:val="26"/>
        </w:rPr>
        <w:t xml:space="preserve">3.3 Monitoring Methods and Validity</w:t>
      </w:r>
    </w:p>
    <w:p>
      <w:pPr>
        <w:spacing w:after="80" w:before="80"/>
        <w:jc w:val="left"/>
      </w:pPr>
      <w:r>
        <w:rPr>
          <w:rFonts w:ascii="Arial" w:cs="Arial" w:eastAsia="Arial" w:hAnsi="Arial"/>
          <w:b w:val="false"/>
          <w:bCs w:val="false"/>
          <w:color w:val="000000"/>
          <w:sz w:val="20"/>
          <w:szCs w:val="20"/>
        </w:rPr>
        <w:t xml:space="preserve">Clause 9.1(b) requires that methods produce comparable and reproducible results. The following principles ensure validity across the KPI framework:</w:t>
      </w:r>
    </w:p>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200"/>
        <w:gridCol w:w="7060"/>
      </w:tblGrid>
      <w:tr>
        <w:trPr>
          <w:tblHeader/>
        </w:trPr>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Validity Principle</w:t>
            </w:r>
          </w:p>
        </w:tc>
        <w:tc>
          <w:tcPr>
            <w:tcW w:type="dxa" w:w="70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Implementation</w:t>
            </w:r>
          </w:p>
        </w:tc>
      </w:tr>
      <w:tr>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Automated measurement preferred</w:t>
            </w:r>
          </w:p>
        </w:tc>
        <w:tc>
          <w:tcPr>
            <w:tcW w:type="dxa" w:w="70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Where technically available, KPIs are measured using automated platform reports (Entra ID, Intune, Defender VM, Sentinel, LMS) rather than manual counts, eliminating human measurement error and ensuring consistency between periods.</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Consistent data sources</w:t>
            </w:r>
          </w:p>
        </w:tc>
        <w:tc>
          <w:tcPr>
            <w:tcW w:type="dxa" w:w="70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Each KPI uses a single, named data source that is used consistently across all measurement periods. Changes to data source require version increment of this document and a note in the KPI report.</w:t>
            </w:r>
          </w:p>
        </w:tc>
      </w:tr>
      <w:tr>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Defined denominators</w:t>
            </w:r>
          </w:p>
        </w:tc>
        <w:tc>
          <w:tcPr>
            <w:tcW w:type="dxa" w:w="70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Percentage-based KPIs specify the denominator (e.g. 'enrolled endpoints', 'all user and service accounts', 'scheduled backup jobs') to ensure comparability period-over-period.</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Snapshot vs. period aggregation</w:t>
            </w:r>
          </w:p>
        </w:tc>
        <w:tc>
          <w:tcPr>
            <w:tcW w:type="dxa" w:w="70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Point-in-time KPIs (e.g. Secure Score, MFA coverage) are captured at a defined snapshot date (last working day of the month). Period-aggregation KPIs (e.g. MTTD, incident volume) aggregate across the full calendar month.</w:t>
            </w:r>
          </w:p>
        </w:tc>
      </w:tr>
      <w:tr>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Trend analysis over rolling periods</w:t>
            </w:r>
          </w:p>
        </w:tc>
        <w:tc>
          <w:tcPr>
            <w:tcW w:type="dxa" w:w="70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All KPIs are tracked over a rolling 12-month period to enable trend identification. Trend direction (improving/stable/declining) is assessed by ISM at each quarterly review.</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Evidence retention</w:t>
            </w:r>
          </w:p>
        </w:tc>
        <w:tc>
          <w:tcPr>
            <w:tcW w:type="dxa" w:w="70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The raw data underpinning each KPI (platform reports, export files) is retained in the document management system alongside the KPI report for the period, per the retention schedule in ISMS-SPT-001 §6.6.</w:t>
            </w:r>
          </w:p>
        </w:tc>
      </w:tr>
    </w:tbl>
    <w:p>
      <w:pPr>
        <w:spacing w:after="120" w:before="120"/>
      </w:pPr>
    </w:p>
    <w:p>
      <w:pPr>
        <w:pStyle w:val="Heading2"/>
        <w:spacing w:after="80" w:before="240"/>
      </w:pPr>
      <w:r>
        <w:rPr>
          <w:rFonts w:ascii="Arial" w:cs="Arial" w:eastAsia="Arial" w:hAnsi="Arial"/>
          <w:b/>
          <w:bCs/>
          <w:color w:val="2E75B6"/>
          <w:sz w:val="26"/>
          <w:szCs w:val="26"/>
        </w:rPr>
        <w:t xml:space="preserve">3.4 Measurement Schedule and Roles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800"/>
        <w:gridCol w:w="3660"/>
        <w:gridCol w:w="2200"/>
        <w:gridCol w:w="1600"/>
      </w:tblGrid>
      <w:tr>
        <w:trPr>
          <w:tblHeader/>
        </w:trPr>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Measurement Cadence</w:t>
            </w:r>
          </w:p>
        </w:tc>
        <w:tc>
          <w:tcPr>
            <w:tcW w:type="dxa" w:w="36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KPIs</w:t>
            </w:r>
          </w:p>
        </w:tc>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Measured By</w:t>
            </w:r>
          </w:p>
        </w:tc>
        <w:tc>
          <w:tcPr>
            <w:tcW w:type="dxa" w:w="16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Output</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Continuous / Automated</w:t>
            </w:r>
          </w:p>
        </w:tc>
        <w:tc>
          <w:tcPr>
            <w:tcW w:type="dxa" w:w="3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Backup success (KPI-022); SIEM alert queue (feeds KPI-009/010); Intune compliance enforcement (feeds KPI-007).</w:t>
            </w:r>
          </w:p>
        </w:tc>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Platform automated monitoring; HoT reviews alerts</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Platform logs; alert notifications</w:t>
            </w:r>
          </w:p>
        </w:tc>
      </w:tr>
      <w:tr>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Weekly</w:t>
            </w:r>
          </w:p>
        </w:tc>
        <w:tc>
          <w:tcPr>
            <w:tcW w:type="dxa" w:w="36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Vulnerability scan run (KPI-005, KPI-006, KPI-007); endpoint scan coverage check.</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HoT (automated scan execution; manual review)</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Defender VM scan report</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Monthly</w:t>
            </w:r>
          </w:p>
        </w:tc>
        <w:tc>
          <w:tcPr>
            <w:tcW w:type="dxa" w:w="3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MFA coverage (KPI-001/002); Secure Score (KPI-008); Incident volume/MTTD/MTTR (KPI-009–012); Training completion (KPI-013); Policy acknowledgement (KPI-025); Open risks (KPI-016); CA closure (KPI-017); Objective progress (KPI-018); Breach incidents (KPI-019); Backup success rate (KPI-022); Leaver SLA (KPI-003); Privileged accounts (KPI-004).</w:t>
            </w:r>
          </w:p>
        </w:tc>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HoT (technical KPIs); ISM (ISMS programme KPIs); DPL (data protection KPIs)</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Monthly KPI report (ISMS-MR-002)</w:t>
            </w:r>
          </w:p>
        </w:tc>
      </w:tr>
      <w:tr>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Quarterly</w:t>
            </w:r>
          </w:p>
        </w:tc>
        <w:tc>
          <w:tcPr>
            <w:tcW w:type="dxa" w:w="36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Phishing simulation click/report rate (KPI-014/015); Backup restoration test (KPI-023); Supplier assessment coverage (KPI-021).</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ISM (phishing, supplier); HoT (backup test)</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Quarterly KPI review pack</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Event-triggered</w:t>
            </w:r>
          </w:p>
        </w:tc>
        <w:tc>
          <w:tcPr>
            <w:tcW w:type="dxa" w:w="3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Leaver deprovisioning SLA (KPI-003) — measured per event. ICO notification SLA (KPI-020) — measured per notifiable breach. PIR completion (KPI-012) — measured per High/Critical incident.</w:t>
            </w:r>
          </w:p>
        </w:tc>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ISM / DPL per event</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Event log entry; incident log</w:t>
            </w:r>
          </w:p>
        </w:tc>
      </w:tr>
      <w:tr>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Annual</w:t>
            </w:r>
          </w:p>
        </w:tc>
        <w:tc>
          <w:tcPr>
            <w:tcW w:type="dxa" w:w="36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Internal audit programme completion (KPI-024); Annual training completion (KPI-013 — final annual tally).</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ISM / Auditor</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Annual audit report; annual training record</w:t>
            </w:r>
          </w:p>
        </w:tc>
      </w:tr>
    </w:tbl>
    <w:p>
      <w:pPr>
        <w:spacing w:after="120" w:before="120"/>
      </w:pPr>
    </w:p>
    <w:p>
      <w:pPr>
        <w:pStyle w:val="Heading2"/>
        <w:spacing w:after="80" w:before="240"/>
      </w:pPr>
      <w:r>
        <w:rPr>
          <w:rFonts w:ascii="Arial" w:cs="Arial" w:eastAsia="Arial" w:hAnsi="Arial"/>
          <w:b/>
          <w:bCs/>
          <w:color w:val="2E75B6"/>
          <w:sz w:val="26"/>
          <w:szCs w:val="26"/>
        </w:rPr>
        <w:t xml:space="preserve">3.5 Analysis and Evaluation Schedule and Roles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800"/>
        <w:gridCol w:w="3260"/>
        <w:gridCol w:w="2200"/>
        <w:gridCol w:w="2000"/>
      </w:tblGrid>
      <w:tr>
        <w:trPr>
          <w:tblHeader/>
        </w:trPr>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Analysis Frequency</w:t>
            </w:r>
          </w:p>
        </w:tc>
        <w:tc>
          <w:tcPr>
            <w:tcW w:type="dxa" w:w="32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Analysis Content</w:t>
            </w:r>
          </w:p>
        </w:tc>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Analyst (9.1(f))</w:t>
            </w:r>
          </w:p>
        </w:tc>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Output / Forum</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Monthly</w:t>
            </w:r>
          </w:p>
        </w:tc>
        <w:tc>
          <w:tcPr>
            <w:tcW w:type="dxa" w:w="3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Review of all monthly KPI values vs. targets; identification of KPIs below target; trend assessment vs. prior month; identification of any corrective action triggers.</w:t>
            </w:r>
          </w:p>
        </w:tc>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ISM (primary analyst); HoT (technical KPIs)</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ISMS-MR-002 KPI metrics report; corrective actions raised in ISMS-CAR-001 where targets missed</w:t>
            </w:r>
          </w:p>
        </w:tc>
      </w:tr>
      <w:tr>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Quarterly</w:t>
            </w:r>
          </w:p>
        </w:tc>
        <w:tc>
          <w:tcPr>
            <w:tcW w:type="dxa" w:w="32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Quarterly KPI review: 3-month rolling trend analysis; evaluation of whether ISMS objectives are on track; assessment of risk posture change; briefing to MD.</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ISM (presentation); MD (evaluation and decisions)</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Quarterly KPI review meeting; MD briefing notes; action items</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Annual (Management Review)</w:t>
            </w:r>
          </w:p>
        </w:tc>
        <w:tc>
          <w:tcPr>
            <w:tcW w:type="dxa" w:w="3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12-month trend analysis across all KPIs; evaluation of overall ISMS performance and effectiveness; assessment of whether objectives achieved; evaluation of monitoring programme adequacy; decisions on target revisions.</w:t>
            </w:r>
          </w:p>
        </w:tc>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ISM (presents); MD (evaluates and decides); HoT (technical input)</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Management Review minutes (ISMS-MR-001); updated ISMS-MR-002 annual summary</w:t>
            </w:r>
          </w:p>
        </w:tc>
      </w:tr>
      <w:tr>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Post-incident</w:t>
            </w:r>
          </w:p>
        </w:tc>
        <w:tc>
          <w:tcPr>
            <w:tcW w:type="dxa" w:w="32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For High/Critical incidents: evaluation of KPIs relevant to the incident (e.g. MTTD if detection was slow; MFA coverage if credential compromise involved) to identify whether KPI targets were a factor.</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ISM (PIR lead)</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Post-Incident Review report (ISMS-IRP-001); corrective actions if KPI failure contributed</w:t>
            </w:r>
          </w:p>
        </w:tc>
      </w:tr>
    </w:tbl>
    <w:p>
      <w:pPr>
        <w:spacing w:after="120" w:before="120"/>
      </w:pPr>
    </w:p>
    <w:p>
      <w:pPr>
        <w:pStyle w:val="Heading2"/>
        <w:spacing w:after="80" w:before="240"/>
      </w:pPr>
      <w:r>
        <w:rPr>
          <w:rFonts w:ascii="Arial" w:cs="Arial" w:eastAsia="Arial" w:hAnsi="Arial"/>
          <w:b/>
          <w:bCs/>
          <w:color w:val="2E75B6"/>
          <w:sz w:val="26"/>
          <w:szCs w:val="26"/>
        </w:rPr>
        <w:t xml:space="preserve">3.6 Evidence of Results</w:t>
      </w:r>
    </w:p>
    <w:p>
      <w:pPr>
        <w:spacing w:after="80" w:before="80"/>
        <w:jc w:val="left"/>
      </w:pPr>
      <w:r>
        <w:rPr>
          <w:rFonts w:ascii="Arial" w:cs="Arial" w:eastAsia="Arial" w:hAnsi="Arial"/>
          <w:b w:val="false"/>
          <w:bCs w:val="false"/>
          <w:color w:val="000000"/>
          <w:sz w:val="20"/>
          <w:szCs w:val="20"/>
        </w:rPr>
        <w:t xml:space="preserve">The following documented information constitutes evidence of monitoring and measurement results per Clause 9.1:</w:t>
      </w:r>
    </w:p>
    <w:p>
      <w:pPr>
        <w:spacing w:after="60" w:before="60"/>
      </w:pPr>
    </w:p>
    <w:p>
      <w:pPr>
        <w:pStyle w:val="ListParagraph"/>
        <w:numPr>
          <w:ilvl w:val="0"/>
          <w:numId w:val="2"/>
        </w:numPr>
        <w:spacing w:after="40" w:before="40"/>
      </w:pPr>
      <w:r>
        <w:rPr>
          <w:rFonts w:ascii="Arial" w:cs="Arial" w:eastAsia="Arial" w:hAnsi="Arial"/>
          <w:sz w:val="20"/>
          <w:szCs w:val="20"/>
        </w:rPr>
        <w:t xml:space="preserve">Monthly KPI metrics report (ISMS-MR-002) — retained for 3 years per ISMS-SPT-001 §6.6</w:t>
      </w:r>
    </w:p>
    <w:p>
      <w:pPr>
        <w:pStyle w:val="ListParagraph"/>
        <w:numPr>
          <w:ilvl w:val="0"/>
          <w:numId w:val="2"/>
        </w:numPr>
        <w:spacing w:after="40" w:before="40"/>
      </w:pPr>
      <w:r>
        <w:rPr>
          <w:rFonts w:ascii="Arial" w:cs="Arial" w:eastAsia="Arial" w:hAnsi="Arial"/>
          <w:sz w:val="20"/>
          <w:szCs w:val="20"/>
        </w:rPr>
        <w:t xml:space="preserve">Quarterly KPI review pack and meeting notes — retained for 3 years</w:t>
      </w:r>
    </w:p>
    <w:p>
      <w:pPr>
        <w:pStyle w:val="ListParagraph"/>
        <w:numPr>
          <w:ilvl w:val="0"/>
          <w:numId w:val="2"/>
        </w:numPr>
        <w:spacing w:after="40" w:before="40"/>
      </w:pPr>
      <w:r>
        <w:rPr>
          <w:rFonts w:ascii="Arial" w:cs="Arial" w:eastAsia="Arial" w:hAnsi="Arial"/>
          <w:sz w:val="20"/>
          <w:szCs w:val="20"/>
        </w:rPr>
        <w:t xml:space="preserve">Raw platform data exports underpinning each KPI (Entra ID reports, Defender VM, Intune, Sentinel, LMS) — retained per platform log retention policy (minimum 90 days; 1 year for key reports)</w:t>
      </w:r>
    </w:p>
    <w:p>
      <w:pPr>
        <w:pStyle w:val="ListParagraph"/>
        <w:numPr>
          <w:ilvl w:val="0"/>
          <w:numId w:val="2"/>
        </w:numPr>
        <w:spacing w:after="40" w:before="40"/>
      </w:pPr>
      <w:r>
        <w:rPr>
          <w:rFonts w:ascii="Arial" w:cs="Arial" w:eastAsia="Arial" w:hAnsi="Arial"/>
          <w:sz w:val="20"/>
          <w:szCs w:val="20"/>
        </w:rPr>
        <w:t xml:space="preserve">Annual management review minutes including KPI analysis (ISMS-MR-001) — retained for 3 years</w:t>
      </w:r>
    </w:p>
    <w:p>
      <w:pPr>
        <w:pStyle w:val="ListParagraph"/>
        <w:numPr>
          <w:ilvl w:val="0"/>
          <w:numId w:val="2"/>
        </w:numPr>
        <w:spacing w:after="40" w:before="40"/>
      </w:pPr>
      <w:r>
        <w:rPr>
          <w:rFonts w:ascii="Arial" w:cs="Arial" w:eastAsia="Arial" w:hAnsi="Arial"/>
          <w:sz w:val="20"/>
          <w:szCs w:val="20"/>
        </w:rPr>
        <w:t xml:space="preserve">Event-triggered evidence (leaver deprovisioning logs, ICO notification records, PIR reports) — retained per incident retention schedule</w:t>
      </w:r>
    </w:p>
    <w:p>
      <w:pPr>
        <w:spacing w:after="120" w:before="120"/>
      </w:pPr>
    </w:p>
    <w:p>
      <w:r>
        <w:br w:type="page"/>
      </w:r>
    </w:p>
    <w:p>
      <w:pPr>
        <w:pStyle w:val="Heading1"/>
        <w:pBdr>
          <w:bottom w:val="single" w:color="2E75B6" w:sz="8" w:space="4"/>
        </w:pBdr>
        <w:spacing w:after="120" w:before="360"/>
      </w:pPr>
      <w:r>
        <w:rPr>
          <w:rFonts w:ascii="Arial" w:cs="Arial" w:eastAsia="Arial" w:hAnsi="Arial"/>
          <w:b/>
          <w:bCs/>
          <w:color w:val="1F3864"/>
          <w:sz w:val="34"/>
          <w:szCs w:val="34"/>
        </w:rPr>
        <w:t xml:space="preserve">4. Clause 9.2 — Internal Audit</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400"/>
        <w:gridCol w:w="7860"/>
      </w:tblGrid>
      <w:tr>
        <w:tc>
          <w:tcPr>
            <w:tcW w:type="dxa" w:w="1400"/>
            <w:tcBorders>
              <w:top w:val="single" w:color="CCCCCC" w:sz="1"/>
              <w:left w:val="single" w:color="CCCCCC" w:sz="1"/>
              <w:bottom w:val="single" w:color="CCCCCC" w:sz="1"/>
              <w:right w:val="single" w:color="CCCCCC" w:sz="1"/>
            </w:tcBorders>
            <w:shd w:fill="1F3864"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9.2</w:t>
            </w:r>
          </w:p>
          <w:p>
            <w:pPr>
              <w:jc w:val="center"/>
            </w:pPr>
            <w:r>
              <w:rPr>
                <w:rFonts w:ascii="Arial" w:cs="Arial" w:eastAsia="Arial" w:hAnsi="Arial"/>
                <w:color w:val="D6E4F0"/>
                <w:sz w:val="14"/>
                <w:szCs w:val="14"/>
              </w:rPr>
              <w:t xml:space="preserve">Internal Audit</w:t>
            </w:r>
          </w:p>
        </w:tc>
        <w:tc>
          <w:tcPr>
            <w:tcW w:type="dxa" w:w="786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r>
              <w:rPr>
                <w:rFonts w:ascii="Arial" w:cs="Arial" w:eastAsia="Arial" w:hAnsi="Arial"/>
                <w:color w:val="1F3864"/>
                <w:sz w:val="18"/>
                <w:szCs w:val="18"/>
              </w:rPr>
              <w:t xml:space="preserve">The organisation shall conduct internal audits at planned intervals to provide information on whether the ISMS: (a) conforms to the organisation's own requirements and ISO 27001:2022; (b) is effectively implemented and maintained. The organisation shall plan, establish, implement, and maintain an audit programme including frequency, methods, responsibilities, and reporting. Auditors shall ensure objectivity and impartiality. Results shall be reported to relevant management. Documented information shall be retained as evidence.</w:t>
            </w:r>
          </w:p>
        </w:tc>
      </w:tr>
    </w:tbl>
    <w:p>
      <w:pPr>
        <w:spacing w:after="120" w:before="120"/>
      </w:pPr>
    </w:p>
    <w:p>
      <w:pPr>
        <w:pStyle w:val="Heading2"/>
        <w:spacing w:after="80" w:before="240"/>
      </w:pPr>
      <w:r>
        <w:rPr>
          <w:rFonts w:ascii="Arial" w:cs="Arial" w:eastAsia="Arial" w:hAnsi="Arial"/>
          <w:b/>
          <w:bCs/>
          <w:color w:val="2E75B6"/>
          <w:sz w:val="26"/>
          <w:szCs w:val="26"/>
        </w:rPr>
        <w:t xml:space="preserve">4.1 Internal Audit Objectives and Programme</w:t>
      </w:r>
    </w:p>
    <w:p>
      <w:pPr>
        <w:spacing w:after="80" w:before="80"/>
        <w:jc w:val="left"/>
      </w:pPr>
      <w:r>
        <w:rPr>
          <w:rFonts w:ascii="Arial" w:cs="Arial" w:eastAsia="Arial" w:hAnsi="Arial"/>
          <w:b w:val="false"/>
          <w:bCs w:val="false"/>
          <w:color w:val="000000"/>
          <w:sz w:val="20"/>
          <w:szCs w:val="20"/>
        </w:rPr>
        <w:t xml:space="preserve">The ISMS internal audit programme is established to provide independent, systematic, and evidence-based assurance that:</w:t>
      </w:r>
    </w:p>
    <w:p>
      <w:pPr>
        <w:spacing w:after="60" w:before="60"/>
      </w:pPr>
    </w:p>
    <w:p>
      <w:pPr>
        <w:pStyle w:val="ListParagraph"/>
        <w:numPr>
          <w:ilvl w:val="0"/>
          <w:numId w:val="2"/>
        </w:numPr>
        <w:spacing w:after="40" w:before="40"/>
      </w:pPr>
      <w:r>
        <w:rPr>
          <w:rFonts w:ascii="Arial" w:cs="Arial" w:eastAsia="Arial" w:hAnsi="Arial"/>
          <w:sz w:val="20"/>
          <w:szCs w:val="20"/>
        </w:rPr>
        <w:t xml:space="preserve">The ISMS conforms to the requirements of ISO/IEC 27001:2022 across all mandatory clauses (Clauses 4–10);</w:t>
      </w:r>
    </w:p>
    <w:p>
      <w:pPr>
        <w:pStyle w:val="ListParagraph"/>
        <w:numPr>
          <w:ilvl w:val="0"/>
          <w:numId w:val="2"/>
        </w:numPr>
        <w:spacing w:after="40" w:before="40"/>
      </w:pPr>
      <w:r>
        <w:rPr>
          <w:rFonts w:ascii="Arial" w:cs="Arial" w:eastAsia="Arial" w:hAnsi="Arial"/>
          <w:sz w:val="20"/>
          <w:szCs w:val="20"/>
        </w:rPr>
        <w:t xml:space="preserve">The ISMS conforms to the organisation's own requirements as documented in the ISMS policy framework;</w:t>
      </w:r>
    </w:p>
    <w:p>
      <w:pPr>
        <w:pStyle w:val="ListParagraph"/>
        <w:numPr>
          <w:ilvl w:val="0"/>
          <w:numId w:val="2"/>
        </w:numPr>
        <w:spacing w:after="40" w:before="40"/>
      </w:pPr>
      <w:r>
        <w:rPr>
          <w:rFonts w:ascii="Arial" w:cs="Arial" w:eastAsia="Arial" w:hAnsi="Arial"/>
          <w:sz w:val="20"/>
          <w:szCs w:val="20"/>
        </w:rPr>
        <w:t xml:space="preserve">Information security controls in Annex A (as included in the Statement of Applicability, ISMS-SoA-001) are implemented and operating effectively;</w:t>
      </w:r>
    </w:p>
    <w:p>
      <w:pPr>
        <w:pStyle w:val="ListParagraph"/>
        <w:numPr>
          <w:ilvl w:val="0"/>
          <w:numId w:val="2"/>
        </w:numPr>
        <w:spacing w:after="40" w:before="40"/>
      </w:pPr>
      <w:r>
        <w:rPr>
          <w:rFonts w:ascii="Arial" w:cs="Arial" w:eastAsia="Arial" w:hAnsi="Arial"/>
          <w:sz w:val="20"/>
          <w:szCs w:val="20"/>
        </w:rPr>
        <w:t xml:space="preserve">The ISMS is maintained and updated in a manner consistent with continual improvement.</w:t>
      </w:r>
    </w:p>
    <w:p>
      <w:pPr>
        <w:spacing w:after="60" w:before="60"/>
      </w:pPr>
    </w:p>
    <w:p>
      <w:pPr>
        <w:spacing w:after="80" w:before="80"/>
        <w:jc w:val="left"/>
      </w:pPr>
      <w:r>
        <w:rPr>
          <w:rFonts w:ascii="Arial" w:cs="Arial" w:eastAsia="Arial" w:hAnsi="Arial"/>
          <w:b w:val="false"/>
          <w:bCs w:val="false"/>
          <w:color w:val="000000"/>
          <w:sz w:val="20"/>
          <w:szCs w:val="20"/>
        </w:rPr>
        <w:t xml:space="preserve">The audit programme covers all ISO 27001:2022 clauses and all Annex A control themes within each 12-month audit cycle. Given the organisation's size (1–10 personnel) the audit is typically conducted as a single programme within a 4–6 week window, rather than split across multiple short audits.</w:t>
      </w:r>
    </w:p>
    <w:p>
      <w:pPr>
        <w:spacing w:after="120" w:before="120"/>
      </w:pPr>
    </w:p>
    <w:p>
      <w:pPr>
        <w:pStyle w:val="Heading2"/>
        <w:spacing w:after="80" w:before="240"/>
      </w:pPr>
      <w:r>
        <w:rPr>
          <w:rFonts w:ascii="Arial" w:cs="Arial" w:eastAsia="Arial" w:hAnsi="Arial"/>
          <w:b/>
          <w:bCs/>
          <w:color w:val="2E75B6"/>
          <w:sz w:val="26"/>
          <w:szCs w:val="26"/>
        </w:rPr>
        <w:t xml:space="preserve">4.2 Auditor Independence and Competence</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200"/>
        <w:gridCol w:w="7060"/>
      </w:tblGrid>
      <w:tr>
        <w:trPr>
          <w:tblHeader/>
        </w:trPr>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Requirement</w:t>
            </w:r>
          </w:p>
        </w:tc>
        <w:tc>
          <w:tcPr>
            <w:tcW w:type="dxa" w:w="70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Implementation at Apex Managed Services Ltd</w:t>
            </w:r>
          </w:p>
        </w:tc>
      </w:tr>
      <w:tr>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Independence and objectivity</w:t>
            </w:r>
          </w:p>
        </w:tc>
        <w:tc>
          <w:tcPr>
            <w:tcW w:type="dxa" w:w="70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Auditors shall not audit their own work. Given the small organisational size, where the ISM is responsible for a process, an independent auditor (external contractor or another qualified individual) is used for that area. The ISM may audit areas for which they are not operationally responsible. Independence is documented in the audit plan.</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Auditor qualification</w:t>
            </w:r>
          </w:p>
        </w:tc>
        <w:tc>
          <w:tcPr>
            <w:tcW w:type="dxa" w:w="70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The internal auditor holds, or is in the process of obtaining, ISO 27001:2022 Internal Auditor certification from a recognised body (CQI/IRCA, BSI, or equivalent). Where an external auditor is used, qualification evidence is retained in ISMS-TRN-REC.</w:t>
            </w:r>
          </w:p>
        </w:tc>
      </w:tr>
      <w:tr>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External auditor option</w:t>
            </w:r>
          </w:p>
        </w:tc>
        <w:tc>
          <w:tcPr>
            <w:tcW w:type="dxa" w:w="70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The organisation may engage a qualified external consultant to conduct all or part of the internal audit programme, particularly in the first certification year. This does not affect the requirement for impartiality — the external auditor must confirm no conflict of interest in writing before engagement.</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Reporting independence</w:t>
            </w:r>
          </w:p>
        </w:tc>
        <w:tc>
          <w:tcPr>
            <w:tcW w:type="dxa" w:w="70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Audit findings are reported directly to the Managing Director, not filtered through the ISM where the ISM is the auditee. This preserves the integrity of the reporting chain required by ISO 27001:2022.</w:t>
            </w:r>
          </w:p>
        </w:tc>
      </w:tr>
    </w:tbl>
    <w:p>
      <w:pPr>
        <w:spacing w:after="120" w:before="120"/>
      </w:pPr>
    </w:p>
    <w:p>
      <w:pPr>
        <w:pStyle w:val="Heading2"/>
        <w:spacing w:after="80" w:before="240"/>
      </w:pPr>
      <w:r>
        <w:rPr>
          <w:rFonts w:ascii="Arial" w:cs="Arial" w:eastAsia="Arial" w:hAnsi="Arial"/>
          <w:b/>
          <w:bCs/>
          <w:color w:val="2E75B6"/>
          <w:sz w:val="26"/>
          <w:szCs w:val="26"/>
        </w:rPr>
        <w:t xml:space="preserve">4.3 Audit Scope — Clause Coverage Matrix</w:t>
      </w:r>
    </w:p>
    <w:p>
      <w:pPr>
        <w:spacing w:after="80" w:before="80"/>
        <w:jc w:val="left"/>
      </w:pPr>
      <w:r>
        <w:rPr>
          <w:rFonts w:ascii="Arial" w:cs="Arial" w:eastAsia="Arial" w:hAnsi="Arial"/>
          <w:b w:val="false"/>
          <w:bCs w:val="false"/>
          <w:color w:val="000000"/>
          <w:sz w:val="20"/>
          <w:szCs w:val="20"/>
        </w:rPr>
        <w:t xml:space="preserve">Every ISO 27001:2022 clause from 4 to 10 is audited within each 12-month cycle. The table below documents the audit scope for each clause, the key audit questions, evidence sources, estimated time, and frequency:</w:t>
      </w:r>
    </w:p>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780"/>
        <w:gridCol w:w="600"/>
        <w:gridCol w:w="1500"/>
        <w:gridCol w:w="2500"/>
        <w:gridCol w:w="1400"/>
        <w:gridCol w:w="1200"/>
        <w:gridCol w:w="680"/>
        <w:gridCol w:w="600"/>
      </w:tblGrid>
      <w:tr>
        <w:trPr>
          <w:tblHeader/>
        </w:trPr>
        <w:tc>
          <w:tcPr>
            <w:tcW w:type="dxa" w:w="78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Audit Area</w:t>
            </w:r>
          </w:p>
        </w:tc>
        <w:tc>
          <w:tcPr>
            <w:tcW w:type="dxa" w:w="6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Clause</w:t>
            </w:r>
          </w:p>
        </w:tc>
        <w:tc>
          <w:tcPr>
            <w:tcW w:type="dxa" w:w="15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Scope</w:t>
            </w:r>
          </w:p>
        </w:tc>
        <w:tc>
          <w:tcPr>
            <w:tcW w:type="dxa" w:w="25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Key Audit Questions</w:t>
            </w:r>
          </w:p>
        </w:tc>
        <w:tc>
          <w:tcPr>
            <w:tcW w:type="dxa" w:w="1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Evidence Sources</w:t>
            </w:r>
          </w:p>
        </w:tc>
        <w:tc>
          <w:tcPr>
            <w:tcW w:type="dxa" w:w="1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Method / Est. Time</w:t>
            </w:r>
          </w:p>
        </w:tc>
        <w:tc>
          <w:tcPr>
            <w:tcW w:type="dxa" w:w="68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Freq.</w:t>
            </w:r>
          </w:p>
        </w:tc>
        <w:tc>
          <w:tcPr>
            <w:tcW w:type="dxa" w:w="6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Status</w:t>
            </w:r>
          </w:p>
        </w:tc>
      </w:tr>
      <w:tr>
        <w:tc>
          <w:tcPr>
            <w:tcW w:type="dxa" w:w="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4"/>
                <w:szCs w:val="14"/>
              </w:rPr>
              <w:t xml:space="preserve">AUD-CL-01</w:t>
            </w:r>
          </w:p>
        </w:tc>
        <w:tc>
          <w:tcPr>
            <w:tcW w:type="dxa" w:w="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4"/>
                <w:szCs w:val="14"/>
              </w:rPr>
              <w:t xml:space="preserve">4.1 &amp; 4.2</w:t>
            </w:r>
          </w:p>
        </w:tc>
        <w:tc>
          <w:tcPr>
            <w:tcW w:type="dxa" w:w="1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4"/>
                <w:szCs w:val="14"/>
              </w:rPr>
              <w:t xml:space="preserve">Context and Interested Parties</w:t>
            </w:r>
          </w:p>
        </w:tc>
        <w:tc>
          <w:tcPr>
            <w:tcW w:type="dxa" w:w="2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Is the context register current? Are all relevant interested parties documented with their requirements?</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ISMS-CTX-001</w:t>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ISM (2h)</w:t>
            </w:r>
          </w:p>
        </w:tc>
        <w:tc>
          <w:tcPr>
            <w:tcW w:type="dxa" w:w="6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Annual</w:t>
            </w:r>
          </w:p>
        </w:tc>
        <w:tc>
          <w:tcPr>
            <w:tcW w:type="dxa" w:w="6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Scheduled</w:t>
            </w:r>
          </w:p>
        </w:tc>
      </w:tr>
      <w:tr>
        <w:tc>
          <w:tcPr>
            <w:tcW w:type="dxa" w:w="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4"/>
                <w:szCs w:val="14"/>
              </w:rPr>
              <w:t xml:space="preserve">AUD-CL-02</w:t>
            </w:r>
          </w:p>
        </w:tc>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4"/>
                <w:szCs w:val="14"/>
              </w:rPr>
              <w:t xml:space="preserve">4.3</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4"/>
                <w:szCs w:val="14"/>
              </w:rPr>
              <w:t xml:space="preserve">ISMS Scope</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Is the scope statement documented, available, and reflective of actual ISMS boundaries?</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ISMS-CTX-001 §5; ISMS-SCO-001</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ISM (1h)</w:t>
            </w:r>
          </w:p>
        </w:tc>
        <w:tc>
          <w:tcPr>
            <w:tcW w:type="dxa" w:w="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Annual</w:t>
            </w:r>
          </w:p>
        </w:tc>
        <w:tc>
          <w:tcPr>
            <w:tcW w:type="dxa" w:w="6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Scheduled</w:t>
            </w:r>
          </w:p>
        </w:tc>
      </w:tr>
      <w:tr>
        <w:tc>
          <w:tcPr>
            <w:tcW w:type="dxa" w:w="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4"/>
                <w:szCs w:val="14"/>
              </w:rPr>
              <w:t xml:space="preserve">AUD-CL-03</w:t>
            </w:r>
          </w:p>
        </w:tc>
        <w:tc>
          <w:tcPr>
            <w:tcW w:type="dxa" w:w="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4"/>
                <w:szCs w:val="14"/>
              </w:rPr>
              <w:t xml:space="preserve">4.4</w:t>
            </w:r>
          </w:p>
        </w:tc>
        <w:tc>
          <w:tcPr>
            <w:tcW w:type="dxa" w:w="1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4"/>
                <w:szCs w:val="14"/>
              </w:rPr>
              <w:t xml:space="preserve">ISMS Establishment</w:t>
            </w:r>
          </w:p>
        </w:tc>
        <w:tc>
          <w:tcPr>
            <w:tcW w:type="dxa" w:w="2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Does a documented process inventory exist? Are process interactions defined?</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ISMS-CTX-001 §6</w:t>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ISM (1h)</w:t>
            </w:r>
          </w:p>
        </w:tc>
        <w:tc>
          <w:tcPr>
            <w:tcW w:type="dxa" w:w="6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Annual</w:t>
            </w:r>
          </w:p>
        </w:tc>
        <w:tc>
          <w:tcPr>
            <w:tcW w:type="dxa" w:w="6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Scheduled</w:t>
            </w:r>
          </w:p>
        </w:tc>
      </w:tr>
      <w:tr>
        <w:tc>
          <w:tcPr>
            <w:tcW w:type="dxa" w:w="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4"/>
                <w:szCs w:val="14"/>
              </w:rPr>
              <w:t xml:space="preserve">AUD-CL-04</w:t>
            </w:r>
          </w:p>
        </w:tc>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4"/>
                <w:szCs w:val="14"/>
              </w:rPr>
              <w:t xml:space="preserve">5.1</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4"/>
                <w:szCs w:val="14"/>
              </w:rPr>
              <w:t xml:space="preserve">Leadership Commitment</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Is there evidence of top management demonstrating each of the 8 commitment requirements? Are management review records available?</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ISMS-LDR-001 §3; ISMS-MR-001</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MD interview; ISMS-MR records (2h)</w:t>
            </w:r>
          </w:p>
        </w:tc>
        <w:tc>
          <w:tcPr>
            <w:tcW w:type="dxa" w:w="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Annual</w:t>
            </w:r>
          </w:p>
        </w:tc>
        <w:tc>
          <w:tcPr>
            <w:tcW w:type="dxa" w:w="6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Scheduled</w:t>
            </w:r>
          </w:p>
        </w:tc>
      </w:tr>
      <w:tr>
        <w:tc>
          <w:tcPr>
            <w:tcW w:type="dxa" w:w="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4"/>
                <w:szCs w:val="14"/>
              </w:rPr>
              <w:t xml:space="preserve">AUD-CL-05</w:t>
            </w:r>
          </w:p>
        </w:tc>
        <w:tc>
          <w:tcPr>
            <w:tcW w:type="dxa" w:w="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4"/>
                <w:szCs w:val="14"/>
              </w:rPr>
              <w:t xml:space="preserve">5.2</w:t>
            </w:r>
          </w:p>
        </w:tc>
        <w:tc>
          <w:tcPr>
            <w:tcW w:type="dxa" w:w="1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4"/>
                <w:szCs w:val="14"/>
              </w:rPr>
              <w:t xml:space="preserve">Information Security Policy</w:t>
            </w:r>
          </w:p>
        </w:tc>
        <w:tc>
          <w:tcPr>
            <w:tcW w:type="dxa" w:w="2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Is the policy approved, documented, communicated, and available to interested parties? Does it meet content requirements (a)–(g)?</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ISMS-LDR-001 §4; ISMS-POL-001</w:t>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Staff sample; policy acknowledgement records (2h)</w:t>
            </w:r>
          </w:p>
        </w:tc>
        <w:tc>
          <w:tcPr>
            <w:tcW w:type="dxa" w:w="6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Annual</w:t>
            </w:r>
          </w:p>
        </w:tc>
        <w:tc>
          <w:tcPr>
            <w:tcW w:type="dxa" w:w="6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Scheduled</w:t>
            </w:r>
          </w:p>
        </w:tc>
      </w:tr>
      <w:tr>
        <w:tc>
          <w:tcPr>
            <w:tcW w:type="dxa" w:w="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4"/>
                <w:szCs w:val="14"/>
              </w:rPr>
              <w:t xml:space="preserve">AUD-CL-06</w:t>
            </w:r>
          </w:p>
        </w:tc>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4"/>
                <w:szCs w:val="14"/>
              </w:rPr>
              <w:t xml:space="preserve">5.3</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4"/>
                <w:szCs w:val="14"/>
              </w:rPr>
              <w:t xml:space="preserve">Roles &amp; Responsibilities</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Are ISMS roles defined, assigned, and communicated? Are Clause 5.3(a) and (b) assignments explicit?</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ISMS-LDR-001 §5; RACI matrix</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Role-holder interviews; HR records (2h)</w:t>
            </w:r>
          </w:p>
        </w:tc>
        <w:tc>
          <w:tcPr>
            <w:tcW w:type="dxa" w:w="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Annual</w:t>
            </w:r>
          </w:p>
        </w:tc>
        <w:tc>
          <w:tcPr>
            <w:tcW w:type="dxa" w:w="6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Scheduled</w:t>
            </w:r>
          </w:p>
        </w:tc>
      </w:tr>
      <w:tr>
        <w:tc>
          <w:tcPr>
            <w:tcW w:type="dxa" w:w="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4"/>
                <w:szCs w:val="14"/>
              </w:rPr>
              <w:t xml:space="preserve">AUD-CL-07</w:t>
            </w:r>
          </w:p>
        </w:tc>
        <w:tc>
          <w:tcPr>
            <w:tcW w:type="dxa" w:w="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4"/>
                <w:szCs w:val="14"/>
              </w:rPr>
              <w:t xml:space="preserve">6.1.1–6.1.3</w:t>
            </w:r>
          </w:p>
        </w:tc>
        <w:tc>
          <w:tcPr>
            <w:tcW w:type="dxa" w:w="1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4"/>
                <w:szCs w:val="14"/>
              </w:rPr>
              <w:t xml:space="preserve">Risk Assessment &amp; Treatment</w:t>
            </w:r>
          </w:p>
        </w:tc>
        <w:tc>
          <w:tcPr>
            <w:tcW w:type="dxa" w:w="2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Is the risk methodology documented? Has a risk assessment been performed? Is the treatment plan current and approved? Is the SoA present?</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ISMS-PLN-001; ISMS-SoA-001</w:t>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Risk register review; risk owner interviews (4h)</w:t>
            </w:r>
          </w:p>
        </w:tc>
        <w:tc>
          <w:tcPr>
            <w:tcW w:type="dxa" w:w="6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Annual</w:t>
            </w:r>
          </w:p>
        </w:tc>
        <w:tc>
          <w:tcPr>
            <w:tcW w:type="dxa" w:w="6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Scheduled</w:t>
            </w:r>
          </w:p>
        </w:tc>
      </w:tr>
      <w:tr>
        <w:tc>
          <w:tcPr>
            <w:tcW w:type="dxa" w:w="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4"/>
                <w:szCs w:val="14"/>
              </w:rPr>
              <w:t xml:space="preserve">AUD-CL-08</w:t>
            </w:r>
          </w:p>
        </w:tc>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4"/>
                <w:szCs w:val="14"/>
              </w:rPr>
              <w:t xml:space="preserve">6.2</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4"/>
                <w:szCs w:val="14"/>
              </w:rPr>
              <w:t xml:space="preserve">Security Objectives</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Are objectives documented, measurable, and monitored? Does planning address what/who/when/resources/evaluation?</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ISMS-PLN-001 §5; ISMS-OBJ-001</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Objective tracker review; interviews (2h)</w:t>
            </w:r>
          </w:p>
        </w:tc>
        <w:tc>
          <w:tcPr>
            <w:tcW w:type="dxa" w:w="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Annual</w:t>
            </w:r>
          </w:p>
        </w:tc>
        <w:tc>
          <w:tcPr>
            <w:tcW w:type="dxa" w:w="6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Scheduled</w:t>
            </w:r>
          </w:p>
        </w:tc>
      </w:tr>
      <w:tr>
        <w:tc>
          <w:tcPr>
            <w:tcW w:type="dxa" w:w="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4"/>
                <w:szCs w:val="14"/>
              </w:rPr>
              <w:t xml:space="preserve">AUD-CL-09</w:t>
            </w:r>
          </w:p>
        </w:tc>
        <w:tc>
          <w:tcPr>
            <w:tcW w:type="dxa" w:w="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4"/>
                <w:szCs w:val="14"/>
              </w:rPr>
              <w:t xml:space="preserve">6.3</w:t>
            </w:r>
          </w:p>
        </w:tc>
        <w:tc>
          <w:tcPr>
            <w:tcW w:type="dxa" w:w="1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4"/>
                <w:szCs w:val="14"/>
              </w:rPr>
              <w:t xml:space="preserve">Change Planning</w:t>
            </w:r>
          </w:p>
        </w:tc>
        <w:tc>
          <w:tcPr>
            <w:tcW w:type="dxa" w:w="2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Is there a change management procedure? Is a change log maintained?</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ISMS-PLN-001 §6; ISMS-OPS-001 §3.3</w:t>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Change log review; interviews (1h)</w:t>
            </w:r>
          </w:p>
        </w:tc>
        <w:tc>
          <w:tcPr>
            <w:tcW w:type="dxa" w:w="6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Annual</w:t>
            </w:r>
          </w:p>
        </w:tc>
        <w:tc>
          <w:tcPr>
            <w:tcW w:type="dxa" w:w="6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Scheduled</w:t>
            </w:r>
          </w:p>
        </w:tc>
      </w:tr>
      <w:tr>
        <w:tc>
          <w:tcPr>
            <w:tcW w:type="dxa" w:w="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4"/>
                <w:szCs w:val="14"/>
              </w:rPr>
              <w:t xml:space="preserve">AUD-CL-10</w:t>
            </w:r>
          </w:p>
        </w:tc>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4"/>
                <w:szCs w:val="14"/>
              </w:rPr>
              <w:t xml:space="preserve">7.1</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4"/>
                <w:szCs w:val="14"/>
              </w:rPr>
              <w:t xml:space="preserve">Resources</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Is resource provision documented and reviewed? Are all required roles filled and budgeted?</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ISMS-SPT-001 §2</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Budget records; resource register review (1h)</w:t>
            </w:r>
          </w:p>
        </w:tc>
        <w:tc>
          <w:tcPr>
            <w:tcW w:type="dxa" w:w="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Annual</w:t>
            </w:r>
          </w:p>
        </w:tc>
        <w:tc>
          <w:tcPr>
            <w:tcW w:type="dxa" w:w="6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Scheduled</w:t>
            </w:r>
          </w:p>
        </w:tc>
      </w:tr>
      <w:tr>
        <w:tc>
          <w:tcPr>
            <w:tcW w:type="dxa" w:w="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4"/>
                <w:szCs w:val="14"/>
              </w:rPr>
              <w:t xml:space="preserve">AUD-CL-11</w:t>
            </w:r>
          </w:p>
        </w:tc>
        <w:tc>
          <w:tcPr>
            <w:tcW w:type="dxa" w:w="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4"/>
                <w:szCs w:val="14"/>
              </w:rPr>
              <w:t xml:space="preserve">7.2</w:t>
            </w:r>
          </w:p>
        </w:tc>
        <w:tc>
          <w:tcPr>
            <w:tcW w:type="dxa" w:w="1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4"/>
                <w:szCs w:val="14"/>
              </w:rPr>
              <w:t xml:space="preserve">Competence</w:t>
            </w:r>
          </w:p>
        </w:tc>
        <w:tc>
          <w:tcPr>
            <w:tcW w:type="dxa" w:w="2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Is a competency framework defined? Are training records retained for all personnel? Have gap actions been taken and evaluated?</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ISMS-SPT-001 §3; ISMS-TRN-REC</w:t>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Training record sample; certificate verification (3h)</w:t>
            </w:r>
          </w:p>
        </w:tc>
        <w:tc>
          <w:tcPr>
            <w:tcW w:type="dxa" w:w="6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Annual</w:t>
            </w:r>
          </w:p>
        </w:tc>
        <w:tc>
          <w:tcPr>
            <w:tcW w:type="dxa" w:w="6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Scheduled</w:t>
            </w:r>
          </w:p>
        </w:tc>
      </w:tr>
      <w:tr>
        <w:tc>
          <w:tcPr>
            <w:tcW w:type="dxa" w:w="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4"/>
                <w:szCs w:val="14"/>
              </w:rPr>
              <w:t xml:space="preserve">AUD-CL-12</w:t>
            </w:r>
          </w:p>
        </w:tc>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4"/>
                <w:szCs w:val="14"/>
              </w:rPr>
              <w:t xml:space="preserve">7.3</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4"/>
                <w:szCs w:val="14"/>
              </w:rPr>
              <w:t xml:space="preserve">Awareness</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Are all staff aware of the policy, their contribution, and non-conformance implications? Is awareness programme evidence available?</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ISMS-SPT-001 §4; ISMS-TRN-REC</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Staff interview sample; LMS records (2h)</w:t>
            </w:r>
          </w:p>
        </w:tc>
        <w:tc>
          <w:tcPr>
            <w:tcW w:type="dxa" w:w="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Annual</w:t>
            </w:r>
          </w:p>
        </w:tc>
        <w:tc>
          <w:tcPr>
            <w:tcW w:type="dxa" w:w="6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Scheduled</w:t>
            </w:r>
          </w:p>
        </w:tc>
      </w:tr>
      <w:tr>
        <w:tc>
          <w:tcPr>
            <w:tcW w:type="dxa" w:w="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4"/>
                <w:szCs w:val="14"/>
              </w:rPr>
              <w:t xml:space="preserve">AUD-CL-13</w:t>
            </w:r>
          </w:p>
        </w:tc>
        <w:tc>
          <w:tcPr>
            <w:tcW w:type="dxa" w:w="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4"/>
                <w:szCs w:val="14"/>
              </w:rPr>
              <w:t xml:space="preserve">7.4</w:t>
            </w:r>
          </w:p>
        </w:tc>
        <w:tc>
          <w:tcPr>
            <w:tcW w:type="dxa" w:w="1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4"/>
                <w:szCs w:val="14"/>
              </w:rPr>
              <w:t xml:space="preserve">Communication</w:t>
            </w:r>
          </w:p>
        </w:tc>
        <w:tc>
          <w:tcPr>
            <w:tcW w:type="dxa" w:w="2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Is a communication plan documented? Is evidence of communications available?</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ISMS-SPT-001 §5; communication log</w:t>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Communication log review (1h)</w:t>
            </w:r>
          </w:p>
        </w:tc>
        <w:tc>
          <w:tcPr>
            <w:tcW w:type="dxa" w:w="6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Annual</w:t>
            </w:r>
          </w:p>
        </w:tc>
        <w:tc>
          <w:tcPr>
            <w:tcW w:type="dxa" w:w="6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Scheduled</w:t>
            </w:r>
          </w:p>
        </w:tc>
      </w:tr>
      <w:tr>
        <w:tc>
          <w:tcPr>
            <w:tcW w:type="dxa" w:w="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4"/>
                <w:szCs w:val="14"/>
              </w:rPr>
              <w:t xml:space="preserve">AUD-CL-14</w:t>
            </w:r>
          </w:p>
        </w:tc>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4"/>
                <w:szCs w:val="14"/>
              </w:rPr>
              <w:t xml:space="preserve">7.5</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4"/>
                <w:szCs w:val="14"/>
              </w:rPr>
              <w:t xml:space="preserve">Documented Information</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Is documented information controlled per 7.5.2 and 7.5.3? Is the document register current?</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ISMS-SPT-001 §6; ISMS-DIC-001</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Document register review; version control check; access control sample (3h)</w:t>
            </w:r>
          </w:p>
        </w:tc>
        <w:tc>
          <w:tcPr>
            <w:tcW w:type="dxa" w:w="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Annual</w:t>
            </w:r>
          </w:p>
        </w:tc>
        <w:tc>
          <w:tcPr>
            <w:tcW w:type="dxa" w:w="6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Scheduled</w:t>
            </w:r>
          </w:p>
        </w:tc>
      </w:tr>
      <w:tr>
        <w:tc>
          <w:tcPr>
            <w:tcW w:type="dxa" w:w="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4"/>
                <w:szCs w:val="14"/>
              </w:rPr>
              <w:t xml:space="preserve">AUD-CL-15</w:t>
            </w:r>
          </w:p>
        </w:tc>
        <w:tc>
          <w:tcPr>
            <w:tcW w:type="dxa" w:w="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4"/>
                <w:szCs w:val="14"/>
              </w:rPr>
              <w:t xml:space="preserve">8.1</w:t>
            </w:r>
          </w:p>
        </w:tc>
        <w:tc>
          <w:tcPr>
            <w:tcW w:type="dxa" w:w="1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4"/>
                <w:szCs w:val="14"/>
              </w:rPr>
              <w:t xml:space="preserve">Operational Control</w:t>
            </w:r>
          </w:p>
        </w:tc>
        <w:tc>
          <w:tcPr>
            <w:tcW w:type="dxa" w:w="2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Do operational processes have defined criteria? Is evidence of planned execution available? Is the change log maintained?</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ISMS-OPS-001 §3.1/3.3</w:t>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Process evidence sample; change log review (4h)</w:t>
            </w:r>
          </w:p>
        </w:tc>
        <w:tc>
          <w:tcPr>
            <w:tcW w:type="dxa" w:w="6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Annual</w:t>
            </w:r>
          </w:p>
        </w:tc>
        <w:tc>
          <w:tcPr>
            <w:tcW w:type="dxa" w:w="6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Scheduled</w:t>
            </w:r>
          </w:p>
        </w:tc>
      </w:tr>
      <w:tr>
        <w:tc>
          <w:tcPr>
            <w:tcW w:type="dxa" w:w="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4"/>
                <w:szCs w:val="14"/>
              </w:rPr>
              <w:t xml:space="preserve">AUD-CL-16</w:t>
            </w:r>
          </w:p>
        </w:tc>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4"/>
                <w:szCs w:val="14"/>
              </w:rPr>
              <w:t xml:space="preserve">8.2</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4"/>
                <w:szCs w:val="14"/>
              </w:rPr>
              <w:t xml:space="preserve">Risk Assessment Execution</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Has a risk assessment been performed at planned intervals or on trigger? Are results documented?</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ISMS-OPS-001 §4; RA execution log</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RA execution log; results documents (1h)</w:t>
            </w:r>
          </w:p>
        </w:tc>
        <w:tc>
          <w:tcPr>
            <w:tcW w:type="dxa" w:w="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Annual</w:t>
            </w:r>
          </w:p>
        </w:tc>
        <w:tc>
          <w:tcPr>
            <w:tcW w:type="dxa" w:w="6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Scheduled</w:t>
            </w:r>
          </w:p>
        </w:tc>
      </w:tr>
      <w:tr>
        <w:tc>
          <w:tcPr>
            <w:tcW w:type="dxa" w:w="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4"/>
                <w:szCs w:val="14"/>
              </w:rPr>
              <w:t xml:space="preserve">AUD-CL-17</w:t>
            </w:r>
          </w:p>
        </w:tc>
        <w:tc>
          <w:tcPr>
            <w:tcW w:type="dxa" w:w="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4"/>
                <w:szCs w:val="14"/>
              </w:rPr>
              <w:t xml:space="preserve">8.3</w:t>
            </w:r>
          </w:p>
        </w:tc>
        <w:tc>
          <w:tcPr>
            <w:tcW w:type="dxa" w:w="1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4"/>
                <w:szCs w:val="14"/>
              </w:rPr>
              <w:t xml:space="preserve">Risk Treatment Implementation</w:t>
            </w:r>
          </w:p>
        </w:tc>
        <w:tc>
          <w:tcPr>
            <w:tcW w:type="dxa" w:w="2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Is the treatment plan being implemented? Is implementation evidence available and retained?</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ISMS-OPS-001 §5; control tracker</w:t>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Control implementation tracker; evidence spot-check (3h)</w:t>
            </w:r>
          </w:p>
        </w:tc>
        <w:tc>
          <w:tcPr>
            <w:tcW w:type="dxa" w:w="6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Annual</w:t>
            </w:r>
          </w:p>
        </w:tc>
        <w:tc>
          <w:tcPr>
            <w:tcW w:type="dxa" w:w="6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Scheduled</w:t>
            </w:r>
          </w:p>
        </w:tc>
      </w:tr>
      <w:tr>
        <w:tc>
          <w:tcPr>
            <w:tcW w:type="dxa" w:w="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4"/>
                <w:szCs w:val="14"/>
              </w:rPr>
              <w:t xml:space="preserve">AUD-CL-18</w:t>
            </w:r>
          </w:p>
        </w:tc>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4"/>
                <w:szCs w:val="14"/>
              </w:rPr>
              <w:t xml:space="preserve">9.1</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4"/>
                <w:szCs w:val="14"/>
              </w:rPr>
              <w:t xml:space="preserve">Monitoring &amp; Measurement</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Is a KPI framework documented? Is there evidence of monitoring being performed and results analysed?</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ISMS-PEV-001 §3; KPI reports</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KPI report sample; analysis evidence (2h)</w:t>
            </w:r>
          </w:p>
        </w:tc>
        <w:tc>
          <w:tcPr>
            <w:tcW w:type="dxa" w:w="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Annual</w:t>
            </w:r>
          </w:p>
        </w:tc>
        <w:tc>
          <w:tcPr>
            <w:tcW w:type="dxa" w:w="6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Scheduled</w:t>
            </w:r>
          </w:p>
        </w:tc>
      </w:tr>
      <w:tr>
        <w:tc>
          <w:tcPr>
            <w:tcW w:type="dxa" w:w="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4"/>
                <w:szCs w:val="14"/>
              </w:rPr>
              <w:t xml:space="preserve">AUD-CL-19</w:t>
            </w:r>
          </w:p>
        </w:tc>
        <w:tc>
          <w:tcPr>
            <w:tcW w:type="dxa" w:w="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4"/>
                <w:szCs w:val="14"/>
              </w:rPr>
              <w:t xml:space="preserve">9.2</w:t>
            </w:r>
          </w:p>
        </w:tc>
        <w:tc>
          <w:tcPr>
            <w:tcW w:type="dxa" w:w="1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4"/>
                <w:szCs w:val="14"/>
              </w:rPr>
              <w:t xml:space="preserve">Internal Audit</w:t>
            </w:r>
          </w:p>
        </w:tc>
        <w:tc>
          <w:tcPr>
            <w:tcW w:type="dxa" w:w="2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Is there an audit programme? Were prior audits conducted per the programme? Are findings documented and actioned?</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ISMS-PEV-001 §4; ISMS-IAP-001</w:t>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Prior audit reports; CA closure records (2h)</w:t>
            </w:r>
          </w:p>
        </w:tc>
        <w:tc>
          <w:tcPr>
            <w:tcW w:type="dxa" w:w="6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Annual</w:t>
            </w:r>
          </w:p>
        </w:tc>
        <w:tc>
          <w:tcPr>
            <w:tcW w:type="dxa" w:w="6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Scheduled</w:t>
            </w:r>
          </w:p>
        </w:tc>
      </w:tr>
      <w:tr>
        <w:tc>
          <w:tcPr>
            <w:tcW w:type="dxa" w:w="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4"/>
                <w:szCs w:val="14"/>
              </w:rPr>
              <w:t xml:space="preserve">AUD-CL-20</w:t>
            </w:r>
          </w:p>
        </w:tc>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4"/>
                <w:szCs w:val="14"/>
              </w:rPr>
              <w:t xml:space="preserve">9.3</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4"/>
                <w:szCs w:val="14"/>
              </w:rPr>
              <w:t xml:space="preserve">Management Review</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Was a management review conducted? Were all mandatory inputs addressed? Are outputs documented with action owners?</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ISMS-PEV-001 §5; ISMS-MR-001</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MR minutes; action tracker review (2h)</w:t>
            </w:r>
          </w:p>
        </w:tc>
        <w:tc>
          <w:tcPr>
            <w:tcW w:type="dxa" w:w="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Annual</w:t>
            </w:r>
          </w:p>
        </w:tc>
        <w:tc>
          <w:tcPr>
            <w:tcW w:type="dxa" w:w="6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Scheduled</w:t>
            </w:r>
          </w:p>
        </w:tc>
      </w:tr>
      <w:tr>
        <w:tc>
          <w:tcPr>
            <w:tcW w:type="dxa" w:w="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4"/>
                <w:szCs w:val="14"/>
              </w:rPr>
              <w:t xml:space="preserve">AUD-CL-21</w:t>
            </w:r>
          </w:p>
        </w:tc>
        <w:tc>
          <w:tcPr>
            <w:tcW w:type="dxa" w:w="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4"/>
                <w:szCs w:val="14"/>
              </w:rPr>
              <w:t xml:space="preserve">10.1 &amp; 10.2</w:t>
            </w:r>
          </w:p>
        </w:tc>
        <w:tc>
          <w:tcPr>
            <w:tcW w:type="dxa" w:w="1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4"/>
                <w:szCs w:val="14"/>
              </w:rPr>
              <w:t xml:space="preserve">Continual Improvement &amp; Corrective Action</w:t>
            </w:r>
          </w:p>
        </w:tc>
        <w:tc>
          <w:tcPr>
            <w:tcW w:type="dxa" w:w="2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Is there evidence of improvement actions? Are nonconformities recorded, root-caused, corrected, and effectiveness-evaluated?</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ISMS-CAR-001; ISMS-CI-001</w:t>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CA tracker review; effectiveness evaluation records (2h)</w:t>
            </w:r>
          </w:p>
        </w:tc>
        <w:tc>
          <w:tcPr>
            <w:tcW w:type="dxa" w:w="6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Annual</w:t>
            </w:r>
          </w:p>
        </w:tc>
        <w:tc>
          <w:tcPr>
            <w:tcW w:type="dxa" w:w="6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Scheduled</w:t>
            </w:r>
          </w:p>
        </w:tc>
      </w:tr>
    </w:tbl>
    <w:p>
      <w:pPr>
        <w:spacing w:after="120" w:before="120"/>
      </w:pPr>
    </w:p>
    <w:p>
      <w:pPr>
        <w:pStyle w:val="Heading2"/>
        <w:spacing w:after="80" w:before="240"/>
      </w:pPr>
      <w:r>
        <w:rPr>
          <w:rFonts w:ascii="Arial" w:cs="Arial" w:eastAsia="Arial" w:hAnsi="Arial"/>
          <w:b/>
          <w:bCs/>
          <w:color w:val="2E75B6"/>
          <w:sz w:val="26"/>
          <w:szCs w:val="26"/>
        </w:rPr>
        <w:t xml:space="preserve">4.4 Audit Scope — Annex A Control Coverage</w:t>
      </w:r>
    </w:p>
    <w:p>
      <w:pPr>
        <w:spacing w:after="80" w:before="80"/>
        <w:jc w:val="left"/>
      </w:pPr>
      <w:r>
        <w:rPr>
          <w:rFonts w:ascii="Arial" w:cs="Arial" w:eastAsia="Arial" w:hAnsi="Arial"/>
          <w:b w:val="false"/>
          <w:bCs w:val="false"/>
          <w:color w:val="000000"/>
          <w:sz w:val="20"/>
          <w:szCs w:val="20"/>
        </w:rPr>
        <w:t xml:space="preserve">All four Annex A control themes are audited within each 12-month cycle, applying a risk-based prioritisation informed by the risk register (ISMS-PLN-001). Higher-risk control areas receive deeper audit attention:</w:t>
      </w:r>
    </w:p>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2260"/>
        <w:gridCol w:w="2400"/>
        <w:gridCol w:w="1400"/>
        <w:gridCol w:w="1000"/>
      </w:tblGrid>
      <w:tr>
        <w:trPr>
          <w:tblHeader/>
        </w:trPr>
        <w:tc>
          <w:tcPr>
            <w:tcW w:type="dxa" w:w="1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Theme</w:t>
            </w:r>
          </w:p>
        </w:tc>
        <w:tc>
          <w:tcPr>
            <w:tcW w:type="dxa" w:w="1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Controls</w:t>
            </w:r>
          </w:p>
        </w:tc>
        <w:tc>
          <w:tcPr>
            <w:tcW w:type="dxa" w:w="22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Audit Focus Areas</w:t>
            </w:r>
          </w:p>
        </w:tc>
        <w:tc>
          <w:tcPr>
            <w:tcW w:type="dxa" w:w="2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Audit Method</w:t>
            </w:r>
          </w:p>
        </w:tc>
        <w:tc>
          <w:tcPr>
            <w:tcW w:type="dxa" w:w="1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Timing</w:t>
            </w:r>
          </w:p>
        </w:tc>
        <w:tc>
          <w:tcPr>
            <w:tcW w:type="dxa" w:w="1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Status</w:t>
            </w:r>
          </w:p>
        </w:tc>
      </w:tr>
      <w:tr>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5 — Organisational</w:t>
            </w:r>
          </w:p>
        </w:tc>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A.5.1–A.5.37 (37 controls)</w:t>
            </w:r>
          </w:p>
        </w:tc>
        <w:tc>
          <w:tcPr>
            <w:tcW w:type="dxa" w:w="2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Policies, roles, threat intelligence, supplier relations, incident management, BCP, IS in project management, IP rights, privacy.</w:t>
            </w:r>
          </w:p>
        </w:tc>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Documentation review; interviews; process walkthroughs.</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Annual; split across Q1–Q2</w:t>
            </w:r>
          </w:p>
        </w:tc>
        <w:tc>
          <w:tcPr>
            <w:tcW w:type="dxa" w:w="10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Scheduled</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6 — People</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A.6.1–A.6.8 (8 controls)</w:t>
            </w:r>
          </w:p>
        </w:tc>
        <w:tc>
          <w:tcPr>
            <w:tcW w:type="dxa" w:w="22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Screening, employment terms, awareness, disciplinary, offboarding, remote working, monitoring.</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HR records sample; onboarding/offboarding evidence; remote working policy review.</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Annual; Q1</w:t>
            </w:r>
          </w:p>
        </w:tc>
        <w:tc>
          <w:tcPr>
            <w:tcW w:type="dxa" w:w="10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Scheduled</w:t>
            </w:r>
          </w:p>
        </w:tc>
      </w:tr>
      <w:tr>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7 — Physical</w:t>
            </w:r>
          </w:p>
        </w:tc>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A.7.1–A.7.14 (14 controls)</w:t>
            </w:r>
          </w:p>
        </w:tc>
        <w:tc>
          <w:tcPr>
            <w:tcW w:type="dxa" w:w="2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Physical security perimeter (scoped to remote/client-site), clean desk, screen lock, equipment disposal, cabling, maintenance.</w:t>
            </w:r>
          </w:p>
        </w:tc>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Observation (remote working spot-check); device disposal records; BitLocker/FileVault evidence.</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Annual; Q2</w:t>
            </w:r>
          </w:p>
        </w:tc>
        <w:tc>
          <w:tcPr>
            <w:tcW w:type="dxa" w:w="10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Scheduled</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8 — Technological</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A.8.1–A.8.34 (34 controls)</w:t>
            </w:r>
          </w:p>
        </w:tc>
        <w:tc>
          <w:tcPr>
            <w:tcW w:type="dxa" w:w="22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User endpoint devices, privileged access, access control, malware protection, backup, logging, vulnerability management, network security, SDLC security, cloud security, cryptography, SIEM.</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Technical evidence review; configuration audit; log sample; Defender/Intune/Sentinel dashboard review.</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Annual; Q2–Q3</w:t>
            </w:r>
          </w:p>
        </w:tc>
        <w:tc>
          <w:tcPr>
            <w:tcW w:type="dxa" w:w="10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Scheduled</w:t>
            </w:r>
          </w:p>
        </w:tc>
      </w:tr>
    </w:tbl>
    <w:p>
      <w:pPr>
        <w:spacing w:after="120" w:before="120"/>
      </w:pPr>
    </w:p>
    <w:p>
      <w:pPr>
        <w:pStyle w:val="Heading2"/>
        <w:spacing w:after="80" w:before="240"/>
      </w:pPr>
      <w:r>
        <w:rPr>
          <w:rFonts w:ascii="Arial" w:cs="Arial" w:eastAsia="Arial" w:hAnsi="Arial"/>
          <w:b/>
          <w:bCs/>
          <w:color w:val="2E75B6"/>
          <w:sz w:val="26"/>
          <w:szCs w:val="26"/>
        </w:rPr>
        <w:t xml:space="preserve">4.5 Audit Execution Procedure</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1400"/>
        <w:gridCol w:w="2560"/>
        <w:gridCol w:w="1300"/>
        <w:gridCol w:w="1000"/>
        <w:gridCol w:w="1000"/>
      </w:tblGrid>
      <w:tr>
        <w:trPr>
          <w:tblHeader/>
        </w:trPr>
        <w:tc>
          <w:tcPr>
            <w:tcW w:type="dxa" w:w="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Step</w:t>
            </w:r>
          </w:p>
        </w:tc>
        <w:tc>
          <w:tcPr>
            <w:tcW w:type="dxa" w:w="16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Activity</w:t>
            </w:r>
          </w:p>
        </w:tc>
        <w:tc>
          <w:tcPr>
            <w:tcW w:type="dxa" w:w="1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Responsible</w:t>
            </w:r>
          </w:p>
        </w:tc>
        <w:tc>
          <w:tcPr>
            <w:tcW w:type="dxa" w:w="25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Detail</w:t>
            </w:r>
          </w:p>
        </w:tc>
        <w:tc>
          <w:tcPr>
            <w:tcW w:type="dxa" w:w="13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Output</w:t>
            </w:r>
          </w:p>
        </w:tc>
        <w:tc>
          <w:tcPr>
            <w:tcW w:type="dxa" w:w="1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Timing</w:t>
            </w:r>
          </w:p>
        </w:tc>
        <w:tc>
          <w:tcPr>
            <w:tcW w:type="dxa" w:w="1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Status</w:t>
            </w:r>
          </w:p>
        </w:tc>
      </w:tr>
      <w:tr>
        <w:tc>
          <w:tcPr>
            <w:tcW w:type="dxa" w:w="4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1</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Audit Planning</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ISM / Audit Programme Owner</w:t>
            </w:r>
          </w:p>
        </w:tc>
        <w:tc>
          <w:tcPr>
            <w:tcW w:type="dxa" w:w="25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Confirm audit programme scope and schedule; assign auditors; confirm independence; issue audit plan to auditees with minimum 2-weeks notice; confirm evidence availability.</w:t>
            </w:r>
          </w:p>
        </w:tc>
        <w:tc>
          <w:tcPr>
            <w:tcW w:type="dxa" w:w="13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Audit plan document; auditor independence declaration</w:t>
            </w:r>
          </w:p>
        </w:tc>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2 weeks before audit</w:t>
            </w:r>
          </w:p>
        </w:tc>
        <w:tc>
          <w:tcPr>
            <w:tcW w:type="dxa" w:w="10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Planned</w:t>
            </w:r>
          </w:p>
        </w:tc>
      </w:tr>
      <w:tr>
        <w:tc>
          <w:tcPr>
            <w:tcW w:type="dxa" w:w="4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2</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Document Review (Stage 1)</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Auditor</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Review ISMS documented information for completeness and compliance with ISO 27001:2022 requirements before conducting fieldwork. Identify documentation gaps as preliminary findings.</w:t>
            </w:r>
          </w:p>
        </w:tc>
        <w:tc>
          <w:tcPr>
            <w:tcW w:type="dxa" w:w="1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ISMS document register; all relevant ISMS documents</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1–2 weeks prior to fieldwork</w:t>
            </w:r>
          </w:p>
        </w:tc>
        <w:tc>
          <w:tcPr>
            <w:tcW w:type="dxa" w:w="10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Planned</w:t>
            </w:r>
          </w:p>
        </w:tc>
      </w:tr>
      <w:tr>
        <w:tc>
          <w:tcPr>
            <w:tcW w:type="dxa" w:w="4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3</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Fieldwork / Evidence Gathering</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Auditor</w:t>
            </w:r>
          </w:p>
        </w:tc>
        <w:tc>
          <w:tcPr>
            <w:tcW w:type="dxa" w:w="25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Conduct audit activities: interviews with role-holders; observation of processes; technical evidence review (platform configurations, reports, logs); sampling of records. Use audit checklist aligned to clause coverage matrix (§4.3).</w:t>
            </w:r>
          </w:p>
        </w:tc>
        <w:tc>
          <w:tcPr>
            <w:tcW w:type="dxa" w:w="13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Audit checklist; evidence samples; interview notes</w:t>
            </w:r>
          </w:p>
        </w:tc>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1–2 day fieldwork window</w:t>
            </w:r>
          </w:p>
        </w:tc>
        <w:tc>
          <w:tcPr>
            <w:tcW w:type="dxa" w:w="10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Planned</w:t>
            </w:r>
          </w:p>
        </w:tc>
      </w:tr>
      <w:tr>
        <w:tc>
          <w:tcPr>
            <w:tcW w:type="dxa" w:w="4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4</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Finding Classification</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Auditor</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Classify all findings using the standard classification (§4.6): Major NC; Minor NC; Observation; Conforming. Discuss preliminary findings with auditees for factual accuracy (not to negotiate findings).</w:t>
            </w:r>
          </w:p>
        </w:tc>
        <w:tc>
          <w:tcPr>
            <w:tcW w:type="dxa" w:w="1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Finding log; classification criteria (§4.6)</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During / immediately after fieldwork</w:t>
            </w:r>
          </w:p>
        </w:tc>
        <w:tc>
          <w:tcPr>
            <w:tcW w:type="dxa" w:w="10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Planned</w:t>
            </w:r>
          </w:p>
        </w:tc>
      </w:tr>
      <w:tr>
        <w:tc>
          <w:tcPr>
            <w:tcW w:type="dxa" w:w="4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5</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Audit Report</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Auditor</w:t>
            </w:r>
          </w:p>
        </w:tc>
        <w:tc>
          <w:tcPr>
            <w:tcW w:type="dxa" w:w="25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Produce written audit report within 10 working days of fieldwork completion. Report includes: executive summary; audit scope and criteria; summary of findings by clause; individual finding details; recommendation for corrective action.</w:t>
            </w:r>
          </w:p>
        </w:tc>
        <w:tc>
          <w:tcPr>
            <w:tcW w:type="dxa" w:w="13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Audit report template (ISMS-IAP-001 Annex)</w:t>
            </w:r>
          </w:p>
        </w:tc>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Within 10 working days of fieldwork</w:t>
            </w:r>
          </w:p>
        </w:tc>
        <w:tc>
          <w:tcPr>
            <w:tcW w:type="dxa" w:w="10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Planned</w:t>
            </w:r>
          </w:p>
        </w:tc>
      </w:tr>
      <w:tr>
        <w:tc>
          <w:tcPr>
            <w:tcW w:type="dxa" w:w="4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6</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Report Distribution</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ISM</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Distribute audit report to: Managing Director; auditees (for factual review — 5 working days); corrective action owners (for action planning). Report classified INTERNAL.</w:t>
            </w:r>
          </w:p>
        </w:tc>
        <w:tc>
          <w:tcPr>
            <w:tcW w:type="dxa" w:w="1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Distribution record; audit report</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Within 12 working days of fieldwork</w:t>
            </w:r>
          </w:p>
        </w:tc>
        <w:tc>
          <w:tcPr>
            <w:tcW w:type="dxa" w:w="10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Planned</w:t>
            </w:r>
          </w:p>
        </w:tc>
      </w:tr>
      <w:tr>
        <w:tc>
          <w:tcPr>
            <w:tcW w:type="dxa" w:w="4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7</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Corrective Action</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ISM / Process Owners</w:t>
            </w:r>
          </w:p>
        </w:tc>
        <w:tc>
          <w:tcPr>
            <w:tcW w:type="dxa" w:w="25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Raise nonconformities as corrective actions in ISMS-CAR-001. Assign owners and target dates. Major NCs require action plan within 30 days; Minor NCs within 60 days.</w:t>
            </w:r>
          </w:p>
        </w:tc>
        <w:tc>
          <w:tcPr>
            <w:tcW w:type="dxa" w:w="13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ISMS-CAR-001 entries; corrective action plans</w:t>
            </w:r>
          </w:p>
        </w:tc>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Within 5 working days of report distribution</w:t>
            </w:r>
          </w:p>
        </w:tc>
        <w:tc>
          <w:tcPr>
            <w:tcW w:type="dxa" w:w="10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Planned</w:t>
            </w:r>
          </w:p>
        </w:tc>
      </w:tr>
      <w:tr>
        <w:tc>
          <w:tcPr>
            <w:tcW w:type="dxa" w:w="4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8</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Effectiveness Verification</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Auditor / ISM</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Verify that corrective actions have been implemented and are effective. Major NC effectiveness verification required before/at next surveillance. Minor NCs verified at next internal audit cycle or by ISM spot-check.</w:t>
            </w:r>
          </w:p>
        </w:tc>
        <w:tc>
          <w:tcPr>
            <w:tcW w:type="dxa" w:w="1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Effectiveness evaluation record in ISMS-CAR-001</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Per corrective action target date + 30 days</w:t>
            </w:r>
          </w:p>
        </w:tc>
        <w:tc>
          <w:tcPr>
            <w:tcW w:type="dxa" w:w="10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Planned</w:t>
            </w:r>
          </w:p>
        </w:tc>
      </w:tr>
    </w:tbl>
    <w:p>
      <w:pPr>
        <w:spacing w:after="120" w:before="120"/>
      </w:pPr>
    </w:p>
    <w:p>
      <w:pPr>
        <w:pStyle w:val="Heading2"/>
        <w:spacing w:after="80" w:before="240"/>
      </w:pPr>
      <w:r>
        <w:rPr>
          <w:rFonts w:ascii="Arial" w:cs="Arial" w:eastAsia="Arial" w:hAnsi="Arial"/>
          <w:b/>
          <w:bCs/>
          <w:color w:val="2E75B6"/>
          <w:sz w:val="26"/>
          <w:szCs w:val="26"/>
        </w:rPr>
        <w:t xml:space="preserve">4.6 Audit Findings Classification</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400"/>
        <w:gridCol w:w="3660"/>
        <w:gridCol w:w="2400"/>
        <w:gridCol w:w="1800"/>
      </w:tblGrid>
      <w:tr>
        <w:trPr>
          <w:tblHeader/>
        </w:trPr>
        <w:tc>
          <w:tcPr>
            <w:tcW w:type="dxa" w:w="1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Classification</w:t>
            </w:r>
          </w:p>
        </w:tc>
        <w:tc>
          <w:tcPr>
            <w:tcW w:type="dxa" w:w="36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Definition</w:t>
            </w:r>
          </w:p>
        </w:tc>
        <w:tc>
          <w:tcPr>
            <w:tcW w:type="dxa" w:w="2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Required Response</w:t>
            </w:r>
          </w:p>
        </w:tc>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Escalation</w:t>
            </w:r>
          </w:p>
        </w:tc>
      </w:tr>
      <w:tr>
        <w:tc>
          <w:tcPr>
            <w:tcW w:type="dxa" w:w="140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Major NC</w:t>
            </w:r>
          </w:p>
        </w:tc>
        <w:tc>
          <w:tcPr>
            <w:tcW w:type="dxa" w:w="3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A nonconformity that: (a) is a complete absence of, or total failure to implement, a required process or control; (b) creates significant doubt about the ability of the ISMS to achieve its intended outcomes; or (c) is a critical regulatory or legal compliance failure.</w:t>
            </w:r>
          </w:p>
        </w:tc>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Corrective action plan within 30 days; root cause analysis; effectiveness verification before or at next CB surveillance. May affect certification status.</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Immediate notification to MD; reported to certification body at next contact.</w:t>
            </w:r>
          </w:p>
        </w:tc>
      </w:tr>
      <w:tr>
        <w:tc>
          <w:tcPr>
            <w:tcW w:type="dxa" w:w="140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Minor NC</w:t>
            </w:r>
          </w:p>
        </w:tc>
        <w:tc>
          <w:tcPr>
            <w:tcW w:type="dxa" w:w="36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A nonconformity that: (a) is an isolated failure of a control or process that does not indicate a systemic failure; (b) represents a partial fulfilment of a requirement where key elements are present; or (c) may develop into a Major NC if not addressed.</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Corrective action plan within 60 days; root cause analysis; effectiveness verified by ISM at next review cycle or internal audit.</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Reported to MD at next quarterly review; reported in management review inputs.</w:t>
            </w:r>
          </w:p>
        </w:tc>
      </w:tr>
      <w:tr>
        <w:tc>
          <w:tcPr>
            <w:tcW w:type="dxa" w:w="14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Observation</w:t>
            </w:r>
          </w:p>
        </w:tc>
        <w:tc>
          <w:tcPr>
            <w:tcW w:type="dxa" w:w="3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A situation that does not currently constitute a nonconformity but: (a) could become a nonconformity if the condition continues; (b) is a potential area for improvement; or (c) indicates a risk worth monitoring.</w:t>
            </w:r>
          </w:p>
        </w:tc>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No mandatory corrective action required. ISM reviews observation and determines whether a voluntary improvement action is warranted. Observation tracked and reviewed at next audit.</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Reported in audit report; included in management review continual improvement agenda item.</w:t>
            </w:r>
          </w:p>
        </w:tc>
      </w:tr>
      <w:tr>
        <w:tc>
          <w:tcPr>
            <w:tcW w:type="dxa" w:w="1400"/>
            <w:tcBorders>
              <w:top w:val="single" w:color="CCCCCC" w:sz="1"/>
              <w:left w:val="single" w:color="CCCCCC" w:sz="1"/>
              <w:bottom w:val="single" w:color="CCCCCC" w:sz="1"/>
              <w:right w:val="single" w:color="CCCCCC" w:sz="1"/>
            </w:tcBorders>
            <w:shd w:fill="70AD47"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Conforming</w:t>
            </w:r>
          </w:p>
        </w:tc>
        <w:tc>
          <w:tcPr>
            <w:tcW w:type="dxa" w:w="36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The requirement is implemented and evidence of effective operation exists. No finding recorded beyond positive notation.</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No action required. Conforming findings documented in audit report for positive assurance evidence.</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None.</w:t>
            </w:r>
          </w:p>
        </w:tc>
      </w:tr>
    </w:tbl>
    <w:p>
      <w:pPr>
        <w:spacing w:after="120" w:before="120"/>
      </w:pPr>
    </w:p>
    <w:p>
      <w:pPr>
        <w:pStyle w:val="Heading2"/>
        <w:spacing w:after="80" w:before="240"/>
      </w:pPr>
      <w:r>
        <w:rPr>
          <w:rFonts w:ascii="Arial" w:cs="Arial" w:eastAsia="Arial" w:hAnsi="Arial"/>
          <w:b/>
          <w:bCs/>
          <w:color w:val="2E75B6"/>
          <w:sz w:val="26"/>
          <w:szCs w:val="26"/>
        </w:rPr>
        <w:t xml:space="preserve">4.7 Internal Audit Schedule (Current Cycle)</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1600"/>
        <w:gridCol w:w="1600"/>
        <w:gridCol w:w="1200"/>
        <w:gridCol w:w="1200"/>
        <w:gridCol w:w="1060"/>
      </w:tblGrid>
      <w:tr>
        <w:trPr>
          <w:tblHeader/>
        </w:trPr>
        <w:tc>
          <w:tcPr>
            <w:tcW w:type="dxa" w:w="1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Audit ID</w:t>
            </w:r>
          </w:p>
        </w:tc>
        <w:tc>
          <w:tcPr>
            <w:tcW w:type="dxa" w:w="16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Scope</w:t>
            </w:r>
          </w:p>
        </w:tc>
        <w:tc>
          <w:tcPr>
            <w:tcW w:type="dxa" w:w="16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Planned Dates</w:t>
            </w:r>
          </w:p>
        </w:tc>
        <w:tc>
          <w:tcPr>
            <w:tcW w:type="dxa" w:w="16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Auditor</w:t>
            </w:r>
          </w:p>
        </w:tc>
        <w:tc>
          <w:tcPr>
            <w:tcW w:type="dxa" w:w="1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Auditee(s)</w:t>
            </w:r>
          </w:p>
        </w:tc>
        <w:tc>
          <w:tcPr>
            <w:tcW w:type="dxa" w:w="1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Report Due</w:t>
            </w:r>
          </w:p>
        </w:tc>
        <w:tc>
          <w:tcPr>
            <w:tcW w:type="dxa" w:w="10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Status</w:t>
            </w:r>
          </w:p>
        </w:tc>
      </w:tr>
      <w:tr>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6"/>
                <w:szCs w:val="16"/>
              </w:rPr>
              <w:t xml:space="preserve">AUD-2026-001</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Full ISMS — All Clauses 4–10 + Annex A Themes 5–8 (pre-certification)</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Q3 2026 (Jul–Aug 2026)</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[Auditor TBC — internal or external]</w:t>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ISM, HoT, MD</w:t>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31 Aug 2026</w:t>
            </w:r>
          </w:p>
        </w:tc>
        <w:tc>
          <w:tcPr>
            <w:tcW w:type="dxa" w:w="106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Scheduled</w:t>
            </w:r>
          </w:p>
        </w:tc>
      </w:tr>
      <w:tr>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E75B6"/>
                <w:sz w:val="16"/>
                <w:szCs w:val="16"/>
              </w:rPr>
              <w:t xml:space="preserve">AUD-2027-001</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Full ISMS — All Clauses + Annex A (annual cycle, post-certification Year 1)</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Q3 2027 (Jul–Aug 2027)</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[Auditor TBC]</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ISM, HoT, MD</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31 Aug 2027</w:t>
            </w:r>
          </w:p>
        </w:tc>
        <w:tc>
          <w:tcPr>
            <w:tcW w:type="dxa" w:w="106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Planned</w:t>
            </w:r>
          </w:p>
        </w:tc>
      </w:tr>
    </w:tbl>
    <w:p>
      <w:pPr>
        <w:spacing w:after="120" w:before="120"/>
      </w:pPr>
    </w:p>
    <w:p>
      <w:pPr>
        <w:pStyle w:val="Heading2"/>
        <w:spacing w:after="80" w:before="240"/>
      </w:pPr>
      <w:r>
        <w:rPr>
          <w:rFonts w:ascii="Arial" w:cs="Arial" w:eastAsia="Arial" w:hAnsi="Arial"/>
          <w:b/>
          <w:bCs/>
          <w:color w:val="2E75B6"/>
          <w:sz w:val="26"/>
          <w:szCs w:val="26"/>
        </w:rPr>
        <w:t xml:space="preserve">4.8 Internal Audit Results Log</w:t>
      </w:r>
    </w:p>
    <w:p>
      <w:pPr>
        <w:spacing w:after="80" w:before="80"/>
        <w:jc w:val="left"/>
      </w:pPr>
      <w:r>
        <w:rPr>
          <w:rFonts w:ascii="Arial" w:cs="Arial" w:eastAsia="Arial" w:hAnsi="Arial"/>
          <w:b w:val="false"/>
          <w:bCs w:val="false"/>
          <w:color w:val="000000"/>
          <w:sz w:val="20"/>
          <w:szCs w:val="20"/>
        </w:rPr>
        <w:t xml:space="preserve">The following log records all completed internal audits and their outcomes. This constitutes the documented information retained as evidence of internal audit results per Clause 9.2. Full audit reports are retained in the document management system under reference ISMS-IAP-001.</w:t>
      </w:r>
    </w:p>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1200"/>
        <w:gridCol w:w="1200"/>
        <w:gridCol w:w="700"/>
        <w:gridCol w:w="700"/>
        <w:gridCol w:w="700"/>
        <w:gridCol w:w="600"/>
        <w:gridCol w:w="1960"/>
      </w:tblGrid>
      <w:tr>
        <w:trPr>
          <w:tblHeader/>
        </w:trPr>
        <w:tc>
          <w:tcPr>
            <w:tcW w:type="dxa" w:w="1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Audit ID</w:t>
            </w:r>
          </w:p>
        </w:tc>
        <w:tc>
          <w:tcPr>
            <w:tcW w:type="dxa" w:w="1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Scope</w:t>
            </w:r>
          </w:p>
        </w:tc>
        <w:tc>
          <w:tcPr>
            <w:tcW w:type="dxa" w:w="1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Dates</w:t>
            </w:r>
          </w:p>
        </w:tc>
        <w:tc>
          <w:tcPr>
            <w:tcW w:type="dxa" w:w="1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Auditor</w:t>
            </w:r>
          </w:p>
        </w:tc>
        <w:tc>
          <w:tcPr>
            <w:tcW w:type="dxa" w:w="7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Major NCs</w:t>
            </w:r>
          </w:p>
        </w:tc>
        <w:tc>
          <w:tcPr>
            <w:tcW w:type="dxa" w:w="7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Minor NCs</w:t>
            </w:r>
          </w:p>
        </w:tc>
        <w:tc>
          <w:tcPr>
            <w:tcW w:type="dxa" w:w="7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Obs.</w:t>
            </w:r>
          </w:p>
        </w:tc>
        <w:tc>
          <w:tcPr>
            <w:tcW w:type="dxa" w:w="6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Rpt</w:t>
            </w:r>
          </w:p>
        </w:tc>
        <w:tc>
          <w:tcPr>
            <w:tcW w:type="dxa" w:w="19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CA Status</w:t>
            </w:r>
          </w:p>
        </w:tc>
      </w:tr>
      <w:tr>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4"/>
                <w:szCs w:val="14"/>
              </w:rPr>
              <w:t xml:space="preserve">AUD-2026-001</w:t>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Full ISMS — pre-cert</w:t>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Scheduled Q3 2026</w:t>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[TBC]</w:t>
            </w:r>
          </w:p>
        </w:tc>
        <w:tc>
          <w:tcPr>
            <w:tcW w:type="dxa" w:w="7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4"/>
                <w:szCs w:val="14"/>
              </w:rPr>
              <w:t xml:space="preserve">—</w:t>
            </w:r>
          </w:p>
        </w:tc>
        <w:tc>
          <w:tcPr>
            <w:tcW w:type="dxa" w:w="7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4"/>
                <w:szCs w:val="14"/>
              </w:rPr>
              <w:t xml:space="preserve">—</w:t>
            </w:r>
          </w:p>
        </w:tc>
        <w:tc>
          <w:tcPr>
            <w:tcW w:type="dxa" w:w="7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4"/>
                <w:szCs w:val="14"/>
              </w:rPr>
              <w:t xml:space="preserve">—</w:t>
            </w:r>
          </w:p>
        </w:tc>
        <w:tc>
          <w:tcPr>
            <w:tcW w:type="dxa" w:w="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4"/>
                <w:szCs w:val="14"/>
              </w:rPr>
              <w:t xml:space="preserve">—</w:t>
            </w:r>
          </w:p>
        </w:tc>
        <w:tc>
          <w:tcPr>
            <w:tcW w:type="dxa" w:w="19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[Results to be populated post-audit]</w:t>
            </w:r>
          </w:p>
        </w:tc>
      </w:tr>
    </w:tbl>
    <w:p>
      <w:pPr>
        <w:spacing w:after="120" w:before="120"/>
      </w:pPr>
    </w:p>
    <w:p>
      <w:r>
        <w:br w:type="page"/>
      </w:r>
    </w:p>
    <w:p>
      <w:pPr>
        <w:pStyle w:val="Heading1"/>
        <w:pBdr>
          <w:bottom w:val="single" w:color="2E75B6" w:sz="8" w:space="4"/>
        </w:pBdr>
        <w:spacing w:after="120" w:before="360"/>
      </w:pPr>
      <w:r>
        <w:rPr>
          <w:rFonts w:ascii="Arial" w:cs="Arial" w:eastAsia="Arial" w:hAnsi="Arial"/>
          <w:b/>
          <w:bCs/>
          <w:color w:val="1F3864"/>
          <w:sz w:val="34"/>
          <w:szCs w:val="34"/>
        </w:rPr>
        <w:t xml:space="preserve">5. Clause 9.3 — Management Review</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400"/>
        <w:gridCol w:w="7860"/>
      </w:tblGrid>
      <w:tr>
        <w:tc>
          <w:tcPr>
            <w:tcW w:type="dxa" w:w="1400"/>
            <w:tcBorders>
              <w:top w:val="single" w:color="CCCCCC" w:sz="1"/>
              <w:left w:val="single" w:color="CCCCCC" w:sz="1"/>
              <w:bottom w:val="single" w:color="CCCCCC" w:sz="1"/>
              <w:right w:val="single" w:color="CCCCCC" w:sz="1"/>
            </w:tcBorders>
            <w:shd w:fill="1F3864"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9.3</w:t>
            </w:r>
          </w:p>
          <w:p>
            <w:pPr>
              <w:jc w:val="center"/>
            </w:pPr>
            <w:r>
              <w:rPr>
                <w:rFonts w:ascii="Arial" w:cs="Arial" w:eastAsia="Arial" w:hAnsi="Arial"/>
                <w:color w:val="D6E4F0"/>
                <w:sz w:val="14"/>
                <w:szCs w:val="14"/>
              </w:rPr>
              <w:t xml:space="preserve">Management Review</w:t>
            </w:r>
          </w:p>
        </w:tc>
        <w:tc>
          <w:tcPr>
            <w:tcW w:type="dxa" w:w="786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r>
              <w:rPr>
                <w:rFonts w:ascii="Arial" w:cs="Arial" w:eastAsia="Arial" w:hAnsi="Arial"/>
                <w:color w:val="1F3864"/>
                <w:sz w:val="18"/>
                <w:szCs w:val="18"/>
              </w:rPr>
              <w:t xml:space="preserve">Top management shall review the organisation's ISMS at planned intervals to ensure its continuing suitability, adequacy and effectiveness. The review shall include consideration of: status of actions from previous reviews; changes in external/internal issues; IS performance (including objectives, nonconformities, monitoring results, audit results, risk assessment results, and improvement opportunities). Outputs shall include decisions on continual improvement and any changes to the ISMS. Documented information shall be retained as evidence.</w:t>
            </w:r>
          </w:p>
        </w:tc>
      </w:tr>
    </w:tbl>
    <w:p>
      <w:pPr>
        <w:spacing w:after="120" w:before="120"/>
      </w:pPr>
    </w:p>
    <w:p>
      <w:pPr>
        <w:pStyle w:val="Heading2"/>
        <w:spacing w:after="80" w:before="240"/>
      </w:pPr>
      <w:r>
        <w:rPr>
          <w:rFonts w:ascii="Arial" w:cs="Arial" w:eastAsia="Arial" w:hAnsi="Arial"/>
          <w:b/>
          <w:bCs/>
          <w:color w:val="2E75B6"/>
          <w:sz w:val="26"/>
          <w:szCs w:val="26"/>
        </w:rPr>
        <w:t xml:space="preserve">5.1 Management Review Objectives and Frequency</w:t>
      </w:r>
    </w:p>
    <w:p>
      <w:pPr>
        <w:spacing w:after="80" w:before="80"/>
        <w:jc w:val="left"/>
      </w:pPr>
      <w:r>
        <w:rPr>
          <w:rFonts w:ascii="Arial" w:cs="Arial" w:eastAsia="Arial" w:hAnsi="Arial"/>
          <w:b w:val="false"/>
          <w:bCs w:val="false"/>
          <w:color w:val="000000"/>
          <w:sz w:val="20"/>
          <w:szCs w:val="20"/>
        </w:rPr>
        <w:t xml:space="preserve">The ISMS Management Review is the forum at which top management fulfils its obligations under Clause 5.1 (leadership and commitment) and Clause 9.3 (performance evaluation). The review ensures senior leadership maintains oversight of ISMS performance and drives strategic decisions on ISMS direction, resources, and improvement.</w:t>
      </w:r>
    </w:p>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400"/>
        <w:gridCol w:w="6860"/>
      </w:tblGrid>
      <w:tr>
        <w:trPr>
          <w:tblHeader/>
        </w:trPr>
        <w:tc>
          <w:tcPr>
            <w:tcW w:type="dxa" w:w="2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Parameter</w:t>
            </w:r>
          </w:p>
        </w:tc>
        <w:tc>
          <w:tcPr>
            <w:tcW w:type="dxa" w:w="68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Detail</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Mandatory frequency</w:t>
            </w:r>
          </w:p>
        </w:tc>
        <w:tc>
          <w:tcPr>
            <w:tcW w:type="dxa" w:w="6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At minimum annually. ISO 27001:2022 Clause 9.3 requires planned intervals — annual is the minimum; the organisation conducts quarterly KPI reviews and a full annual management review.</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Full Annual Review</w:t>
            </w:r>
          </w:p>
        </w:tc>
        <w:tc>
          <w:tcPr>
            <w:tcW w:type="dxa" w:w="6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Comprehensive review of all mandatory inputs (9.3(a)–(c)); strategic decisions on ISMS direction, resources, and objectives; all 15 agenda items (§5.2) addressed. Formal minutes produced.</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Quarterly KPI Review</w:t>
            </w:r>
          </w:p>
        </w:tc>
        <w:tc>
          <w:tcPr>
            <w:tcW w:type="dxa" w:w="6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Focused review of KPI performance (§3.4), corrective action status, objective progress, and risk posture changes. Less formal; briefing notes and action items recorded. Feeds the annual review.</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Chair</w:t>
            </w:r>
          </w:p>
        </w:tc>
        <w:tc>
          <w:tcPr>
            <w:tcW w:type="dxa" w:w="6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Managing Director (top management — mandatory; cannot be delegated).</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Attendees</w:t>
            </w:r>
          </w:p>
        </w:tc>
        <w:tc>
          <w:tcPr>
            <w:tcW w:type="dxa" w:w="6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Mandatory: Managing Director, Information Security Manager. As appropriate: Head of Technology, Data Protection Lead, Internal Auditor (to present findings), External Auditor/Consultant (advisory).</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Triggered reviews</w:t>
            </w:r>
          </w:p>
        </w:tc>
        <w:tc>
          <w:tcPr>
            <w:tcW w:type="dxa" w:w="6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 triggered management review may be convened outside the planned schedule where: a Critical security incident occurs; a material change to the ISMS context arises; a Major NC is identified by internal or external audit; or a significant regulatory change requires immediate ISMS response.</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Minutes and evidence</w:t>
            </w:r>
          </w:p>
        </w:tc>
        <w:tc>
          <w:tcPr>
            <w:tcW w:type="dxa" w:w="6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Minutes of all management reviews are produced within 5 working days of the review date, approved by the MD, and retained as documented information per ISMS-SPT-001 §6.6 (minimum 3 years).</w:t>
            </w:r>
          </w:p>
        </w:tc>
      </w:tr>
    </w:tbl>
    <w:p>
      <w:pPr>
        <w:spacing w:after="120" w:before="120"/>
      </w:pPr>
    </w:p>
    <w:p>
      <w:pPr>
        <w:pStyle w:val="Heading2"/>
        <w:spacing w:after="80" w:before="240"/>
      </w:pPr>
      <w:r>
        <w:rPr>
          <w:rFonts w:ascii="Arial" w:cs="Arial" w:eastAsia="Arial" w:hAnsi="Arial"/>
          <w:b/>
          <w:bCs/>
          <w:color w:val="2E75B6"/>
          <w:sz w:val="26"/>
          <w:szCs w:val="26"/>
        </w:rPr>
        <w:t xml:space="preserve">5.2 Management Review Inputs</w:t>
      </w:r>
    </w:p>
    <w:p>
      <w:pPr>
        <w:spacing w:after="80" w:before="80"/>
        <w:jc w:val="left"/>
      </w:pPr>
      <w:r>
        <w:rPr>
          <w:rFonts w:ascii="Arial" w:cs="Arial" w:eastAsia="Arial" w:hAnsi="Arial"/>
          <w:b w:val="false"/>
          <w:bCs w:val="false"/>
          <w:color w:val="000000"/>
          <w:sz w:val="20"/>
          <w:szCs w:val="20"/>
        </w:rPr>
        <w:t xml:space="preserve">ISO 27001:2022 Clause 9.3 mandates specific inputs to the management review. The table below documents each mandatory input, the agenda item reference, the evidence source, and the clause reference:</w:t>
      </w:r>
    </w:p>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1600"/>
        <w:gridCol w:w="2660"/>
        <w:gridCol w:w="1800"/>
      </w:tblGrid>
      <w:tr>
        <w:trPr>
          <w:tblHeader/>
        </w:trPr>
        <w:tc>
          <w:tcPr>
            <w:tcW w:type="dxa" w:w="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Ref</w:t>
            </w:r>
          </w:p>
        </w:tc>
        <w:tc>
          <w:tcPr>
            <w:tcW w:type="dxa" w:w="2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Input</w:t>
            </w:r>
          </w:p>
        </w:tc>
        <w:tc>
          <w:tcPr>
            <w:tcW w:type="dxa" w:w="16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Presented By</w:t>
            </w:r>
          </w:p>
        </w:tc>
        <w:tc>
          <w:tcPr>
            <w:tcW w:type="dxa" w:w="26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Evidence Source</w:t>
            </w:r>
          </w:p>
        </w:tc>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Clause / Type</w:t>
            </w:r>
          </w:p>
        </w:tc>
      </w:tr>
      <w:tr>
        <w:tc>
          <w:tcPr>
            <w:tcW w:type="dxa" w:w="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6"/>
                <w:szCs w:val="16"/>
              </w:rPr>
              <w:t xml:space="preserve">MRI-001</w:t>
            </w:r>
          </w:p>
        </w:tc>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Status of actions from previous management reviews</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ISM</w:t>
            </w:r>
          </w:p>
        </w:tc>
        <w:tc>
          <w:tcPr>
            <w:tcW w:type="dxa" w:w="2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Prior MR minutes; action tracker (ISMS-CAR-001)</w:t>
            </w:r>
          </w:p>
        </w:tc>
        <w:tc>
          <w:tcPr>
            <w:tcW w:type="dxa" w:w="180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tcPr>
          <w:p>
            <w:pPr>
              <w:jc w:val="center"/>
            </w:pPr>
            <w:r>
              <w:rPr>
                <w:rFonts w:ascii="Arial" w:cs="Arial" w:eastAsia="Arial" w:hAnsi="Arial"/>
                <w:b/>
                <w:bCs/>
                <w:color w:val="FFFFFF"/>
                <w:sz w:val="13"/>
                <w:szCs w:val="13"/>
              </w:rPr>
              <w:t xml:space="preserve">Mandatory — 9.3(a)</w:t>
            </w:r>
          </w:p>
        </w:tc>
      </w:tr>
      <w:tr>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6"/>
                <w:szCs w:val="16"/>
              </w:rPr>
              <w:t xml:space="preserve">MRI-002</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Changes in external and internal issues relevant to the ISMS (Clause 4.1 / 4.2 update)</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ISM</w:t>
            </w:r>
          </w:p>
        </w:tc>
        <w:tc>
          <w:tcPr>
            <w:tcW w:type="dxa" w:w="2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ISMS-CTX-001 review; context change log</w:t>
            </w:r>
          </w:p>
        </w:tc>
        <w:tc>
          <w:tcPr>
            <w:tcW w:type="dxa" w:w="180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tcPr>
          <w:p>
            <w:pPr>
              <w:jc w:val="center"/>
            </w:pPr>
            <w:r>
              <w:rPr>
                <w:rFonts w:ascii="Arial" w:cs="Arial" w:eastAsia="Arial" w:hAnsi="Arial"/>
                <w:b/>
                <w:bCs/>
                <w:color w:val="FFFFFF"/>
                <w:sz w:val="13"/>
                <w:szCs w:val="13"/>
              </w:rPr>
              <w:t xml:space="preserve">Mandatory — 9.3(b)</w:t>
            </w:r>
          </w:p>
        </w:tc>
      </w:tr>
      <w:tr>
        <w:tc>
          <w:tcPr>
            <w:tcW w:type="dxa" w:w="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6"/>
                <w:szCs w:val="16"/>
              </w:rPr>
              <w:t xml:space="preserve">MRI-003</w:t>
            </w:r>
          </w:p>
        </w:tc>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Changes in needs and expectations of interested parties (Clause 4.2 update)</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ISM</w:t>
            </w:r>
          </w:p>
        </w:tc>
        <w:tc>
          <w:tcPr>
            <w:tcW w:type="dxa" w:w="2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Interested party register review; client feedback</w:t>
            </w:r>
          </w:p>
        </w:tc>
        <w:tc>
          <w:tcPr>
            <w:tcW w:type="dxa" w:w="180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tcPr>
          <w:p>
            <w:pPr>
              <w:jc w:val="center"/>
            </w:pPr>
            <w:r>
              <w:rPr>
                <w:rFonts w:ascii="Arial" w:cs="Arial" w:eastAsia="Arial" w:hAnsi="Arial"/>
                <w:b/>
                <w:bCs/>
                <w:color w:val="FFFFFF"/>
                <w:sz w:val="13"/>
                <w:szCs w:val="13"/>
              </w:rPr>
              <w:t xml:space="preserve">Mandatory — 9.3(b)</w:t>
            </w:r>
          </w:p>
        </w:tc>
      </w:tr>
      <w:tr>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6"/>
                <w:szCs w:val="16"/>
              </w:rPr>
              <w:t xml:space="preserve">MRI-004</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Information security performance — KPI results and trend analysis</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ISM</w:t>
            </w:r>
          </w:p>
        </w:tc>
        <w:tc>
          <w:tcPr>
            <w:tcW w:type="dxa" w:w="2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ISMS-MR-002 KPI metrics report</w:t>
            </w:r>
          </w:p>
        </w:tc>
        <w:tc>
          <w:tcPr>
            <w:tcW w:type="dxa" w:w="180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tcPr>
          <w:p>
            <w:pPr>
              <w:jc w:val="center"/>
            </w:pPr>
            <w:r>
              <w:rPr>
                <w:rFonts w:ascii="Arial" w:cs="Arial" w:eastAsia="Arial" w:hAnsi="Arial"/>
                <w:b/>
                <w:bCs/>
                <w:color w:val="FFFFFF"/>
                <w:sz w:val="13"/>
                <w:szCs w:val="13"/>
              </w:rPr>
              <w:t xml:space="preserve">Mandatory — 9.3(c)</w:t>
            </w:r>
          </w:p>
        </w:tc>
      </w:tr>
      <w:tr>
        <w:tc>
          <w:tcPr>
            <w:tcW w:type="dxa" w:w="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6"/>
                <w:szCs w:val="16"/>
              </w:rPr>
              <w:t xml:space="preserve">MRI-005</w:t>
            </w:r>
          </w:p>
        </w:tc>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Fulfilment of information security objectives (Clause 6.2 progress)</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ISM</w:t>
            </w:r>
          </w:p>
        </w:tc>
        <w:tc>
          <w:tcPr>
            <w:tcW w:type="dxa" w:w="2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ISMS-PLN-001 §5 objective tracker</w:t>
            </w:r>
          </w:p>
        </w:tc>
        <w:tc>
          <w:tcPr>
            <w:tcW w:type="dxa" w:w="180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tcPr>
          <w:p>
            <w:pPr>
              <w:jc w:val="center"/>
            </w:pPr>
            <w:r>
              <w:rPr>
                <w:rFonts w:ascii="Arial" w:cs="Arial" w:eastAsia="Arial" w:hAnsi="Arial"/>
                <w:b/>
                <w:bCs/>
                <w:color w:val="FFFFFF"/>
                <w:sz w:val="13"/>
                <w:szCs w:val="13"/>
              </w:rPr>
              <w:t xml:space="preserve">Mandatory — 9.3(c)(1)</w:t>
            </w:r>
          </w:p>
        </w:tc>
      </w:tr>
      <w:tr>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6"/>
                <w:szCs w:val="16"/>
              </w:rPr>
              <w:t xml:space="preserve">MRI-006</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Nonconformities and corrective actions status</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ISM</w:t>
            </w:r>
          </w:p>
        </w:tc>
        <w:tc>
          <w:tcPr>
            <w:tcW w:type="dxa" w:w="2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ISMS-CAR-001 tracker summary</w:t>
            </w:r>
          </w:p>
        </w:tc>
        <w:tc>
          <w:tcPr>
            <w:tcW w:type="dxa" w:w="180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tcPr>
          <w:p>
            <w:pPr>
              <w:jc w:val="center"/>
            </w:pPr>
            <w:r>
              <w:rPr>
                <w:rFonts w:ascii="Arial" w:cs="Arial" w:eastAsia="Arial" w:hAnsi="Arial"/>
                <w:b/>
                <w:bCs/>
                <w:color w:val="FFFFFF"/>
                <w:sz w:val="13"/>
                <w:szCs w:val="13"/>
              </w:rPr>
              <w:t xml:space="preserve">Mandatory — 9.3(c)(2)</w:t>
            </w:r>
          </w:p>
        </w:tc>
      </w:tr>
      <w:tr>
        <w:tc>
          <w:tcPr>
            <w:tcW w:type="dxa" w:w="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6"/>
                <w:szCs w:val="16"/>
              </w:rPr>
              <w:t xml:space="preserve">MRI-007</w:t>
            </w:r>
          </w:p>
        </w:tc>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Monitoring and measurement results (from Clause 9.1)</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ISM</w:t>
            </w:r>
          </w:p>
        </w:tc>
        <w:tc>
          <w:tcPr>
            <w:tcW w:type="dxa" w:w="2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KPI report; evidence of monitoring outputs</w:t>
            </w:r>
          </w:p>
        </w:tc>
        <w:tc>
          <w:tcPr>
            <w:tcW w:type="dxa" w:w="180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tcPr>
          <w:p>
            <w:pPr>
              <w:jc w:val="center"/>
            </w:pPr>
            <w:r>
              <w:rPr>
                <w:rFonts w:ascii="Arial" w:cs="Arial" w:eastAsia="Arial" w:hAnsi="Arial"/>
                <w:b/>
                <w:bCs/>
                <w:color w:val="FFFFFF"/>
                <w:sz w:val="13"/>
                <w:szCs w:val="13"/>
              </w:rPr>
              <w:t xml:space="preserve">Mandatory — 9.3(c)(3)</w:t>
            </w:r>
          </w:p>
        </w:tc>
      </w:tr>
      <w:tr>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6"/>
                <w:szCs w:val="16"/>
              </w:rPr>
              <w:t xml:space="preserve">MRI-008</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Internal audit results</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ISM / Auditor</w:t>
            </w:r>
          </w:p>
        </w:tc>
        <w:tc>
          <w:tcPr>
            <w:tcW w:type="dxa" w:w="2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Audit report(s); nonconformity summary (ISMS-IAP-001)</w:t>
            </w:r>
          </w:p>
        </w:tc>
        <w:tc>
          <w:tcPr>
            <w:tcW w:type="dxa" w:w="180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tcPr>
          <w:p>
            <w:pPr>
              <w:jc w:val="center"/>
            </w:pPr>
            <w:r>
              <w:rPr>
                <w:rFonts w:ascii="Arial" w:cs="Arial" w:eastAsia="Arial" w:hAnsi="Arial"/>
                <w:b/>
                <w:bCs/>
                <w:color w:val="FFFFFF"/>
                <w:sz w:val="13"/>
                <w:szCs w:val="13"/>
              </w:rPr>
              <w:t xml:space="preserve">Mandatory — 9.3(c)(4)</w:t>
            </w:r>
          </w:p>
        </w:tc>
      </w:tr>
      <w:tr>
        <w:tc>
          <w:tcPr>
            <w:tcW w:type="dxa" w:w="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6"/>
                <w:szCs w:val="16"/>
              </w:rPr>
              <w:t xml:space="preserve">MRI-009</w:t>
            </w:r>
          </w:p>
        </w:tc>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Risk assessment results and risk treatment plan status</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ISM</w:t>
            </w:r>
          </w:p>
        </w:tc>
        <w:tc>
          <w:tcPr>
            <w:tcW w:type="dxa" w:w="2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ISMS-PLN-001; risk register; treatment tracker (ISMS-OPS-001 §5.1)</w:t>
            </w:r>
          </w:p>
        </w:tc>
        <w:tc>
          <w:tcPr>
            <w:tcW w:type="dxa" w:w="180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tcPr>
          <w:p>
            <w:pPr>
              <w:jc w:val="center"/>
            </w:pPr>
            <w:r>
              <w:rPr>
                <w:rFonts w:ascii="Arial" w:cs="Arial" w:eastAsia="Arial" w:hAnsi="Arial"/>
                <w:b/>
                <w:bCs/>
                <w:color w:val="FFFFFF"/>
                <w:sz w:val="13"/>
                <w:szCs w:val="13"/>
              </w:rPr>
              <w:t xml:space="preserve">Mandatory — 9.3(c)(5)</w:t>
            </w:r>
          </w:p>
        </w:tc>
      </w:tr>
      <w:tr>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6"/>
                <w:szCs w:val="16"/>
              </w:rPr>
              <w:t xml:space="preserve">MRI-010</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Opportunities for continual improvement</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ISM / All</w:t>
            </w:r>
          </w:p>
        </w:tc>
        <w:tc>
          <w:tcPr>
            <w:tcW w:type="dxa" w:w="2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Improvement suggestions; audit observations; PIR lessons learned</w:t>
            </w:r>
          </w:p>
        </w:tc>
        <w:tc>
          <w:tcPr>
            <w:tcW w:type="dxa" w:w="180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tcPr>
          <w:p>
            <w:pPr>
              <w:jc w:val="center"/>
            </w:pPr>
            <w:r>
              <w:rPr>
                <w:rFonts w:ascii="Arial" w:cs="Arial" w:eastAsia="Arial" w:hAnsi="Arial"/>
                <w:b/>
                <w:bCs/>
                <w:color w:val="FFFFFF"/>
                <w:sz w:val="13"/>
                <w:szCs w:val="13"/>
              </w:rPr>
              <w:t xml:space="preserve">Mandatory — 9.3(c)(6)</w:t>
            </w:r>
          </w:p>
        </w:tc>
      </w:tr>
      <w:tr>
        <w:tc>
          <w:tcPr>
            <w:tcW w:type="dxa" w:w="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6"/>
                <w:szCs w:val="16"/>
              </w:rPr>
              <w:t xml:space="preserve">MRI-011</w:t>
            </w:r>
          </w:p>
        </w:tc>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Resource adequacy review (Clause 7.1)</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MD / ISM</w:t>
            </w:r>
          </w:p>
        </w:tc>
        <w:tc>
          <w:tcPr>
            <w:tcW w:type="dxa" w:w="2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Resource register (ISMS-SPT-001 §2); budget vs. actuals</w:t>
            </w:r>
          </w:p>
        </w:tc>
        <w:tc>
          <w:tcPr>
            <w:tcW w:type="dxa" w:w="180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tcPr>
          <w:p>
            <w:pPr>
              <w:jc w:val="center"/>
            </w:pPr>
            <w:r>
              <w:rPr>
                <w:rFonts w:ascii="Arial" w:cs="Arial" w:eastAsia="Arial" w:hAnsi="Arial"/>
                <w:b/>
                <w:bCs/>
                <w:color w:val="FFFFFF"/>
                <w:sz w:val="13"/>
                <w:szCs w:val="13"/>
              </w:rPr>
              <w:t xml:space="preserve">Mandatory — 9.3(b) [context includes resources]</w:t>
            </w:r>
          </w:p>
        </w:tc>
      </w:tr>
      <w:tr>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6"/>
                <w:szCs w:val="16"/>
              </w:rPr>
              <w:t xml:space="preserve">MRI-012</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Supplier and third-party security performance</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ISM</w:t>
            </w:r>
          </w:p>
        </w:tc>
        <w:tc>
          <w:tcPr>
            <w:tcW w:type="dxa" w:w="2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Supplier review records (ISMS-SUP-001); third-party incident log</w:t>
            </w:r>
          </w:p>
        </w:tc>
        <w:tc>
          <w:tcPr>
            <w:tcW w:type="dxa" w:w="1800"/>
            <w:tcBorders>
              <w:top w:val="single" w:color="CCCCCC" w:sz="1"/>
              <w:left w:val="single" w:color="CCCCCC" w:sz="1"/>
              <w:bottom w:val="single" w:color="CCCCCC" w:sz="1"/>
              <w:right w:val="single" w:color="CCCCCC" w:sz="1"/>
            </w:tcBorders>
            <w:shd w:fill="1F7D8C" w:val="clear"/>
            <w:tcMar>
              <w:top w:type="dxa" w:w="80"/>
              <w:left w:type="dxa" w:w="80"/>
              <w:bottom w:type="dxa" w:w="80"/>
              <w:right w:type="dxa" w:w="80"/>
            </w:tcMar>
          </w:tcPr>
          <w:p>
            <w:pPr>
              <w:jc w:val="center"/>
            </w:pPr>
            <w:r>
              <w:rPr>
                <w:rFonts w:ascii="Arial" w:cs="Arial" w:eastAsia="Arial" w:hAnsi="Arial"/>
                <w:b/>
                <w:bCs/>
                <w:color w:val="FFFFFF"/>
                <w:sz w:val="13"/>
                <w:szCs w:val="13"/>
              </w:rPr>
              <w:t xml:space="preserve">Organisationally determined</w:t>
            </w:r>
          </w:p>
        </w:tc>
      </w:tr>
      <w:tr>
        <w:tc>
          <w:tcPr>
            <w:tcW w:type="dxa" w:w="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6"/>
                <w:szCs w:val="16"/>
              </w:rPr>
              <w:t xml:space="preserve">MRI-013</w:t>
            </w:r>
          </w:p>
        </w:tc>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ISMS scope review — confirm scope remains appropriate</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ISM / MD</w:t>
            </w:r>
          </w:p>
        </w:tc>
        <w:tc>
          <w:tcPr>
            <w:tcW w:type="dxa" w:w="2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ISMS-CTX-001 §5; ISMS-SCO-001</w:t>
            </w:r>
          </w:p>
        </w:tc>
        <w:tc>
          <w:tcPr>
            <w:tcW w:type="dxa" w:w="1800"/>
            <w:tcBorders>
              <w:top w:val="single" w:color="CCCCCC" w:sz="1"/>
              <w:left w:val="single" w:color="CCCCCC" w:sz="1"/>
              <w:bottom w:val="single" w:color="CCCCCC" w:sz="1"/>
              <w:right w:val="single" w:color="CCCCCC" w:sz="1"/>
            </w:tcBorders>
            <w:shd w:fill="1F7D8C" w:val="clear"/>
            <w:tcMar>
              <w:top w:type="dxa" w:w="80"/>
              <w:left w:type="dxa" w:w="80"/>
              <w:bottom w:type="dxa" w:w="80"/>
              <w:right w:type="dxa" w:w="80"/>
            </w:tcMar>
          </w:tcPr>
          <w:p>
            <w:pPr>
              <w:jc w:val="center"/>
            </w:pPr>
            <w:r>
              <w:rPr>
                <w:rFonts w:ascii="Arial" w:cs="Arial" w:eastAsia="Arial" w:hAnsi="Arial"/>
                <w:b/>
                <w:bCs/>
                <w:color w:val="FFFFFF"/>
                <w:sz w:val="13"/>
                <w:szCs w:val="13"/>
              </w:rPr>
              <w:t xml:space="preserve">Organisationally determined</w:t>
            </w:r>
          </w:p>
        </w:tc>
      </w:tr>
      <w:tr>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6"/>
                <w:szCs w:val="16"/>
              </w:rPr>
              <w:t xml:space="preserve">MRI-014</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Certification body liaison — surveillance audit preparation / findings</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ISM</w:t>
            </w:r>
          </w:p>
        </w:tc>
        <w:tc>
          <w:tcPr>
            <w:tcW w:type="dxa" w:w="2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Certification schedule; prior CB feedback</w:t>
            </w:r>
          </w:p>
        </w:tc>
        <w:tc>
          <w:tcPr>
            <w:tcW w:type="dxa" w:w="1800"/>
            <w:tcBorders>
              <w:top w:val="single" w:color="CCCCCC" w:sz="1"/>
              <w:left w:val="single" w:color="CCCCCC" w:sz="1"/>
              <w:bottom w:val="single" w:color="CCCCCC" w:sz="1"/>
              <w:right w:val="single" w:color="CCCCCC" w:sz="1"/>
            </w:tcBorders>
            <w:shd w:fill="1F7D8C" w:val="clear"/>
            <w:tcMar>
              <w:top w:type="dxa" w:w="80"/>
              <w:left w:type="dxa" w:w="80"/>
              <w:bottom w:type="dxa" w:w="80"/>
              <w:right w:type="dxa" w:w="80"/>
            </w:tcMar>
          </w:tcPr>
          <w:p>
            <w:pPr>
              <w:jc w:val="center"/>
            </w:pPr>
            <w:r>
              <w:rPr>
                <w:rFonts w:ascii="Arial" w:cs="Arial" w:eastAsia="Arial" w:hAnsi="Arial"/>
                <w:b/>
                <w:bCs/>
                <w:color w:val="FFFFFF"/>
                <w:sz w:val="13"/>
                <w:szCs w:val="13"/>
              </w:rPr>
              <w:t xml:space="preserve">Organisationally determined</w:t>
            </w:r>
          </w:p>
        </w:tc>
      </w:tr>
      <w:tr>
        <w:tc>
          <w:tcPr>
            <w:tcW w:type="dxa" w:w="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6"/>
                <w:szCs w:val="16"/>
              </w:rPr>
              <w:t xml:space="preserve">MRI-015</w:t>
            </w:r>
          </w:p>
        </w:tc>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ISMS budget review and approval for next period</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MD</w:t>
            </w:r>
          </w:p>
        </w:tc>
        <w:tc>
          <w:tcPr>
            <w:tcW w:type="dxa" w:w="2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Budget actuals vs. approved; proposed budget</w:t>
            </w:r>
          </w:p>
        </w:tc>
        <w:tc>
          <w:tcPr>
            <w:tcW w:type="dxa" w:w="1800"/>
            <w:tcBorders>
              <w:top w:val="single" w:color="CCCCCC" w:sz="1"/>
              <w:left w:val="single" w:color="CCCCCC" w:sz="1"/>
              <w:bottom w:val="single" w:color="CCCCCC" w:sz="1"/>
              <w:right w:val="single" w:color="CCCCCC" w:sz="1"/>
            </w:tcBorders>
            <w:shd w:fill="1F7D8C" w:val="clear"/>
            <w:tcMar>
              <w:top w:type="dxa" w:w="80"/>
              <w:left w:type="dxa" w:w="80"/>
              <w:bottom w:type="dxa" w:w="80"/>
              <w:right w:type="dxa" w:w="80"/>
            </w:tcMar>
          </w:tcPr>
          <w:p>
            <w:pPr>
              <w:jc w:val="center"/>
            </w:pPr>
            <w:r>
              <w:rPr>
                <w:rFonts w:ascii="Arial" w:cs="Arial" w:eastAsia="Arial" w:hAnsi="Arial"/>
                <w:b/>
                <w:bCs/>
                <w:color w:val="FFFFFF"/>
                <w:sz w:val="13"/>
                <w:szCs w:val="13"/>
              </w:rPr>
              <w:t xml:space="preserve">Organisationally determined</w:t>
            </w:r>
          </w:p>
        </w:tc>
      </w:tr>
    </w:tbl>
    <w:p>
      <w:pPr>
        <w:spacing w:after="120" w:before="120"/>
      </w:pPr>
    </w:p>
    <w:p>
      <w:pPr>
        <w:pStyle w:val="Heading2"/>
        <w:spacing w:after="80" w:before="240"/>
      </w:pPr>
      <w:r>
        <w:rPr>
          <w:rFonts w:ascii="Arial" w:cs="Arial" w:eastAsia="Arial" w:hAnsi="Arial"/>
          <w:b/>
          <w:bCs/>
          <w:color w:val="2E75B6"/>
          <w:sz w:val="26"/>
          <w:szCs w:val="26"/>
        </w:rPr>
        <w:t xml:space="preserve">5.3 Management Review Outputs</w:t>
      </w:r>
    </w:p>
    <w:p>
      <w:pPr>
        <w:spacing w:after="80" w:before="80"/>
        <w:jc w:val="left"/>
      </w:pPr>
      <w:r>
        <w:rPr>
          <w:rFonts w:ascii="Arial" w:cs="Arial" w:eastAsia="Arial" w:hAnsi="Arial"/>
          <w:b w:val="false"/>
          <w:bCs w:val="false"/>
          <w:color w:val="000000"/>
          <w:sz w:val="20"/>
          <w:szCs w:val="20"/>
        </w:rPr>
        <w:t xml:space="preserve">ISO 27001:2022 Clause 9.3 requires specific outputs from the management review. The following table documents the required outputs, who is responsible for recording and actioning them, and where they are retained:</w:t>
      </w:r>
    </w:p>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600"/>
        <w:gridCol w:w="3060"/>
        <w:gridCol w:w="1600"/>
      </w:tblGrid>
      <w:tr>
        <w:trPr>
          <w:tblHeader/>
        </w:trPr>
        <w:tc>
          <w:tcPr>
            <w:tcW w:type="dxa" w:w="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Ref</w:t>
            </w:r>
          </w:p>
        </w:tc>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Output</w:t>
            </w:r>
          </w:p>
        </w:tc>
        <w:tc>
          <w:tcPr>
            <w:tcW w:type="dxa" w:w="16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Owner</w:t>
            </w:r>
          </w:p>
        </w:tc>
        <w:tc>
          <w:tcPr>
            <w:tcW w:type="dxa" w:w="30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Retained In</w:t>
            </w:r>
          </w:p>
        </w:tc>
        <w:tc>
          <w:tcPr>
            <w:tcW w:type="dxa" w:w="16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Type</w:t>
            </w:r>
          </w:p>
        </w:tc>
      </w:tr>
      <w:tr>
        <w:tc>
          <w:tcPr>
            <w:tcW w:type="dxa" w:w="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6"/>
                <w:szCs w:val="16"/>
              </w:rPr>
              <w:t xml:space="preserve">MRO-001</w:t>
            </w:r>
          </w:p>
        </w:tc>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Decisions on continual improvement opportunities</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ISM / MD</w:t>
            </w:r>
          </w:p>
        </w:tc>
        <w:tc>
          <w:tcPr>
            <w:tcW w:type="dxa" w:w="30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ISMS-CI-001 (improvement register); ISMS-CAR-001</w:t>
            </w:r>
          </w:p>
        </w:tc>
        <w:tc>
          <w:tcPr>
            <w:tcW w:type="dxa" w:w="160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tcPr>
          <w:p>
            <w:pPr>
              <w:jc w:val="center"/>
            </w:pPr>
            <w:r>
              <w:rPr>
                <w:rFonts w:ascii="Arial" w:cs="Arial" w:eastAsia="Arial" w:hAnsi="Arial"/>
                <w:b/>
                <w:bCs/>
                <w:color w:val="FFFFFF"/>
                <w:sz w:val="12"/>
                <w:szCs w:val="12"/>
              </w:rPr>
              <w:t xml:space="preserve">9.3 Output requirement</w:t>
            </w:r>
          </w:p>
        </w:tc>
      </w:tr>
      <w:tr>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6"/>
                <w:szCs w:val="16"/>
              </w:rPr>
              <w:t xml:space="preserve">MRO-002</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Decisions on changes to the ISMS (scope, policy, risk appetite, controls)</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MD</w:t>
            </w:r>
          </w:p>
        </w:tc>
        <w:tc>
          <w:tcPr>
            <w:tcW w:type="dxa" w:w="30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ISMS-PLN-001 update; ISMS-CTX-001 update; change log (ISMS-OPS-001)</w:t>
            </w:r>
          </w:p>
        </w:tc>
        <w:tc>
          <w:tcPr>
            <w:tcW w:type="dxa" w:w="160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tcPr>
          <w:p>
            <w:pPr>
              <w:jc w:val="center"/>
            </w:pPr>
            <w:r>
              <w:rPr>
                <w:rFonts w:ascii="Arial" w:cs="Arial" w:eastAsia="Arial" w:hAnsi="Arial"/>
                <w:b/>
                <w:bCs/>
                <w:color w:val="FFFFFF"/>
                <w:sz w:val="12"/>
                <w:szCs w:val="12"/>
              </w:rPr>
              <w:t xml:space="preserve">9.3 Output requirement</w:t>
            </w:r>
          </w:p>
        </w:tc>
      </w:tr>
      <w:tr>
        <w:tc>
          <w:tcPr>
            <w:tcW w:type="dxa" w:w="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6"/>
                <w:szCs w:val="16"/>
              </w:rPr>
              <w:t xml:space="preserve">MRO-003</w:t>
            </w:r>
          </w:p>
        </w:tc>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Resource allocation decisions (budget, personnel, tooling)</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MD</w:t>
            </w:r>
          </w:p>
        </w:tc>
        <w:tc>
          <w:tcPr>
            <w:tcW w:type="dxa" w:w="30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Budget approval record; resource register update</w:t>
            </w:r>
          </w:p>
        </w:tc>
        <w:tc>
          <w:tcPr>
            <w:tcW w:type="dxa" w:w="160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tcPr>
          <w:p>
            <w:pPr>
              <w:jc w:val="center"/>
            </w:pPr>
            <w:r>
              <w:rPr>
                <w:rFonts w:ascii="Arial" w:cs="Arial" w:eastAsia="Arial" w:hAnsi="Arial"/>
                <w:b/>
                <w:bCs/>
                <w:color w:val="FFFFFF"/>
                <w:sz w:val="12"/>
                <w:szCs w:val="12"/>
              </w:rPr>
              <w:t xml:space="preserve">9.3 Output requirement</w:t>
            </w:r>
          </w:p>
        </w:tc>
      </w:tr>
      <w:tr>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6"/>
                <w:szCs w:val="16"/>
              </w:rPr>
              <w:t xml:space="preserve">MRO-004</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Action items with named owners and target dates</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ISM</w:t>
            </w:r>
          </w:p>
        </w:tc>
        <w:tc>
          <w:tcPr>
            <w:tcW w:type="dxa" w:w="30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Management review action tracker (appended to MR minutes)</w:t>
            </w:r>
          </w:p>
        </w:tc>
        <w:tc>
          <w:tcPr>
            <w:tcW w:type="dxa" w:w="160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tcPr>
          <w:p>
            <w:pPr>
              <w:jc w:val="center"/>
            </w:pPr>
            <w:r>
              <w:rPr>
                <w:rFonts w:ascii="Arial" w:cs="Arial" w:eastAsia="Arial" w:hAnsi="Arial"/>
                <w:b/>
                <w:bCs/>
                <w:color w:val="FFFFFF"/>
                <w:sz w:val="12"/>
                <w:szCs w:val="12"/>
              </w:rPr>
              <w:t xml:space="preserve">9.3 Output requirement</w:t>
            </w:r>
          </w:p>
        </w:tc>
      </w:tr>
      <w:tr>
        <w:tc>
          <w:tcPr>
            <w:tcW w:type="dxa" w:w="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6"/>
                <w:szCs w:val="16"/>
              </w:rPr>
              <w:t xml:space="preserve">MRO-005</w:t>
            </w:r>
          </w:p>
        </w:tc>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Updated ISMS security objectives (if revised)</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ISM / MD</w:t>
            </w:r>
          </w:p>
        </w:tc>
        <w:tc>
          <w:tcPr>
            <w:tcW w:type="dxa" w:w="30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ISMS-PLN-001 §5; ISMS-OBJ-001</w:t>
            </w:r>
          </w:p>
        </w:tc>
        <w:tc>
          <w:tcPr>
            <w:tcW w:type="dxa" w:w="1600"/>
            <w:tcBorders>
              <w:top w:val="single" w:color="CCCCCC" w:sz="1"/>
              <w:left w:val="single" w:color="CCCCCC" w:sz="1"/>
              <w:bottom w:val="single" w:color="CCCCCC" w:sz="1"/>
              <w:right w:val="single" w:color="CCCCCC" w:sz="1"/>
            </w:tcBorders>
            <w:shd w:fill="1F7D8C" w:val="clear"/>
            <w:tcMar>
              <w:top w:type="dxa" w:w="80"/>
              <w:left w:type="dxa" w:w="80"/>
              <w:bottom w:type="dxa" w:w="80"/>
              <w:right w:type="dxa" w:w="80"/>
            </w:tcMar>
          </w:tcPr>
          <w:p>
            <w:pPr>
              <w:jc w:val="center"/>
            </w:pPr>
            <w:r>
              <w:rPr>
                <w:rFonts w:ascii="Arial" w:cs="Arial" w:eastAsia="Arial" w:hAnsi="Arial"/>
                <w:b/>
                <w:bCs/>
                <w:color w:val="FFFFFF"/>
                <w:sz w:val="12"/>
                <w:szCs w:val="12"/>
              </w:rPr>
              <w:t xml:space="preserve">Organisationally determined</w:t>
            </w:r>
          </w:p>
        </w:tc>
      </w:tr>
      <w:tr>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6"/>
                <w:szCs w:val="16"/>
              </w:rPr>
              <w:t xml:space="preserve">MRO-006</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Management review minutes — published within 5 working days</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ISM</w:t>
            </w:r>
          </w:p>
        </w:tc>
        <w:tc>
          <w:tcPr>
            <w:tcW w:type="dxa" w:w="30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ISMS-MR-001 minutes (controlled document)</w:t>
            </w:r>
          </w:p>
        </w:tc>
        <w:tc>
          <w:tcPr>
            <w:tcW w:type="dxa" w:w="1600"/>
            <w:tcBorders>
              <w:top w:val="single" w:color="CCCCCC" w:sz="1"/>
              <w:left w:val="single" w:color="CCCCCC" w:sz="1"/>
              <w:bottom w:val="single" w:color="CCCCCC" w:sz="1"/>
              <w:right w:val="single" w:color="CCCCCC" w:sz="1"/>
            </w:tcBorders>
            <w:shd w:fill="1F7D8C" w:val="clear"/>
            <w:tcMar>
              <w:top w:type="dxa" w:w="80"/>
              <w:left w:type="dxa" w:w="80"/>
              <w:bottom w:type="dxa" w:w="80"/>
              <w:right w:type="dxa" w:w="80"/>
            </w:tcMar>
          </w:tcPr>
          <w:p>
            <w:pPr>
              <w:jc w:val="center"/>
            </w:pPr>
            <w:r>
              <w:rPr>
                <w:rFonts w:ascii="Arial" w:cs="Arial" w:eastAsia="Arial" w:hAnsi="Arial"/>
                <w:b/>
                <w:bCs/>
                <w:color w:val="FFFFFF"/>
                <w:sz w:val="12"/>
                <w:szCs w:val="12"/>
              </w:rPr>
              <w:t xml:space="preserve">Evidence of 9.3 compliance</w:t>
            </w:r>
          </w:p>
        </w:tc>
      </w:tr>
    </w:tbl>
    <w:p>
      <w:pPr>
        <w:spacing w:after="120" w:before="120"/>
      </w:pPr>
    </w:p>
    <w:p>
      <w:pPr>
        <w:pStyle w:val="Heading2"/>
        <w:spacing w:after="80" w:before="240"/>
      </w:pPr>
      <w:r>
        <w:rPr>
          <w:rFonts w:ascii="Arial" w:cs="Arial" w:eastAsia="Arial" w:hAnsi="Arial"/>
          <w:b/>
          <w:bCs/>
          <w:color w:val="2E75B6"/>
          <w:sz w:val="26"/>
          <w:szCs w:val="26"/>
        </w:rPr>
        <w:t xml:space="preserve">5.4 Management Review Schedule and Log</w:t>
      </w:r>
    </w:p>
    <w:p>
      <w:pPr>
        <w:spacing w:after="80" w:before="80"/>
        <w:jc w:val="left"/>
      </w:pPr>
      <w:r>
        <w:rPr>
          <w:rFonts w:ascii="Arial" w:cs="Arial" w:eastAsia="Arial" w:hAnsi="Arial"/>
          <w:b w:val="false"/>
          <w:bCs w:val="false"/>
          <w:color w:val="000000"/>
          <w:sz w:val="20"/>
          <w:szCs w:val="20"/>
        </w:rPr>
        <w:t xml:space="preserve">The following log records all completed and planned management reviews. Full minutes are retained in the document management system under reference ISMS-MR-001:</w:t>
      </w:r>
    </w:p>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1200"/>
        <w:gridCol w:w="1200"/>
        <w:gridCol w:w="1200"/>
        <w:gridCol w:w="1400"/>
        <w:gridCol w:w="1060"/>
        <w:gridCol w:w="1000"/>
      </w:tblGrid>
      <w:tr>
        <w:trPr>
          <w:tblHeader/>
        </w:trPr>
        <w:tc>
          <w:tcPr>
            <w:tcW w:type="dxa" w:w="1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Review ID</w:t>
            </w:r>
          </w:p>
        </w:tc>
        <w:tc>
          <w:tcPr>
            <w:tcW w:type="dxa" w:w="1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Type</w:t>
            </w:r>
          </w:p>
        </w:tc>
        <w:tc>
          <w:tcPr>
            <w:tcW w:type="dxa" w:w="1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Date</w:t>
            </w:r>
          </w:p>
        </w:tc>
        <w:tc>
          <w:tcPr>
            <w:tcW w:type="dxa" w:w="1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Chair</w:t>
            </w:r>
          </w:p>
        </w:tc>
        <w:tc>
          <w:tcPr>
            <w:tcW w:type="dxa" w:w="1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Attendees</w:t>
            </w:r>
          </w:p>
        </w:tc>
        <w:tc>
          <w:tcPr>
            <w:tcW w:type="dxa" w:w="1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Key Decisions / Actions</w:t>
            </w:r>
          </w:p>
        </w:tc>
        <w:tc>
          <w:tcPr>
            <w:tcW w:type="dxa" w:w="10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Minutes Ref</w:t>
            </w:r>
          </w:p>
        </w:tc>
        <w:tc>
          <w:tcPr>
            <w:tcW w:type="dxa" w:w="1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Status</w:t>
            </w:r>
          </w:p>
        </w:tc>
      </w:tr>
      <w:tr>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4"/>
                <w:szCs w:val="14"/>
              </w:rPr>
              <w:t xml:space="preserve">MR-2026-Q2</w:t>
            </w:r>
          </w:p>
        </w:tc>
        <w:tc>
          <w:tcPr>
            <w:tcW w:type="dxa" w:w="12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3"/>
                <w:szCs w:val="13"/>
              </w:rPr>
              <w:t xml:space="preserve">Full Annual</w:t>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Q2 2026 (scheduled)</w:t>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Managing Director</w:t>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MD, ISM, HoT</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[To be completed — initial ISMS establishment review]</w:t>
            </w:r>
          </w:p>
        </w:tc>
        <w:tc>
          <w:tcPr>
            <w:tcW w:type="dxa" w:w="10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ISMS-MR-001-2026</w:t>
            </w:r>
          </w:p>
        </w:tc>
        <w:tc>
          <w:tcPr>
            <w:tcW w:type="dxa" w:w="10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Scheduled</w:t>
            </w:r>
          </w:p>
        </w:tc>
      </w:tr>
      <w:tr>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E75B6"/>
                <w:sz w:val="14"/>
                <w:szCs w:val="14"/>
              </w:rPr>
              <w:t xml:space="preserve">MR-2026-Q3</w:t>
            </w:r>
          </w:p>
        </w:tc>
        <w:tc>
          <w:tcPr>
            <w:tcW w:type="dxa" w:w="1200"/>
            <w:tcBorders>
              <w:top w:val="single" w:color="CCCCCC" w:sz="1"/>
              <w:left w:val="single" w:color="CCCCCC" w:sz="1"/>
              <w:bottom w:val="single" w:color="CCCCCC" w:sz="1"/>
              <w:right w:val="single" w:color="CCCCCC" w:sz="1"/>
            </w:tcBorders>
            <w:shd w:fill="1F7D8C" w:val="clear"/>
            <w:tcMar>
              <w:top w:type="dxa" w:w="80"/>
              <w:left w:type="dxa" w:w="80"/>
              <w:bottom w:type="dxa" w:w="80"/>
              <w:right w:type="dxa" w:w="80"/>
            </w:tcMar>
            <w:vAlign w:val="center"/>
          </w:tcPr>
          <w:p>
            <w:pPr>
              <w:jc w:val="center"/>
            </w:pPr>
            <w:r>
              <w:rPr>
                <w:rFonts w:ascii="Arial" w:cs="Arial" w:eastAsia="Arial" w:hAnsi="Arial"/>
                <w:b/>
                <w:bCs/>
                <w:color w:val="FFFFFF"/>
                <w:sz w:val="13"/>
                <w:szCs w:val="13"/>
              </w:rPr>
              <w:t xml:space="preserve">Quarterly KPI</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Q3 2026</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Managing Director</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MD, ISM, HoT</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[Post-internal-audit; pre-certification KPI review]</w:t>
            </w:r>
          </w:p>
        </w:tc>
        <w:tc>
          <w:tcPr>
            <w:tcW w:type="dxa" w:w="10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ISMS-MR-002-Q3-2026</w:t>
            </w:r>
          </w:p>
        </w:tc>
        <w:tc>
          <w:tcPr>
            <w:tcW w:type="dxa" w:w="10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Planned</w:t>
            </w:r>
          </w:p>
        </w:tc>
      </w:tr>
      <w:tr>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4"/>
                <w:szCs w:val="14"/>
              </w:rPr>
              <w:t xml:space="preserve">MR-2026-Q4</w:t>
            </w:r>
          </w:p>
        </w:tc>
        <w:tc>
          <w:tcPr>
            <w:tcW w:type="dxa" w:w="1200"/>
            <w:tcBorders>
              <w:top w:val="single" w:color="CCCCCC" w:sz="1"/>
              <w:left w:val="single" w:color="CCCCCC" w:sz="1"/>
              <w:bottom w:val="single" w:color="CCCCCC" w:sz="1"/>
              <w:right w:val="single" w:color="CCCCCC" w:sz="1"/>
            </w:tcBorders>
            <w:shd w:fill="1F7D8C" w:val="clear"/>
            <w:tcMar>
              <w:top w:type="dxa" w:w="80"/>
              <w:left w:type="dxa" w:w="80"/>
              <w:bottom w:type="dxa" w:w="80"/>
              <w:right w:type="dxa" w:w="80"/>
            </w:tcMar>
            <w:vAlign w:val="center"/>
          </w:tcPr>
          <w:p>
            <w:pPr>
              <w:jc w:val="center"/>
            </w:pPr>
            <w:r>
              <w:rPr>
                <w:rFonts w:ascii="Arial" w:cs="Arial" w:eastAsia="Arial" w:hAnsi="Arial"/>
                <w:b/>
                <w:bCs/>
                <w:color w:val="FFFFFF"/>
                <w:sz w:val="13"/>
                <w:szCs w:val="13"/>
              </w:rPr>
              <w:t xml:space="preserve">Quarterly KPI</w:t>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Q4 2026</w:t>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Managing Director</w:t>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MD, ISM, HoT</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[Post-certification; surveillance preparation]</w:t>
            </w:r>
          </w:p>
        </w:tc>
        <w:tc>
          <w:tcPr>
            <w:tcW w:type="dxa" w:w="10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ISMS-MR-002-Q4-2026</w:t>
            </w:r>
          </w:p>
        </w:tc>
        <w:tc>
          <w:tcPr>
            <w:tcW w:type="dxa" w:w="10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Planned</w:t>
            </w:r>
          </w:p>
        </w:tc>
      </w:tr>
    </w:tbl>
    <w:p>
      <w:pPr>
        <w:spacing w:after="60" w:before="60"/>
      </w:pPr>
    </w:p>
    <w:p>
      <w:pPr>
        <w:spacing w:after="80" w:before="80"/>
        <w:jc w:val="left"/>
      </w:pPr>
      <w:r>
        <w:rPr>
          <w:rFonts w:ascii="Arial" w:cs="Arial" w:eastAsia="Arial" w:hAnsi="Arial"/>
          <w:b w:val="false"/>
          <w:bCs w:val="false"/>
          <w:color w:val="888888"/>
          <w:sz w:val="17"/>
          <w:szCs w:val="17"/>
        </w:rPr>
        <w:t xml:space="preserve">Quarterly KPI reviews are recorded via ISMS-MR-002 (KPI metrics report and briefing notes) rather than formal minutes. The full annual management review is recorded via ISMS-MR-001 (formal minutes with attendance record, agenda, decisions, and action tracker).</w:t>
      </w:r>
    </w:p>
    <w:p>
      <w:pPr>
        <w:spacing w:after="120" w:before="120"/>
      </w:pPr>
    </w:p>
    <w:p>
      <w:r>
        <w:br w:type="page"/>
      </w:r>
    </w:p>
    <w:p>
      <w:pPr>
        <w:pStyle w:val="Heading1"/>
        <w:pBdr>
          <w:bottom w:val="single" w:color="2E75B6" w:sz="8" w:space="4"/>
        </w:pBdr>
        <w:spacing w:after="120" w:before="360"/>
      </w:pPr>
      <w:r>
        <w:rPr>
          <w:rFonts w:ascii="Arial" w:cs="Arial" w:eastAsia="Arial" w:hAnsi="Arial"/>
          <w:b/>
          <w:bCs/>
          <w:color w:val="1F3864"/>
          <w:sz w:val="34"/>
          <w:szCs w:val="34"/>
        </w:rPr>
        <w:t xml:space="preserve">6. Linkage to Other ISMS Documents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000"/>
        <w:gridCol w:w="3260"/>
        <w:gridCol w:w="4000"/>
      </w:tblGrid>
      <w:tr>
        <w:trPr>
          <w:tblHeader/>
        </w:trPr>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Document</w:t>
            </w:r>
          </w:p>
        </w:tc>
        <w:tc>
          <w:tcPr>
            <w:tcW w:type="dxa" w:w="32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Title</w:t>
            </w:r>
          </w:p>
        </w:tc>
        <w:tc>
          <w:tcPr>
            <w:tcW w:type="dxa" w:w="4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Relationship to Clause 9</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ISMS-MR-001</w:t>
            </w:r>
          </w:p>
        </w:tc>
        <w:tc>
          <w:tcPr>
            <w:tcW w:type="dxa" w:w="3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Management Review Minutes Template</w:t>
            </w:r>
          </w:p>
        </w:tc>
        <w:tc>
          <w:tcPr>
            <w:tcW w:type="dxa" w:w="4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Primary output of Clause 9.3. Each completed review produces an instance of this document.</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ISMS-MR-002</w:t>
            </w:r>
          </w:p>
        </w:tc>
        <w:tc>
          <w:tcPr>
            <w:tcW w:type="dxa" w:w="32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ISMS KPI Metrics Report Template</w:t>
            </w:r>
          </w:p>
        </w:tc>
        <w:tc>
          <w:tcPr>
            <w:tcW w:type="dxa" w:w="4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Monthly and quarterly output of Clause 9.1 monitoring. Mandatory input to 9.3 management review.</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ISMS-IAP-001</w:t>
            </w:r>
          </w:p>
        </w:tc>
        <w:tc>
          <w:tcPr>
            <w:tcW w:type="dxa" w:w="3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Internal Audit Programme</w:t>
            </w:r>
          </w:p>
        </w:tc>
        <w:tc>
          <w:tcPr>
            <w:tcW w:type="dxa" w:w="4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Operational document for 9.2. Audit reports produced under this programme are mandatory inputs to 9.3.</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ISMS-PLN-001</w:t>
            </w:r>
          </w:p>
        </w:tc>
        <w:tc>
          <w:tcPr>
            <w:tcW w:type="dxa" w:w="32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Planning (Clause 6)</w:t>
            </w:r>
          </w:p>
        </w:tc>
        <w:tc>
          <w:tcPr>
            <w:tcW w:type="dxa" w:w="4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Risk assessment results (MRI-009) and objective progress (MRI-005) are mandatory 9.3 inputs. Management review outputs update the risk register and objectives.</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ISMS-OPS-001</w:t>
            </w:r>
          </w:p>
        </w:tc>
        <w:tc>
          <w:tcPr>
            <w:tcW w:type="dxa" w:w="3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Operation (Clause 8)</w:t>
            </w:r>
          </w:p>
        </w:tc>
        <w:tc>
          <w:tcPr>
            <w:tcW w:type="dxa" w:w="4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Treatment tracker (8.3) and operational process evidence (8.1) are sources for monitoring results input to 9.3.</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ISMS-CAR-001</w:t>
            </w:r>
          </w:p>
        </w:tc>
        <w:tc>
          <w:tcPr>
            <w:tcW w:type="dxa" w:w="32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Corrective Action</w:t>
            </w:r>
          </w:p>
        </w:tc>
        <w:tc>
          <w:tcPr>
            <w:tcW w:type="dxa" w:w="4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Receives NCs from 9.2 internal audit. CA status is mandatory 9.3 input (MRI-006). KPI breaches trigger CA entries.</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ISMS-CI-001</w:t>
            </w:r>
          </w:p>
        </w:tc>
        <w:tc>
          <w:tcPr>
            <w:tcW w:type="dxa" w:w="3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Continual Improvement Register</w:t>
            </w:r>
          </w:p>
        </w:tc>
        <w:tc>
          <w:tcPr>
            <w:tcW w:type="dxa" w:w="4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Receives improvement decisions from 9.3 management review outputs (MRO-001).</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ISMS-LDR-001</w:t>
            </w:r>
          </w:p>
        </w:tc>
        <w:tc>
          <w:tcPr>
            <w:tcW w:type="dxa" w:w="32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Leadership (Clause 5)</w:t>
            </w:r>
          </w:p>
        </w:tc>
        <w:tc>
          <w:tcPr>
            <w:tcW w:type="dxa" w:w="4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MD chairs 9.3 management review per Clause 5.1(e); commitment demonstrated through review conduct.</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ISMS-SPT-001</w:t>
            </w:r>
          </w:p>
        </w:tc>
        <w:tc>
          <w:tcPr>
            <w:tcW w:type="dxa" w:w="3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Support (Clause 7)</w:t>
            </w:r>
          </w:p>
        </w:tc>
        <w:tc>
          <w:tcPr>
            <w:tcW w:type="dxa" w:w="4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Awareness effectiveness metrics (KPI-013–015) are 9.1 outputs. Resource adequacy (7.1) is 9.3 input (MRI-011).</w:t>
            </w:r>
          </w:p>
        </w:tc>
      </w:tr>
    </w:tbl>
    <w:p>
      <w:pPr>
        <w:spacing w:after="120" w:before="120"/>
      </w:pPr>
    </w:p>
    <w:p>
      <w:pPr>
        <w:pStyle w:val="Heading1"/>
        <w:pBdr>
          <w:bottom w:val="single" w:color="2E75B6" w:sz="8" w:space="4"/>
        </w:pBdr>
        <w:spacing w:after="120" w:before="360"/>
      </w:pPr>
      <w:r>
        <w:rPr>
          <w:rFonts w:ascii="Arial" w:cs="Arial" w:eastAsia="Arial" w:hAnsi="Arial"/>
          <w:b/>
          <w:bCs/>
          <w:color w:val="1F3864"/>
          <w:sz w:val="34"/>
          <w:szCs w:val="34"/>
        </w:rPr>
        <w:t xml:space="preserve">7. Review and Maintenance</w:t>
      </w:r>
    </w:p>
    <w:p>
      <w:pPr>
        <w:spacing w:after="80" w:before="80"/>
        <w:jc w:val="left"/>
      </w:pPr>
      <w:r>
        <w:rPr>
          <w:rFonts w:ascii="Arial" w:cs="Arial" w:eastAsia="Arial" w:hAnsi="Arial"/>
          <w:b w:val="false"/>
          <w:bCs w:val="false"/>
          <w:color w:val="000000"/>
          <w:sz w:val="20"/>
          <w:szCs w:val="20"/>
        </w:rPr>
        <w:t xml:space="preserve">This document shall be reviewed and updated under the following conditions:</w:t>
      </w:r>
    </w:p>
    <w:p>
      <w:pPr>
        <w:spacing w:after="60" w:before="60"/>
      </w:pPr>
    </w:p>
    <w:p>
      <w:pPr>
        <w:pStyle w:val="ListParagraph"/>
        <w:numPr>
          <w:ilvl w:val="0"/>
          <w:numId w:val="2"/>
        </w:numPr>
        <w:spacing w:after="40" w:before="40"/>
      </w:pPr>
      <w:r>
        <w:rPr>
          <w:rFonts w:ascii="Arial" w:cs="Arial" w:eastAsia="Arial" w:hAnsi="Arial"/>
          <w:sz w:val="20"/>
          <w:szCs w:val="20"/>
        </w:rPr>
        <w:t xml:space="preserve">Annually as part of the ISMS Management Review cycle (mandatory trigger)</w:t>
      </w:r>
    </w:p>
    <w:p>
      <w:pPr>
        <w:pStyle w:val="ListParagraph"/>
        <w:numPr>
          <w:ilvl w:val="0"/>
          <w:numId w:val="2"/>
        </w:numPr>
        <w:spacing w:after="40" w:before="40"/>
      </w:pPr>
      <w:r>
        <w:rPr>
          <w:rFonts w:ascii="Arial" w:cs="Arial" w:eastAsia="Arial" w:hAnsi="Arial"/>
          <w:sz w:val="20"/>
          <w:szCs w:val="20"/>
        </w:rPr>
        <w:t xml:space="preserve">When KPI targets are revised following a management review decision (Section 3.2 updated)</w:t>
      </w:r>
    </w:p>
    <w:p>
      <w:pPr>
        <w:pStyle w:val="ListParagraph"/>
        <w:numPr>
          <w:ilvl w:val="0"/>
          <w:numId w:val="2"/>
        </w:numPr>
        <w:spacing w:after="40" w:before="40"/>
      </w:pPr>
      <w:r>
        <w:rPr>
          <w:rFonts w:ascii="Arial" w:cs="Arial" w:eastAsia="Arial" w:hAnsi="Arial"/>
          <w:sz w:val="20"/>
          <w:szCs w:val="20"/>
        </w:rPr>
        <w:t xml:space="preserve">When a new KPI is added or an existing KPI is retired or its measurement method changes (Section 3.2 updated)</w:t>
      </w:r>
    </w:p>
    <w:p>
      <w:pPr>
        <w:pStyle w:val="ListParagraph"/>
        <w:numPr>
          <w:ilvl w:val="0"/>
          <w:numId w:val="2"/>
        </w:numPr>
        <w:spacing w:after="40" w:before="40"/>
      </w:pPr>
      <w:r>
        <w:rPr>
          <w:rFonts w:ascii="Arial" w:cs="Arial" w:eastAsia="Arial" w:hAnsi="Arial"/>
          <w:sz w:val="20"/>
          <w:szCs w:val="20"/>
        </w:rPr>
        <w:t xml:space="preserve">Following completion of an internal audit (Section 4.8 — audit results log populated)</w:t>
      </w:r>
    </w:p>
    <w:p>
      <w:pPr>
        <w:pStyle w:val="ListParagraph"/>
        <w:numPr>
          <w:ilvl w:val="0"/>
          <w:numId w:val="2"/>
        </w:numPr>
        <w:spacing w:after="40" w:before="40"/>
      </w:pPr>
      <w:r>
        <w:rPr>
          <w:rFonts w:ascii="Arial" w:cs="Arial" w:eastAsia="Arial" w:hAnsi="Arial"/>
          <w:sz w:val="20"/>
          <w:szCs w:val="20"/>
        </w:rPr>
        <w:t xml:space="preserve">Following each management review (Section 5.4 — review log populated)</w:t>
      </w:r>
    </w:p>
    <w:p>
      <w:pPr>
        <w:pStyle w:val="ListParagraph"/>
        <w:numPr>
          <w:ilvl w:val="0"/>
          <w:numId w:val="2"/>
        </w:numPr>
        <w:spacing w:after="40" w:before="40"/>
      </w:pPr>
      <w:r>
        <w:rPr>
          <w:rFonts w:ascii="Arial" w:cs="Arial" w:eastAsia="Arial" w:hAnsi="Arial"/>
          <w:sz w:val="20"/>
          <w:szCs w:val="20"/>
        </w:rPr>
        <w:t xml:space="preserve">When the internal audit programme schedule changes (Section 4.7 updated)</w:t>
      </w:r>
    </w:p>
    <w:p>
      <w:pPr>
        <w:pStyle w:val="ListParagraph"/>
        <w:numPr>
          <w:ilvl w:val="0"/>
          <w:numId w:val="2"/>
        </w:numPr>
        <w:spacing w:after="40" w:before="40"/>
      </w:pPr>
      <w:r>
        <w:rPr>
          <w:rFonts w:ascii="Arial" w:cs="Arial" w:eastAsia="Arial" w:hAnsi="Arial"/>
          <w:sz w:val="20"/>
          <w:szCs w:val="20"/>
        </w:rPr>
        <w:t xml:space="preserve">At the discretion of the Information Security Manager</w:t>
      </w:r>
    </w:p>
    <w:p>
      <w:pPr>
        <w:spacing w:after="60" w:before="60"/>
      </w:pPr>
    </w:p>
    <w:p>
      <w:pPr>
        <w:spacing w:after="80" w:before="80"/>
        <w:jc w:val="left"/>
      </w:pPr>
      <w:r>
        <w:rPr>
          <w:rFonts w:ascii="Arial" w:cs="Arial" w:eastAsia="Arial" w:hAnsi="Arial"/>
          <w:b w:val="false"/>
          <w:bCs w:val="false"/>
          <w:color w:val="000000"/>
          <w:sz w:val="20"/>
          <w:szCs w:val="20"/>
        </w:rPr>
        <w:t xml:space="preserve">Sections 3.2 (KPI Current values and Trend), 4.7 (audit schedule), 4.8 (audit results log), and 5.4 (management review log) are living records that are updated on each applicable event without requiring full document re-approval. All other changes require ISM review and MD sign-off.</w:t>
      </w:r>
    </w:p>
    <w:p>
      <w:pPr>
        <w:spacing w:after="120" w:before="120"/>
      </w:pPr>
    </w:p>
    <w:p>
      <w:pPr>
        <w:pStyle w:val="Heading1"/>
        <w:pBdr>
          <w:bottom w:val="single" w:color="2E75B6" w:sz="8" w:space="4"/>
        </w:pBdr>
        <w:spacing w:after="120" w:before="360"/>
      </w:pPr>
      <w:r>
        <w:rPr>
          <w:rFonts w:ascii="Arial" w:cs="Arial" w:eastAsia="Arial" w:hAnsi="Arial"/>
          <w:b/>
          <w:bCs/>
          <w:color w:val="1F3864"/>
          <w:sz w:val="34"/>
          <w:szCs w:val="34"/>
        </w:rPr>
        <w:t xml:space="preserve">8. References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400"/>
        <w:gridCol w:w="6860"/>
      </w:tblGrid>
      <w:tr>
        <w:trPr>
          <w:tblHeader/>
        </w:trPr>
        <w:tc>
          <w:tcPr>
            <w:tcW w:type="dxa" w:w="2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Reference</w:t>
            </w:r>
          </w:p>
        </w:tc>
        <w:tc>
          <w:tcPr>
            <w:tcW w:type="dxa" w:w="68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Document / Standard</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ISO/IEC 27001:2022</w:t>
            </w:r>
          </w:p>
        </w:tc>
        <w:tc>
          <w:tcPr>
            <w:tcW w:type="dxa" w:w="6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Clauses 9.1 Monitoring, Measurement, Analysis and Evaluation; 9.2 Internal Audit; 9.3 Management Review.</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ISO 19011:2018</w:t>
            </w:r>
          </w:p>
        </w:tc>
        <w:tc>
          <w:tcPr>
            <w:tcW w:type="dxa" w:w="6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Guidelines for auditing management systems — provides guidance on audit principles, programme management, and competence applicable to internal audit.</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ISMS-PLN-001</w:t>
            </w:r>
          </w:p>
        </w:tc>
        <w:tc>
          <w:tcPr>
            <w:tcW w:type="dxa" w:w="6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Planning document — risk assessment and objectives are mandatory management review inputs.</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ISMS-OPS-001</w:t>
            </w:r>
          </w:p>
        </w:tc>
        <w:tc>
          <w:tcPr>
            <w:tcW w:type="dxa" w:w="6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Operation document — operational evidence and treatment tracker are monitoring data sources.</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ISMS-CAR-001</w:t>
            </w:r>
          </w:p>
        </w:tc>
        <w:tc>
          <w:tcPr>
            <w:tcW w:type="dxa" w:w="6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Corrective Action and Nonconformity — receives audit NCs and KPI-breach corrective actions.</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ISMS-MR-001</w:t>
            </w:r>
          </w:p>
        </w:tc>
        <w:tc>
          <w:tcPr>
            <w:tcW w:type="dxa" w:w="6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Management Review Minutes Template — evidence document for Clause 9.3 compliance.</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ISMS-MR-002</w:t>
            </w:r>
          </w:p>
        </w:tc>
        <w:tc>
          <w:tcPr>
            <w:tcW w:type="dxa" w:w="6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ISMS KPI Metrics Report Template — monthly/quarterly evidence document for Clause 9.1 compliance.</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ISMS-IAP-001</w:t>
            </w:r>
          </w:p>
        </w:tc>
        <w:tc>
          <w:tcPr>
            <w:tcW w:type="dxa" w:w="6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Internal Audit Programme — operational implementation of Clause 9.2.</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ISMS-LDR-001</w:t>
            </w:r>
          </w:p>
        </w:tc>
        <w:tc>
          <w:tcPr>
            <w:tcW w:type="dxa" w:w="6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Leadership, Policy and Roles — MD accountability for management review conduct.</w:t>
            </w:r>
          </w:p>
        </w:tc>
      </w:tr>
    </w:tbl>
    <w:p>
      <w:pPr>
        <w:spacing w:after="0" w:before="240"/>
      </w:pPr>
    </w:p>
    <w:p>
      <w:pPr>
        <w:spacing w:after="0" w:before="240"/>
      </w:pPr>
      <w:r>
        <w:rPr>
          <w:rFonts w:ascii="Arial" w:cs="Arial" w:eastAsia="Arial" w:hAnsi="Arial"/>
          <w:color w:val="AAAAAA"/>
          <w:sz w:val="16"/>
          <w:szCs w:val="16"/>
        </w:rPr>
        <w:t xml:space="preserve">END OF DOCUMENT — ISMS-PEV-001 v1.0</w:t>
      </w:r>
    </w:p>
    <w:sectPr>
      <w:headerReference w:type="default" r:id="rId7"/>
      <w:footerReference w:type="default" r:id="rId8"/>
      <w:pgSz w:w="11906" w:h="16838" w:orient="portrait"/>
      <w:pgMar w:top="1440" w:right="1134" w:bottom="144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center" w:pos="4680"/>
        <w:tab w:val="right" w:pos="9026"/>
      </w:tabs>
      <w:spacing w:before="120"/>
    </w:pPr>
    <w:r>
      <w:rPr>
        <w:rFonts w:ascii="Arial" w:cs="Arial" w:eastAsia="Arial" w:hAnsi="Arial"/>
        <w:b/>
        <w:bCs/>
        <w:color w:val="2E75B6"/>
        <w:sz w:val="16"/>
        <w:szCs w:val="16"/>
      </w:rPr>
      <w:t xml:space="preserve">INTERNAL</w:t>
    </w:r>
    <w:r>
      <w:rPr>
        <w:rFonts w:ascii="Arial" w:cs="Arial" w:eastAsia="Arial" w:hAnsi="Arial"/>
        <w:color w:val="888888"/>
        <w:sz w:val="16"/>
        <w:szCs w:val="16"/>
      </w:rPr>
      <w:t xml:space="preserve">	Page </w:t>
    </w:r>
    <w:fldSimple w:instr="PAGE">
      <w:r>
        <w:rPr>
          <w:rFonts w:ascii="Arial" w:cs="Arial" w:eastAsia="Arial" w:hAnsi="Arial"/>
          <w:color w:val="888888"/>
          <w:sz w:val="16"/>
          <w:szCs w:val="16"/>
        </w:rPr>
      </w:r>
    </w:fldSimple>
    <w:r>
      <w:rPr>
        <w:rFonts w:ascii="Arial" w:cs="Arial" w:eastAsia="Arial" w:hAnsi="Arial"/>
        <w:color w:val="888888"/>
        <w:sz w:val="16"/>
        <w:szCs w:val="16"/>
      </w:rPr>
      <w:t xml:space="preserve">	02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spacing w:after="120"/>
    </w:pPr>
    <w:r>
      <w:rPr>
        <w:rFonts w:ascii="Arial" w:cs="Arial" w:eastAsia="Arial" w:hAnsi="Arial"/>
        <w:b/>
        <w:bCs/>
        <w:color w:val="1F3864"/>
        <w:sz w:val="18"/>
        <w:szCs w:val="18"/>
      </w:rPr>
      <w:t xml:space="preserve">Apex Managed Services Ltd — ISMS Performance Evaluation: Clause 9</w:t>
    </w:r>
    <w:r>
      <w:rPr>
        <w:rFonts w:ascii="Arial" w:cs="Arial" w:eastAsia="Arial" w:hAnsi="Arial"/>
        <w:color w:val="888888"/>
        <w:sz w:val="16"/>
        <w:szCs w:val="16"/>
      </w:rPr>
      <w:t xml:space="preserve">	ISMS-PEV-001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4"/>
      <w:szCs w:val="34"/>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6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2026-04-02T20:17:09.450Z</dcterms:created>
  <dcterms:modified xsi:type="dcterms:W3CDTF">2026-04-02T20:17:09.451Z</dcterms:modified>
</cp:coreProperties>
</file>

<file path=docProps/custom.xml><?xml version="1.0" encoding="utf-8"?>
<Properties xmlns="http://schemas.openxmlformats.org/officeDocument/2006/custom-properties" xmlns:vt="http://schemas.openxmlformats.org/officeDocument/2006/docPropsVTypes"/>
</file>