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pBdr>
          <w:bottom w:val="single" w:color="2E75B6" w:sz="18" w:space="4"/>
        </w:pBdr>
        <w:spacing w:after="240" w:before="0"/>
        <w:jc w:val="center"/>
      </w:pPr>
      <w:r>
        <w:rPr>
          <w:rFonts w:ascii="Arial" w:cs="Arial" w:eastAsia="Arial" w:hAnsi="Arial"/>
          <w:b/>
          <w:bCs/>
          <w:color w:val="1F3864"/>
          <w:sz w:val="52"/>
          <w:szCs w:val="52"/>
        </w:rPr>
        <w:t xml:space="preserve">Apex Managed Services Ltd</w:t>
      </w:r>
    </w:p>
    <w:p>
      <w:pPr>
        <w:spacing w:after="120" w:before="240"/>
        <w:jc w:val="center"/>
      </w:pPr>
      <w:r>
        <w:rPr>
          <w:rFonts w:ascii="Arial" w:cs="Arial" w:eastAsia="Arial" w:hAnsi="Arial"/>
          <w:color w:val="404040"/>
          <w:sz w:val="32"/>
          <w:szCs w:val="32"/>
        </w:rPr>
        <w:t xml:space="preserve">Information Security Management System</w:t>
      </w:r>
    </w:p>
    <w:p>
      <w:pPr>
        <w:spacing w:after="120" w:before="0"/>
        <w:jc w:val="center"/>
      </w:pPr>
      <w:r>
        <w:rPr>
          <w:rFonts w:ascii="Arial" w:cs="Arial" w:eastAsia="Arial" w:hAnsi="Arial"/>
          <w:b/>
          <w:bCs/>
          <w:color w:val="2E75B6"/>
          <w:sz w:val="42"/>
          <w:szCs w:val="42"/>
        </w:rPr>
        <w:t xml:space="preserve">Planning</w:t>
      </w:r>
    </w:p>
    <w:p>
      <w:pPr>
        <w:spacing w:after="240" w:before="0"/>
        <w:jc w:val="center"/>
      </w:pPr>
      <w:r>
        <w:rPr>
          <w:rFonts w:ascii="Arial" w:cs="Arial" w:eastAsia="Arial" w:hAnsi="Arial"/>
          <w:color w:val="404040"/>
          <w:sz w:val="24"/>
          <w:szCs w:val="24"/>
        </w:rPr>
        <w:t xml:space="preserve">Risk Assessment, Risk Treatment, Security Objectives &amp; Change Planning</w:t>
      </w:r>
    </w:p>
    <w:p>
      <w:pPr>
        <w:spacing w:after="120" w:before="0"/>
        <w:jc w:val="center"/>
      </w:pPr>
      <w:r>
        <w:rPr>
          <w:rFonts w:ascii="Arial" w:cs="Arial" w:eastAsia="Arial" w:hAnsi="Arial"/>
          <w:color w:val="404040"/>
          <w:sz w:val="22"/>
          <w:szCs w:val="22"/>
        </w:rPr>
        <w:t xml:space="preserve">ISO/IEC 27001:2022 — Clauses 6.1.1, 6.1.2, 6.1.3, 6.2, 6.3</w:t>
      </w:r>
    </w:p>
    <w:p>
      <w:pPr>
        <w:spacing w:after="80" w:before="60"/>
        <w:jc w:val="center"/>
      </w:pPr>
      <w:r>
        <w:rPr>
          <w:rFonts w:ascii="Arial" w:cs="Arial" w:eastAsia="Arial" w:hAnsi="Arial"/>
          <w:color w:val="888888"/>
          <w:sz w:val="20"/>
          <w:szCs w:val="20"/>
        </w:rPr>
        <w:t xml:space="preserve">ISMS-PLN-001  |  Version 1.0  |  02 April 2026</w:t>
      </w:r>
    </w:p>
    <w:p>
      <w:pPr>
        <w:spacing w:after="120" w:before="0"/>
        <w:jc w:val="center"/>
      </w:pPr>
      <w:r>
        <w:rPr>
          <w:rFonts w:ascii="Arial" w:cs="Arial" w:eastAsia="Arial" w:hAnsi="Arial"/>
          <w:b/>
          <w:bCs/>
          <w:color w:val="C00000"/>
          <w:sz w:val="24"/>
          <w:szCs w:val="24"/>
        </w:rPr>
        <w:t xml:space="preserve">CLASSIFICATION: CONFIDENTIAL</w:t>
      </w:r>
    </w:p>
    <w:p>
      <w:pPr>
        <w:spacing w:after="0" w:before="0"/>
        <w:jc w:val="center"/>
      </w:pPr>
      <w:r>
        <w:rPr>
          <w:rFonts w:ascii="Arial" w:cs="Arial" w:eastAsia="Arial" w:hAnsi="Arial"/>
          <w:color w:val="888888"/>
          <w:sz w:val="18"/>
          <w:szCs w:val="18"/>
        </w:rPr>
        <w:t xml:space="preserve">This document contains sensitive risk and vulnerability information. Access is restricted to authorised ISMS personnel.</w:t>
      </w: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Document Control</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3860"/>
        <w:gridCol w:w="1800"/>
        <w:gridCol w:w="1200"/>
      </w:tblGrid>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Reference</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ISMS-PLN-001</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Version</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Title</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Planning — Risk Assessment, Treatment, Objectives and Change</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 April 2026</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Organisation</w:t>
            </w:r>
          </w:p>
        </w:tc>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Apex Managed Services Ltd</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Classification</w:t>
            </w:r>
          </w:p>
        </w:tc>
        <w:tc>
          <w:tcPr>
            <w:tcW w:type="dxa" w:w="120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CONFIDENTIAL</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Owner</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Information Security Manager</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Review Frequency</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Annual + triggered</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ISO 27001:2022 Clauses</w:t>
            </w:r>
          </w:p>
        </w:tc>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6.1.1, 6.1.2, 6.1.3, 6.2, 6.3</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12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Approved</w:t>
            </w:r>
          </w:p>
        </w:tc>
      </w:tr>
    </w:tbl>
    <w:p>
      <w:pPr>
        <w:spacing w:after="120" w:before="120"/>
      </w:pPr>
    </w:p>
    <w:p>
      <w:pPr>
        <w:pStyle w:val="Heading2"/>
        <w:spacing w:after="80" w:before="240"/>
      </w:pPr>
      <w:r>
        <w:rPr>
          <w:rFonts w:ascii="Arial" w:cs="Arial" w:eastAsia="Arial" w:hAnsi="Arial"/>
          <w:b/>
          <w:bCs/>
          <w:color w:val="2E75B6"/>
          <w:sz w:val="26"/>
          <w:szCs w:val="26"/>
        </w:rPr>
        <w:t xml:space="preserve">Document Approval</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260"/>
      </w:tblGrid>
      <w:tr>
        <w:trPr>
          <w:tblHeader/>
        </w:trP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2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Name</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2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Signature / Approval</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Prepared By (ISM)</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Reviewed By (Technical)</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Risk Owner Acceptance (MD)</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Approved By (Top Management)</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120" w:before="120"/>
      </w:pPr>
    </w:p>
    <w:p>
      <w:pPr>
        <w:pStyle w:val="Heading2"/>
        <w:spacing w:after="80" w:before="240"/>
      </w:pPr>
      <w:r>
        <w:rPr>
          <w:rFonts w:ascii="Arial" w:cs="Arial" w:eastAsia="Arial" w:hAnsi="Arial"/>
          <w:b/>
          <w:bCs/>
          <w:color w:val="2E75B6"/>
          <w:sz w:val="26"/>
          <w:szCs w:val="26"/>
        </w:rPr>
        <w:t xml:space="preserve">Version History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260"/>
        <w:gridCol w:w="2300"/>
      </w:tblGrid>
      <w:tr>
        <w:trPr>
          <w:tblHeader/>
        </w:trPr>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4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Change Description</w:t>
            </w:r>
          </w:p>
        </w:tc>
        <w:tc>
          <w:tcPr>
            <w:tcW w:type="dxa" w:w="23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Author</w:t>
            </w:r>
          </w:p>
        </w:tc>
      </w:tr>
      <w:tr>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 April 2026</w:t>
            </w:r>
          </w:p>
        </w:tc>
        <w:tc>
          <w:tcPr>
            <w:tcW w:type="dxa" w:w="4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Initial release. Risk assessment methodology, risk register (15 risks), treatment plan, SoA control mapping framework, security objectives, and change planning procedure.</w:t>
            </w:r>
          </w:p>
        </w:tc>
        <w:tc>
          <w:tcPr>
            <w:tcW w:type="dxa" w:w="2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Information Security Manager</w:t>
            </w:r>
          </w:p>
        </w:tc>
      </w:tr>
    </w:tbl>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Contents</w:t>
      </w:r>
    </w:p>
    <w:p>
      <w:pPr>
        <w:spacing w:after="80" w:before="80"/>
        <w:jc w:val="left"/>
      </w:pPr>
      <w:r>
        <w:rPr>
          <w:rFonts w:ascii="Arial" w:cs="Arial" w:eastAsia="Arial" w:hAnsi="Arial"/>
          <w:b w:val="false"/>
          <w:bCs w:val="false"/>
          <w:color w:val="000000"/>
          <w:sz w:val="20"/>
          <w:szCs w:val="20"/>
        </w:rPr>
        <w:t xml:space="preserve">1.  Purpose</w:t>
      </w:r>
    </w:p>
    <w:p>
      <w:pPr>
        <w:spacing w:after="80" w:before="80"/>
        <w:jc w:val="left"/>
      </w:pPr>
      <w:r>
        <w:rPr>
          <w:rFonts w:ascii="Arial" w:cs="Arial" w:eastAsia="Arial" w:hAnsi="Arial"/>
          <w:b w:val="false"/>
          <w:bCs w:val="false"/>
          <w:color w:val="000000"/>
          <w:sz w:val="20"/>
          <w:szCs w:val="20"/>
        </w:rPr>
        <w:t xml:space="preserve">2.  Clause 6.1.1 — Risks and Opportunities: General</w:t>
      </w:r>
    </w:p>
    <w:p>
      <w:pPr>
        <w:spacing w:after="80" w:before="80"/>
        <w:jc w:val="left"/>
      </w:pPr>
      <w:r>
        <w:rPr>
          <w:rFonts w:ascii="Arial" w:cs="Arial" w:eastAsia="Arial" w:hAnsi="Arial"/>
          <w:b w:val="false"/>
          <w:bCs w:val="false"/>
          <w:color w:val="000000"/>
          <w:sz w:val="20"/>
          <w:szCs w:val="20"/>
        </w:rPr>
        <w:t xml:space="preserve">    2.1  Sources of Risks and Opportunities</w:t>
      </w:r>
    </w:p>
    <w:p>
      <w:pPr>
        <w:spacing w:after="80" w:before="80"/>
        <w:jc w:val="left"/>
      </w:pPr>
      <w:r>
        <w:rPr>
          <w:rFonts w:ascii="Arial" w:cs="Arial" w:eastAsia="Arial" w:hAnsi="Arial"/>
          <w:b w:val="false"/>
          <w:bCs w:val="false"/>
          <w:color w:val="000000"/>
          <w:sz w:val="20"/>
          <w:szCs w:val="20"/>
        </w:rPr>
        <w:t xml:space="preserve">    2.2  Integration into ISMS Processes</w:t>
      </w:r>
    </w:p>
    <w:p>
      <w:pPr>
        <w:spacing w:after="80" w:before="80"/>
        <w:jc w:val="left"/>
      </w:pPr>
      <w:r>
        <w:rPr>
          <w:rFonts w:ascii="Arial" w:cs="Arial" w:eastAsia="Arial" w:hAnsi="Arial"/>
          <w:b w:val="false"/>
          <w:bCs w:val="false"/>
          <w:color w:val="000000"/>
          <w:sz w:val="20"/>
          <w:szCs w:val="20"/>
        </w:rPr>
        <w:t xml:space="preserve">3.  Clause 6.1.2 — Information Security Risk Assessment</w:t>
      </w:r>
    </w:p>
    <w:p>
      <w:pPr>
        <w:spacing w:after="80" w:before="80"/>
        <w:jc w:val="left"/>
      </w:pPr>
      <w:r>
        <w:rPr>
          <w:rFonts w:ascii="Arial" w:cs="Arial" w:eastAsia="Arial" w:hAnsi="Arial"/>
          <w:b w:val="false"/>
          <w:bCs w:val="false"/>
          <w:color w:val="000000"/>
          <w:sz w:val="20"/>
          <w:szCs w:val="20"/>
        </w:rPr>
        <w:t xml:space="preserve">    3.1  Risk Assessment Methodology</w:t>
      </w:r>
    </w:p>
    <w:p>
      <w:pPr>
        <w:spacing w:after="80" w:before="80"/>
        <w:jc w:val="left"/>
      </w:pPr>
      <w:r>
        <w:rPr>
          <w:rFonts w:ascii="Arial" w:cs="Arial" w:eastAsia="Arial" w:hAnsi="Arial"/>
          <w:b w:val="false"/>
          <w:bCs w:val="false"/>
          <w:color w:val="000000"/>
          <w:sz w:val="20"/>
          <w:szCs w:val="20"/>
        </w:rPr>
        <w:t xml:space="preserve">    3.2  Risk Scoring Matrix</w:t>
      </w:r>
    </w:p>
    <w:p>
      <w:pPr>
        <w:spacing w:after="80" w:before="80"/>
        <w:jc w:val="left"/>
      </w:pPr>
      <w:r>
        <w:rPr>
          <w:rFonts w:ascii="Arial" w:cs="Arial" w:eastAsia="Arial" w:hAnsi="Arial"/>
          <w:b w:val="false"/>
          <w:bCs w:val="false"/>
          <w:color w:val="000000"/>
          <w:sz w:val="20"/>
          <w:szCs w:val="20"/>
        </w:rPr>
        <w:t xml:space="preserve">    3.3  Risk Acceptance Criteria</w:t>
      </w:r>
    </w:p>
    <w:p>
      <w:pPr>
        <w:spacing w:after="80" w:before="80"/>
        <w:jc w:val="left"/>
      </w:pPr>
      <w:r>
        <w:rPr>
          <w:rFonts w:ascii="Arial" w:cs="Arial" w:eastAsia="Arial" w:hAnsi="Arial"/>
          <w:b w:val="false"/>
          <w:bCs w:val="false"/>
          <w:color w:val="000000"/>
          <w:sz w:val="20"/>
          <w:szCs w:val="20"/>
        </w:rPr>
        <w:t xml:space="preserve">    3.4  Risk Register Summary</w:t>
      </w:r>
    </w:p>
    <w:p>
      <w:pPr>
        <w:spacing w:after="80" w:before="80"/>
        <w:jc w:val="left"/>
      </w:pPr>
      <w:r>
        <w:rPr>
          <w:rFonts w:ascii="Arial" w:cs="Arial" w:eastAsia="Arial" w:hAnsi="Arial"/>
          <w:b w:val="false"/>
          <w:bCs w:val="false"/>
          <w:color w:val="000000"/>
          <w:sz w:val="20"/>
          <w:szCs w:val="20"/>
        </w:rPr>
        <w:t xml:space="preserve">    3.5  Detailed Risk Assessments</w:t>
      </w:r>
    </w:p>
    <w:p>
      <w:pPr>
        <w:spacing w:after="80" w:before="80"/>
        <w:jc w:val="left"/>
      </w:pPr>
      <w:r>
        <w:rPr>
          <w:rFonts w:ascii="Arial" w:cs="Arial" w:eastAsia="Arial" w:hAnsi="Arial"/>
          <w:b w:val="false"/>
          <w:bCs w:val="false"/>
          <w:color w:val="000000"/>
          <w:sz w:val="20"/>
          <w:szCs w:val="20"/>
        </w:rPr>
        <w:t xml:space="preserve">4.  Clause 6.1.3 — Information Security Risk Treatment</w:t>
      </w:r>
    </w:p>
    <w:p>
      <w:pPr>
        <w:spacing w:after="80" w:before="80"/>
        <w:jc w:val="left"/>
      </w:pPr>
      <w:r>
        <w:rPr>
          <w:rFonts w:ascii="Arial" w:cs="Arial" w:eastAsia="Arial" w:hAnsi="Arial"/>
          <w:b w:val="false"/>
          <w:bCs w:val="false"/>
          <w:color w:val="000000"/>
          <w:sz w:val="20"/>
          <w:szCs w:val="20"/>
        </w:rPr>
        <w:t xml:space="preserve">    4.1  Treatment Options</w:t>
      </w:r>
    </w:p>
    <w:p>
      <w:pPr>
        <w:spacing w:after="80" w:before="80"/>
        <w:jc w:val="left"/>
      </w:pPr>
      <w:r>
        <w:rPr>
          <w:rFonts w:ascii="Arial" w:cs="Arial" w:eastAsia="Arial" w:hAnsi="Arial"/>
          <w:b w:val="false"/>
          <w:bCs w:val="false"/>
          <w:color w:val="000000"/>
          <w:sz w:val="20"/>
          <w:szCs w:val="20"/>
        </w:rPr>
        <w:t xml:space="preserve">    4.2  Annex A Control Mapping and SoA Framework</w:t>
      </w:r>
    </w:p>
    <w:p>
      <w:pPr>
        <w:spacing w:after="80" w:before="80"/>
        <w:jc w:val="left"/>
      </w:pPr>
      <w:r>
        <w:rPr>
          <w:rFonts w:ascii="Arial" w:cs="Arial" w:eastAsia="Arial" w:hAnsi="Arial"/>
          <w:b w:val="false"/>
          <w:bCs w:val="false"/>
          <w:color w:val="000000"/>
          <w:sz w:val="20"/>
          <w:szCs w:val="20"/>
        </w:rPr>
        <w:t xml:space="preserve">    4.3  Risk Treatment Plan</w:t>
      </w:r>
    </w:p>
    <w:p>
      <w:pPr>
        <w:spacing w:after="80" w:before="80"/>
        <w:jc w:val="left"/>
      </w:pPr>
      <w:r>
        <w:rPr>
          <w:rFonts w:ascii="Arial" w:cs="Arial" w:eastAsia="Arial" w:hAnsi="Arial"/>
          <w:b w:val="false"/>
          <w:bCs w:val="false"/>
          <w:color w:val="000000"/>
          <w:sz w:val="20"/>
          <w:szCs w:val="20"/>
        </w:rPr>
        <w:t xml:space="preserve">    4.4  Risk Owner Acceptance</w:t>
      </w:r>
    </w:p>
    <w:p>
      <w:pPr>
        <w:spacing w:after="80" w:before="80"/>
        <w:jc w:val="left"/>
      </w:pPr>
      <w:r>
        <w:rPr>
          <w:rFonts w:ascii="Arial" w:cs="Arial" w:eastAsia="Arial" w:hAnsi="Arial"/>
          <w:b w:val="false"/>
          <w:bCs w:val="false"/>
          <w:color w:val="000000"/>
          <w:sz w:val="20"/>
          <w:szCs w:val="20"/>
        </w:rPr>
        <w:t xml:space="preserve">5.  Clause 6.2 — Information Security Objectives</w:t>
      </w:r>
    </w:p>
    <w:p>
      <w:pPr>
        <w:spacing w:after="80" w:before="80"/>
        <w:jc w:val="left"/>
      </w:pPr>
      <w:r>
        <w:rPr>
          <w:rFonts w:ascii="Arial" w:cs="Arial" w:eastAsia="Arial" w:hAnsi="Arial"/>
          <w:b w:val="false"/>
          <w:bCs w:val="false"/>
          <w:color w:val="000000"/>
          <w:sz w:val="20"/>
          <w:szCs w:val="20"/>
        </w:rPr>
        <w:t xml:space="preserve">    5.1  Objectives Summary</w:t>
      </w:r>
    </w:p>
    <w:p>
      <w:pPr>
        <w:spacing w:after="80" w:before="80"/>
        <w:jc w:val="left"/>
      </w:pPr>
      <w:r>
        <w:rPr>
          <w:rFonts w:ascii="Arial" w:cs="Arial" w:eastAsia="Arial" w:hAnsi="Arial"/>
          <w:b w:val="false"/>
          <w:bCs w:val="false"/>
          <w:color w:val="000000"/>
          <w:sz w:val="20"/>
          <w:szCs w:val="20"/>
        </w:rPr>
        <w:t xml:space="preserve">    5.2  Detailed Objective Plans</w:t>
      </w:r>
    </w:p>
    <w:p>
      <w:pPr>
        <w:spacing w:after="80" w:before="80"/>
        <w:jc w:val="left"/>
      </w:pPr>
      <w:r>
        <w:rPr>
          <w:rFonts w:ascii="Arial" w:cs="Arial" w:eastAsia="Arial" w:hAnsi="Arial"/>
          <w:b w:val="false"/>
          <w:bCs w:val="false"/>
          <w:color w:val="000000"/>
          <w:sz w:val="20"/>
          <w:szCs w:val="20"/>
        </w:rPr>
        <w:t xml:space="preserve">6.  Clause 6.3 — Planning of Changes</w:t>
      </w:r>
    </w:p>
    <w:p>
      <w:pPr>
        <w:spacing w:after="80" w:before="80"/>
        <w:jc w:val="left"/>
      </w:pPr>
      <w:r>
        <w:rPr>
          <w:rFonts w:ascii="Arial" w:cs="Arial" w:eastAsia="Arial" w:hAnsi="Arial"/>
          <w:b w:val="false"/>
          <w:bCs w:val="false"/>
          <w:color w:val="000000"/>
          <w:sz w:val="20"/>
          <w:szCs w:val="20"/>
        </w:rPr>
        <w:t xml:space="preserve">7.  Linkage to Other ISMS Documents</w:t>
      </w:r>
    </w:p>
    <w:p>
      <w:pPr>
        <w:spacing w:after="80" w:before="80"/>
        <w:jc w:val="left"/>
      </w:pPr>
      <w:r>
        <w:rPr>
          <w:rFonts w:ascii="Arial" w:cs="Arial" w:eastAsia="Arial" w:hAnsi="Arial"/>
          <w:b w:val="false"/>
          <w:bCs w:val="false"/>
          <w:color w:val="000000"/>
          <w:sz w:val="20"/>
          <w:szCs w:val="20"/>
        </w:rPr>
        <w:t xml:space="preserve">8.  Review and Maintenance</w:t>
      </w:r>
    </w:p>
    <w:p>
      <w:pPr>
        <w:spacing w:after="80" w:before="80"/>
        <w:jc w:val="left"/>
      </w:pPr>
      <w:r>
        <w:rPr>
          <w:rFonts w:ascii="Arial" w:cs="Arial" w:eastAsia="Arial" w:hAnsi="Arial"/>
          <w:b w:val="false"/>
          <w:bCs w:val="false"/>
          <w:color w:val="000000"/>
          <w:sz w:val="20"/>
          <w:szCs w:val="20"/>
        </w:rPr>
        <w:t xml:space="preserve">9.  References</w:t>
      </w:r>
    </w:p>
    <w:p>
      <w:pPr>
        <w:spacing w:after="60" w:before="60"/>
      </w:pPr>
    </w:p>
    <w:p>
      <w:pPr>
        <w:spacing w:after="80" w:before="80"/>
        <w:jc w:val="left"/>
      </w:pPr>
      <w:r>
        <w:rPr>
          <w:rFonts w:ascii="Arial" w:cs="Arial" w:eastAsia="Arial" w:hAnsi="Arial"/>
          <w:b w:val="false"/>
          <w:bCs w:val="false"/>
          <w:color w:val="888888"/>
          <w:sz w:val="18"/>
          <w:szCs w:val="18"/>
        </w:rPr>
        <w:t xml:space="preserve">Note: Update this page manually or use Word's built-in TOC feature after opening.</w:t>
      </w: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1. Purpose</w:t>
      </w:r>
    </w:p>
    <w:p>
      <w:pPr>
        <w:spacing w:after="80" w:before="80"/>
        <w:jc w:val="left"/>
      </w:pPr>
      <w:r>
        <w:rPr>
          <w:rFonts w:ascii="Arial" w:cs="Arial" w:eastAsia="Arial" w:hAnsi="Arial"/>
          <w:b w:val="false"/>
          <w:bCs w:val="false"/>
          <w:color w:val="000000"/>
          <w:sz w:val="20"/>
          <w:szCs w:val="20"/>
        </w:rPr>
        <w:t xml:space="preserve">This document constitutes the ISMS Planning document for Apex Managed Services Ltd and provides the consolidated documented evidence required by ISO/IEC 27001:2022 Clause 6 — Planning. It is classified CONFIDENTIAL owing to the sensitive risk and vulnerability information it contains. Access is restricted to personnel with a legitimate need to review ISMS risk data.</w:t>
      </w:r>
    </w:p>
    <w:p>
      <w:pPr>
        <w:spacing w:after="60" w:before="60"/>
      </w:pPr>
    </w:p>
    <w:p>
      <w:pPr>
        <w:spacing w:after="80" w:before="80"/>
        <w:jc w:val="left"/>
      </w:pPr>
      <w:r>
        <w:rPr>
          <w:rFonts w:ascii="Arial" w:cs="Arial" w:eastAsia="Arial" w:hAnsi="Arial"/>
          <w:b w:val="false"/>
          <w:bCs w:val="false"/>
          <w:color w:val="000000"/>
          <w:sz w:val="20"/>
          <w:szCs w:val="20"/>
        </w:rPr>
        <w:t xml:space="preserve">The document addresses all sub-clauses of Clause 6:</w:t>
      </w:r>
    </w:p>
    <w:p>
      <w:pPr>
        <w:spacing w:after="60" w:before="60"/>
      </w:pPr>
    </w:p>
    <w:p>
      <w:pPr>
        <w:pStyle w:val="ListParagraph"/>
        <w:numPr>
          <w:ilvl w:val="0"/>
          <w:numId w:val="2"/>
        </w:numPr>
        <w:spacing w:after="40" w:before="40"/>
      </w:pPr>
      <w:r>
        <w:rPr>
          <w:rFonts w:ascii="Arial" w:cs="Arial" w:eastAsia="Arial" w:hAnsi="Arial"/>
          <w:sz w:val="20"/>
          <w:szCs w:val="20"/>
        </w:rPr>
        <w:t xml:space="preserve">Clause 6.1.1 — Identifies the risks and opportunities arising from the ISMS context (Clause 4.1) and interested party requirements (Clause 4.2) that must be addressed.</w:t>
      </w:r>
    </w:p>
    <w:p>
      <w:pPr>
        <w:pStyle w:val="ListParagraph"/>
        <w:numPr>
          <w:ilvl w:val="0"/>
          <w:numId w:val="2"/>
        </w:numPr>
        <w:spacing w:after="40" w:before="40"/>
      </w:pPr>
      <w:r>
        <w:rPr>
          <w:rFonts w:ascii="Arial" w:cs="Arial" w:eastAsia="Arial" w:hAnsi="Arial"/>
          <w:sz w:val="20"/>
          <w:szCs w:val="20"/>
        </w:rPr>
        <w:t xml:space="preserve">Clause 6.1.2 — Defines the risk assessment methodology, scoring criteria, and risk acceptance criteria, and documents the results of the information security risk assessment.</w:t>
      </w:r>
    </w:p>
    <w:p>
      <w:pPr>
        <w:pStyle w:val="ListParagraph"/>
        <w:numPr>
          <w:ilvl w:val="0"/>
          <w:numId w:val="2"/>
        </w:numPr>
        <w:spacing w:after="40" w:before="40"/>
      </w:pPr>
      <w:r>
        <w:rPr>
          <w:rFonts w:ascii="Arial" w:cs="Arial" w:eastAsia="Arial" w:hAnsi="Arial"/>
          <w:sz w:val="20"/>
          <w:szCs w:val="20"/>
        </w:rPr>
        <w:t xml:space="preserve">Clause 6.1.3 — Documents the risk treatment options selected, the controls determined (with Annex A cross-reference), the risk treatment plan, and risk owner acceptance.</w:t>
      </w:r>
    </w:p>
    <w:p>
      <w:pPr>
        <w:pStyle w:val="ListParagraph"/>
        <w:numPr>
          <w:ilvl w:val="0"/>
          <w:numId w:val="2"/>
        </w:numPr>
        <w:spacing w:after="40" w:before="40"/>
      </w:pPr>
      <w:r>
        <w:rPr>
          <w:rFonts w:ascii="Arial" w:cs="Arial" w:eastAsia="Arial" w:hAnsi="Arial"/>
          <w:sz w:val="20"/>
          <w:szCs w:val="20"/>
        </w:rPr>
        <w:t xml:space="preserve">Clause 6.2 — Establishes measurable information security objectives with planning detail covering what, who, when, resources, and evaluation method.</w:t>
      </w:r>
    </w:p>
    <w:p>
      <w:pPr>
        <w:pStyle w:val="ListParagraph"/>
        <w:numPr>
          <w:ilvl w:val="0"/>
          <w:numId w:val="2"/>
        </w:numPr>
        <w:spacing w:after="40" w:before="40"/>
      </w:pPr>
      <w:r>
        <w:rPr>
          <w:rFonts w:ascii="Arial" w:cs="Arial" w:eastAsia="Arial" w:hAnsi="Arial"/>
          <w:sz w:val="20"/>
          <w:szCs w:val="20"/>
        </w:rPr>
        <w:t xml:space="preserve">Clause 6.3 — Defines the process for planning changes to the ISMS in a controlled manner.</w:t>
      </w:r>
    </w:p>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2. Clause 6.1.1 — Risks and Opportunities: General</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7860"/>
      </w:tblGrid>
      <w:tr>
        <w:tc>
          <w:tcPr>
            <w:tcW w:type="dxa" w:w="140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6.1.1</w:t>
            </w:r>
          </w:p>
          <w:p>
            <w:pPr>
              <w:jc w:val="center"/>
            </w:pPr>
            <w:r>
              <w:rPr>
                <w:rFonts w:ascii="Arial" w:cs="Arial" w:eastAsia="Arial" w:hAnsi="Arial"/>
                <w:color w:val="D6E4F0"/>
                <w:sz w:val="14"/>
                <w:szCs w:val="14"/>
              </w:rPr>
              <w:t xml:space="preserve">General</w:t>
            </w:r>
          </w:p>
        </w:tc>
        <w:tc>
          <w:tcPr>
            <w:tcW w:type="dxa" w:w="78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1F3864"/>
                <w:sz w:val="18"/>
                <w:szCs w:val="18"/>
              </w:rPr>
              <w:t xml:space="preserve">When planning for the ISMS, the organisation shall consider issues from 4.1 and requirements from 4.2 to determine risks and opportunities that need to be addressed to: (a) ensure intended outcomes; (b) prevent/reduce undesired effects; (c) achieve continual improvement. The organisation shall plan actions and how to integrate, implement, and evaluate them.</w:t>
            </w:r>
          </w:p>
        </w:tc>
      </w:tr>
    </w:tbl>
    <w:p>
      <w:pPr>
        <w:spacing w:after="120" w:before="120"/>
      </w:pPr>
    </w:p>
    <w:p>
      <w:pPr>
        <w:pStyle w:val="Heading2"/>
        <w:spacing w:after="80" w:before="240"/>
      </w:pPr>
      <w:r>
        <w:rPr>
          <w:rFonts w:ascii="Arial" w:cs="Arial" w:eastAsia="Arial" w:hAnsi="Arial"/>
          <w:b/>
          <w:bCs/>
          <w:color w:val="2E75B6"/>
          <w:sz w:val="26"/>
          <w:szCs w:val="26"/>
        </w:rPr>
        <w:t xml:space="preserve">2.1 Sources of Risks and Opportunities</w:t>
      </w:r>
    </w:p>
    <w:p>
      <w:pPr>
        <w:spacing w:after="80" w:before="80"/>
        <w:jc w:val="left"/>
      </w:pPr>
      <w:r>
        <w:rPr>
          <w:rFonts w:ascii="Arial" w:cs="Arial" w:eastAsia="Arial" w:hAnsi="Arial"/>
          <w:b w:val="false"/>
          <w:bCs w:val="false"/>
          <w:color w:val="000000"/>
          <w:sz w:val="20"/>
          <w:szCs w:val="20"/>
        </w:rPr>
        <w:t xml:space="preserve">The following sources, drawn from the ISMS Context Document (ISMS-CTX-001), have been considered when determining the risks and opportunities that need to be addressed through the ISMS planning process:</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5060"/>
        <w:gridCol w:w="2000"/>
      </w:tblGrid>
      <w:tr>
        <w:trPr>
          <w:tblHeader/>
        </w:trP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c>
          <w:tcPr>
            <w:tcW w:type="dxa" w:w="50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Risks and Opportunities Arising</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Addressed In</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External Issues (4.1)</w:t>
            </w:r>
          </w:p>
        </w:tc>
        <w:tc>
          <w:tcPr>
            <w:tcW w:type="dxa" w:w="5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Regulatory change, elevated threat landscape (MSP targeting, nation-state), market supply chain requirements, vendor concentration risk.</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Risk Register §3.4, Objectives §5</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Internal Issues (4.1)</w:t>
            </w:r>
          </w:p>
        </w:tc>
        <w:tc>
          <w:tcPr>
            <w:tcW w:type="dxa" w:w="5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Key person dependency, small team segregation of duties limitations, ISMS documentation maturity, privileged access concentration, limited BCP/DRP.</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Risk Register §3.4, Objectives §5</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Interested Party Requirements (4.2)</w:t>
            </w:r>
          </w:p>
        </w:tc>
        <w:tc>
          <w:tcPr>
            <w:tcW w:type="dxa" w:w="5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Client certification requirements, ICO regulatory obligations, certification body audit requirements, employee security responsibility awareness.</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Objectives §5, Policy (ISMS-LDR-001)</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Opportunities</w:t>
            </w:r>
          </w:p>
        </w:tc>
        <w:tc>
          <w:tcPr>
            <w:tcW w:type="dxa" w:w="5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ISO 27001 certification as market differentiator; improved client trust; security culture improvement; tooling investment improving operational efficiency.</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Objectives §5</w:t>
            </w:r>
          </w:p>
        </w:tc>
      </w:tr>
    </w:tbl>
    <w:p>
      <w:pPr>
        <w:spacing w:after="120" w:before="120"/>
      </w:pPr>
    </w:p>
    <w:p>
      <w:pPr>
        <w:pStyle w:val="Heading2"/>
        <w:spacing w:after="80" w:before="240"/>
      </w:pPr>
      <w:r>
        <w:rPr>
          <w:rFonts w:ascii="Arial" w:cs="Arial" w:eastAsia="Arial" w:hAnsi="Arial"/>
          <w:b/>
          <w:bCs/>
          <w:color w:val="2E75B6"/>
          <w:sz w:val="26"/>
          <w:szCs w:val="26"/>
        </w:rPr>
        <w:t xml:space="preserve">2.2 Integration into ISMS Processes</w:t>
      </w:r>
    </w:p>
    <w:p>
      <w:pPr>
        <w:spacing w:after="80" w:before="80"/>
        <w:jc w:val="left"/>
      </w:pPr>
      <w:r>
        <w:rPr>
          <w:rFonts w:ascii="Arial" w:cs="Arial" w:eastAsia="Arial" w:hAnsi="Arial"/>
          <w:b w:val="false"/>
          <w:bCs w:val="false"/>
          <w:color w:val="000000"/>
          <w:sz w:val="20"/>
          <w:szCs w:val="20"/>
        </w:rPr>
        <w:t xml:space="preserve">Actions to address risks and opportunities are integrated into the ISMS through the following mechanisms:</w:t>
      </w:r>
    </w:p>
    <w:p>
      <w:pPr>
        <w:spacing w:after="60" w:before="60"/>
      </w:pPr>
    </w:p>
    <w:p>
      <w:pPr>
        <w:pStyle w:val="ListParagraph"/>
        <w:numPr>
          <w:ilvl w:val="0"/>
          <w:numId w:val="2"/>
        </w:numPr>
        <w:spacing w:after="40" w:before="40"/>
      </w:pPr>
      <w:r>
        <w:rPr>
          <w:rFonts w:ascii="Arial" w:cs="Arial" w:eastAsia="Arial" w:hAnsi="Arial"/>
          <w:sz w:val="20"/>
          <w:szCs w:val="20"/>
        </w:rPr>
        <w:t xml:space="preserve">Risk treatment controls are implemented as documented operational procedures (ISMS-OPS-001 and associated Annex A control procedures).</w:t>
      </w:r>
    </w:p>
    <w:p>
      <w:pPr>
        <w:pStyle w:val="ListParagraph"/>
        <w:numPr>
          <w:ilvl w:val="0"/>
          <w:numId w:val="2"/>
        </w:numPr>
        <w:spacing w:after="40" w:before="40"/>
      </w:pPr>
      <w:r>
        <w:rPr>
          <w:rFonts w:ascii="Arial" w:cs="Arial" w:eastAsia="Arial" w:hAnsi="Arial"/>
          <w:sz w:val="20"/>
          <w:szCs w:val="20"/>
        </w:rPr>
        <w:t xml:space="preserve">Security objectives (Section 5) translate risk treatment priorities into planned, resourced, and time-bound actions with defined evaluation criteria.</w:t>
      </w:r>
    </w:p>
    <w:p>
      <w:pPr>
        <w:pStyle w:val="ListParagraph"/>
        <w:numPr>
          <w:ilvl w:val="0"/>
          <w:numId w:val="2"/>
        </w:numPr>
        <w:spacing w:after="40" w:before="40"/>
      </w:pPr>
      <w:r>
        <w:rPr>
          <w:rFonts w:ascii="Arial" w:cs="Arial" w:eastAsia="Arial" w:hAnsi="Arial"/>
          <w:sz w:val="20"/>
          <w:szCs w:val="20"/>
        </w:rPr>
        <w:t xml:space="preserve">The corrective action process (ISMS-CAR-001) addresses residual risks and newly identified opportunities on an ongoing basis.</w:t>
      </w:r>
    </w:p>
    <w:p>
      <w:pPr>
        <w:pStyle w:val="ListParagraph"/>
        <w:numPr>
          <w:ilvl w:val="0"/>
          <w:numId w:val="2"/>
        </w:numPr>
        <w:spacing w:after="40" w:before="40"/>
      </w:pPr>
      <w:r>
        <w:rPr>
          <w:rFonts w:ascii="Arial" w:cs="Arial" w:eastAsia="Arial" w:hAnsi="Arial"/>
          <w:sz w:val="20"/>
          <w:szCs w:val="20"/>
        </w:rPr>
        <w:t xml:space="preserve">Management review (ISMS-MR-001) evaluates the effectiveness of actions taken and approves adjustments to the risk treatment plan.</w:t>
      </w:r>
    </w:p>
    <w:p>
      <w:pPr>
        <w:pStyle w:val="ListParagraph"/>
        <w:numPr>
          <w:ilvl w:val="0"/>
          <w:numId w:val="2"/>
        </w:numPr>
        <w:spacing w:after="40" w:before="40"/>
      </w:pPr>
      <w:r>
        <w:rPr>
          <w:rFonts w:ascii="Arial" w:cs="Arial" w:eastAsia="Arial" w:hAnsi="Arial"/>
          <w:sz w:val="20"/>
          <w:szCs w:val="20"/>
        </w:rPr>
        <w:t xml:space="preserve">The internal audit programme (ISMS-IAP-001) independently evaluates whether risk treatment controls are implemented and effective.</w:t>
      </w:r>
    </w:p>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3. Clause 6.1.2 — Information Security Risk Assessment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7860"/>
      </w:tblGrid>
      <w:tr>
        <w:tc>
          <w:tcPr>
            <w:tcW w:type="dxa" w:w="140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6.1.2</w:t>
            </w:r>
          </w:p>
          <w:p>
            <w:pPr>
              <w:jc w:val="center"/>
            </w:pPr>
            <w:r>
              <w:rPr>
                <w:rFonts w:ascii="Arial" w:cs="Arial" w:eastAsia="Arial" w:hAnsi="Arial"/>
                <w:color w:val="D6E4F0"/>
                <w:sz w:val="14"/>
                <w:szCs w:val="14"/>
              </w:rPr>
              <w:t xml:space="preserve">Risk Assessment</w:t>
            </w:r>
          </w:p>
        </w:tc>
        <w:tc>
          <w:tcPr>
            <w:tcW w:type="dxa" w:w="78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1F3864"/>
                <w:sz w:val="18"/>
                <w:szCs w:val="18"/>
              </w:rPr>
              <w:t xml:space="preserve">The organisation shall define and apply an information security risk assessment process that establishes risk criteria, ensures consistent results, identifies risks and owners, analyses likelihood and impact, determines risk levels, and evaluates risks against criteria to prioritise treatment.</w:t>
            </w:r>
          </w:p>
        </w:tc>
      </w:tr>
    </w:tbl>
    <w:p>
      <w:pPr>
        <w:spacing w:after="120" w:before="120"/>
      </w:pPr>
    </w:p>
    <w:p>
      <w:pPr>
        <w:pStyle w:val="Heading2"/>
        <w:spacing w:after="80" w:before="240"/>
      </w:pPr>
      <w:r>
        <w:rPr>
          <w:rFonts w:ascii="Arial" w:cs="Arial" w:eastAsia="Arial" w:hAnsi="Arial"/>
          <w:b/>
          <w:bCs/>
          <w:color w:val="2E75B6"/>
          <w:sz w:val="26"/>
          <w:szCs w:val="26"/>
        </w:rPr>
        <w:t xml:space="preserve">3.1 Risk Assessment Methodology</w:t>
      </w:r>
    </w:p>
    <w:p>
      <w:pPr>
        <w:spacing w:after="80" w:before="80"/>
        <w:jc w:val="left"/>
      </w:pPr>
      <w:r>
        <w:rPr>
          <w:rFonts w:ascii="Arial" w:cs="Arial" w:eastAsia="Arial" w:hAnsi="Arial"/>
          <w:b w:val="false"/>
          <w:bCs w:val="false"/>
          <w:color w:val="000000"/>
          <w:sz w:val="20"/>
          <w:szCs w:val="20"/>
        </w:rPr>
        <w:t xml:space="preserve">The risk assessment methodology applied by Apex Managed Services Ltd is a qualitative, asset-threat-vulnerability approach aligned to ISO 31000:2018 and the requirements of ISO 27001:2022 Clause 6.1.2. The methodology is applied consistently across all risk assessment cycles to ensure comparable results as required by Clause 6.1.2(b).</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600"/>
        <w:gridCol w:w="6660"/>
      </w:tblGrid>
      <w:tr>
        <w:trPr>
          <w:tblHeader/>
        </w:trPr>
        <w:tc>
          <w:tcPr>
            <w:tcW w:type="dxa" w:w="2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Methodology Element</w:t>
            </w:r>
          </w:p>
        </w:tc>
        <w:tc>
          <w:tcPr>
            <w:tcW w:type="dxa" w:w="66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Scope</w:t>
            </w:r>
          </w:p>
        </w:tc>
        <w:tc>
          <w:tcPr>
            <w:tcW w:type="dxa" w:w="6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information assets, processes, and systems within the ISMS scope as defined in ISMS-CTX-001 §5.</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Risk Identification Approach</w:t>
            </w:r>
          </w:p>
        </w:tc>
        <w:tc>
          <w:tcPr>
            <w:tcW w:type="dxa" w:w="6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Threat-vulnerability pairing method: for each in-scope asset/process, potential threats are identified, the vulnerabilities they may exploit are recorded, and the CIA impact is assessed. Threats are drawn from context issues (ISMS-CTX-001), threat intelligence, and NCSC/ENISA guidance.</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Risk Owners</w:t>
            </w:r>
          </w:p>
        </w:tc>
        <w:tc>
          <w:tcPr>
            <w:tcW w:type="dxa" w:w="6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Each risk is assigned to a named role (risk owner) who is accountable for risk treatment and acceptance. Risk owners are identified at the point of risk identification. Senior risk acceptance authority rests with the Managing Director.</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Likelihood Scale</w:t>
            </w:r>
          </w:p>
        </w:tc>
        <w:tc>
          <w:tcPr>
            <w:tcW w:type="dxa" w:w="6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 Rare (&lt;5% probability in 12 months)  |  2 = Unlikely (5–20%)  |  3 = Possible (21–50%)  |  4 = Likely (51–75%)  |  5 = Almost Certain (&gt;75%)</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Impact Scale</w:t>
            </w:r>
          </w:p>
        </w:tc>
        <w:tc>
          <w:tcPr>
            <w:tcW w:type="dxa" w:w="6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 Negligible (minimal disruption, no regulatory/legal consequence, no client impact)  |  2 = Minor  |  3 = Moderate  |  4 = Major (significant client impact, regulatory risk, reputational harm)  |  5 = Severe (existential threat, major regulatory action, client data mass disclosure)</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Risk Score</w:t>
            </w:r>
          </w:p>
        </w:tc>
        <w:tc>
          <w:tcPr>
            <w:tcW w:type="dxa" w:w="6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Risk Score = Likelihood × Impact (range 1–25). Scores are used to level and prioritise risks for treatment.</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Assessment Frequency</w:t>
            </w:r>
          </w:p>
        </w:tc>
        <w:tc>
          <w:tcPr>
            <w:tcW w:type="dxa" w:w="6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Full risk assessment: annually, aligned to management review cycle. Triggered review: following significant incident, material context change, or introduction of new significant asset/process.</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Consistency Assurance</w:t>
            </w:r>
          </w:p>
        </w:tc>
        <w:tc>
          <w:tcPr>
            <w:tcW w:type="dxa" w:w="6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Consistent results are ensured through: use of defined likelihood and impact scales; documented scoring rationale; peer review by HoT before ISM sign-off; use of the same methodology version for all assessment cycles. Version of methodology is recorded in the version history of this document.</w:t>
            </w:r>
          </w:p>
        </w:tc>
      </w:tr>
    </w:tbl>
    <w:p>
      <w:pPr>
        <w:spacing w:after="120" w:before="120"/>
      </w:pPr>
    </w:p>
    <w:p>
      <w:pPr>
        <w:pStyle w:val="Heading2"/>
        <w:spacing w:after="80" w:before="240"/>
      </w:pPr>
      <w:r>
        <w:rPr>
          <w:rFonts w:ascii="Arial" w:cs="Arial" w:eastAsia="Arial" w:hAnsi="Arial"/>
          <w:b/>
          <w:bCs/>
          <w:color w:val="2E75B6"/>
          <w:sz w:val="26"/>
          <w:szCs w:val="26"/>
        </w:rPr>
        <w:t xml:space="preserve">3.2 Risk Scoring Matrix</w:t>
      </w:r>
    </w:p>
    <w:p>
      <w:pPr>
        <w:spacing w:after="80" w:before="80"/>
        <w:jc w:val="left"/>
      </w:pPr>
      <w:r>
        <w:rPr>
          <w:rFonts w:ascii="Arial" w:cs="Arial" w:eastAsia="Arial" w:hAnsi="Arial"/>
          <w:b w:val="false"/>
          <w:bCs w:val="false"/>
          <w:color w:val="000000"/>
          <w:sz w:val="20"/>
          <w:szCs w:val="20"/>
        </w:rPr>
        <w:t xml:space="preserve">The following heat map illustrates risk levels by Likelihood (rows) and Impact (columns). Risk level bands are applied as shown:</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00"/>
        <w:gridCol w:w="1360"/>
        <w:gridCol w:w="1360"/>
        <w:gridCol w:w="1360"/>
        <w:gridCol w:w="1360"/>
        <w:gridCol w:w="1360"/>
        <w:gridCol w:w="1560"/>
      </w:tblGrid>
      <w:tr>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 \ I</w:t>
            </w:r>
          </w:p>
        </w:tc>
        <w:tc>
          <w:tcPr>
            <w:tcW w:type="dxa" w:w="13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1
Negligible</w:t>
            </w:r>
          </w:p>
        </w:tc>
        <w:tc>
          <w:tcPr>
            <w:tcW w:type="dxa" w:w="13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2
Minor</w:t>
            </w:r>
          </w:p>
        </w:tc>
        <w:tc>
          <w:tcPr>
            <w:tcW w:type="dxa" w:w="13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3
Moderate</w:t>
            </w:r>
          </w:p>
        </w:tc>
        <w:tc>
          <w:tcPr>
            <w:tcW w:type="dxa" w:w="13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4
Major</w:t>
            </w:r>
          </w:p>
        </w:tc>
        <w:tc>
          <w:tcPr>
            <w:tcW w:type="dxa" w:w="13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5
Severe</w:t>
            </w:r>
          </w:p>
        </w:tc>
        <w:tc>
          <w:tcPr>
            <w:tcW w:type="dxa" w:w="1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Likelihood</w:t>
            </w:r>
          </w:p>
        </w:tc>
      </w:tr>
      <w:tr>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L=5</w:t>
            </w:r>
          </w:p>
        </w:tc>
        <w:tc>
          <w:tcPr>
            <w:tcW w:type="dxa" w:w="1360"/>
            <w:tcBorders>
              <w:top w:val="single" w:color="CCCCCC" w:sz="1"/>
              <w:left w:val="single" w:color="CCCCCC" w:sz="1"/>
              <w:bottom w:val="single" w:color="CCCCCC" w:sz="1"/>
              <w:right w:val="single" w:color="CCCCCC" w:sz="1"/>
            </w:tcBorders>
            <w:shd w:fill="FFC000" w:val="clear"/>
            <w:tcMar>
              <w:top w:type="dxa" w:w="80"/>
              <w:left w:type="dxa" w:w="80"/>
              <w:bottom w:type="dxa" w:w="80"/>
              <w:right w:type="dxa" w:w="80"/>
            </w:tcMar>
          </w:tcPr>
          <w:p>
            <w:pPr>
              <w:jc w:val="center"/>
            </w:pPr>
            <w:r>
              <w:rPr>
                <w:rFonts w:ascii="Arial" w:cs="Arial" w:eastAsia="Arial" w:hAnsi="Arial"/>
                <w:b/>
                <w:bCs/>
                <w:color w:val="FFFFFF"/>
                <w:sz w:val="22"/>
                <w:szCs w:val="22"/>
              </w:rPr>
              <w:t xml:space="preserve">5</w:t>
            </w:r>
          </w:p>
          <w:p>
            <w:pPr>
              <w:jc w:val="center"/>
            </w:pPr>
            <w:r>
              <w:rPr>
                <w:rFonts w:ascii="Arial" w:cs="Arial" w:eastAsia="Arial" w:hAnsi="Arial"/>
                <w:color w:val="FFFFFF"/>
                <w:sz w:val="14"/>
                <w:szCs w:val="14"/>
              </w:rPr>
              <w:t xml:space="preserve">Low</w:t>
            </w:r>
          </w:p>
        </w:tc>
        <w:tc>
          <w:tcPr>
            <w:tcW w:type="dxa" w:w="136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22"/>
                <w:szCs w:val="22"/>
              </w:rPr>
              <w:t xml:space="preserve">10</w:t>
            </w:r>
          </w:p>
          <w:p>
            <w:pPr>
              <w:jc w:val="center"/>
            </w:pPr>
            <w:r>
              <w:rPr>
                <w:rFonts w:ascii="Arial" w:cs="Arial" w:eastAsia="Arial" w:hAnsi="Arial"/>
                <w:color w:val="FFFFFF"/>
                <w:sz w:val="14"/>
                <w:szCs w:val="14"/>
              </w:rPr>
              <w:t xml:space="preserve">High</w:t>
            </w:r>
          </w:p>
        </w:tc>
        <w:tc>
          <w:tcPr>
            <w:tcW w:type="dxa" w:w="1360"/>
            <w:tcBorders>
              <w:top w:val="single" w:color="CCCCCC" w:sz="1"/>
              <w:left w:val="single" w:color="CCCCCC" w:sz="1"/>
              <w:bottom w:val="single" w:color="CCCCCC" w:sz="1"/>
              <w:right w:val="single" w:color="CCCCCC" w:sz="1"/>
            </w:tcBorders>
            <w:shd w:fill="7B0000" w:val="clear"/>
            <w:tcMar>
              <w:top w:type="dxa" w:w="80"/>
              <w:left w:type="dxa" w:w="80"/>
              <w:bottom w:type="dxa" w:w="80"/>
              <w:right w:type="dxa" w:w="80"/>
            </w:tcMar>
          </w:tcPr>
          <w:p>
            <w:pPr>
              <w:jc w:val="center"/>
            </w:pPr>
            <w:r>
              <w:rPr>
                <w:rFonts w:ascii="Arial" w:cs="Arial" w:eastAsia="Arial" w:hAnsi="Arial"/>
                <w:b/>
                <w:bCs/>
                <w:color w:val="FFFFFF"/>
                <w:sz w:val="22"/>
                <w:szCs w:val="22"/>
              </w:rPr>
              <w:t xml:space="preserve">15</w:t>
            </w:r>
          </w:p>
          <w:p>
            <w:pPr>
              <w:jc w:val="center"/>
            </w:pPr>
            <w:r>
              <w:rPr>
                <w:rFonts w:ascii="Arial" w:cs="Arial" w:eastAsia="Arial" w:hAnsi="Arial"/>
                <w:color w:val="FFFFFF"/>
                <w:sz w:val="14"/>
                <w:szCs w:val="14"/>
              </w:rPr>
              <w:t xml:space="preserve">Critical</w:t>
            </w:r>
          </w:p>
        </w:tc>
        <w:tc>
          <w:tcPr>
            <w:tcW w:type="dxa" w:w="1360"/>
            <w:tcBorders>
              <w:top w:val="single" w:color="CCCCCC" w:sz="1"/>
              <w:left w:val="single" w:color="CCCCCC" w:sz="1"/>
              <w:bottom w:val="single" w:color="CCCCCC" w:sz="1"/>
              <w:right w:val="single" w:color="CCCCCC" w:sz="1"/>
            </w:tcBorders>
            <w:shd w:fill="7B0000" w:val="clear"/>
            <w:tcMar>
              <w:top w:type="dxa" w:w="80"/>
              <w:left w:type="dxa" w:w="80"/>
              <w:bottom w:type="dxa" w:w="80"/>
              <w:right w:type="dxa" w:w="80"/>
            </w:tcMar>
          </w:tcPr>
          <w:p>
            <w:pPr>
              <w:jc w:val="center"/>
            </w:pPr>
            <w:r>
              <w:rPr>
                <w:rFonts w:ascii="Arial" w:cs="Arial" w:eastAsia="Arial" w:hAnsi="Arial"/>
                <w:b/>
                <w:bCs/>
                <w:color w:val="FFFFFF"/>
                <w:sz w:val="22"/>
                <w:szCs w:val="22"/>
              </w:rPr>
              <w:t xml:space="preserve">20</w:t>
            </w:r>
          </w:p>
          <w:p>
            <w:pPr>
              <w:jc w:val="center"/>
            </w:pPr>
            <w:r>
              <w:rPr>
                <w:rFonts w:ascii="Arial" w:cs="Arial" w:eastAsia="Arial" w:hAnsi="Arial"/>
                <w:color w:val="FFFFFF"/>
                <w:sz w:val="14"/>
                <w:szCs w:val="14"/>
              </w:rPr>
              <w:t xml:space="preserve">Critical</w:t>
            </w:r>
          </w:p>
        </w:tc>
        <w:tc>
          <w:tcPr>
            <w:tcW w:type="dxa" w:w="1360"/>
            <w:tcBorders>
              <w:top w:val="single" w:color="CCCCCC" w:sz="1"/>
              <w:left w:val="single" w:color="CCCCCC" w:sz="1"/>
              <w:bottom w:val="single" w:color="CCCCCC" w:sz="1"/>
              <w:right w:val="single" w:color="CCCCCC" w:sz="1"/>
            </w:tcBorders>
            <w:shd w:fill="7B0000" w:val="clear"/>
            <w:tcMar>
              <w:top w:type="dxa" w:w="80"/>
              <w:left w:type="dxa" w:w="80"/>
              <w:bottom w:type="dxa" w:w="80"/>
              <w:right w:type="dxa" w:w="80"/>
            </w:tcMar>
          </w:tcPr>
          <w:p>
            <w:pPr>
              <w:jc w:val="center"/>
            </w:pPr>
            <w:r>
              <w:rPr>
                <w:rFonts w:ascii="Arial" w:cs="Arial" w:eastAsia="Arial" w:hAnsi="Arial"/>
                <w:b/>
                <w:bCs/>
                <w:color w:val="FFFFFF"/>
                <w:sz w:val="22"/>
                <w:szCs w:val="22"/>
              </w:rPr>
              <w:t xml:space="preserve">25</w:t>
            </w:r>
          </w:p>
          <w:p>
            <w:pPr>
              <w:jc w:val="center"/>
            </w:pPr>
            <w:r>
              <w:rPr>
                <w:rFonts w:ascii="Arial" w:cs="Arial" w:eastAsia="Arial" w:hAnsi="Arial"/>
                <w:color w:val="FFFFFF"/>
                <w:sz w:val="14"/>
                <w:szCs w:val="14"/>
              </w:rPr>
              <w:t xml:space="preserve">Critical</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Almost Certain</w:t>
            </w:r>
          </w:p>
        </w:tc>
      </w:tr>
      <w:tr>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L=4</w:t>
            </w:r>
          </w:p>
        </w:tc>
        <w:tc>
          <w:tcPr>
            <w:tcW w:type="dxa" w:w="1360"/>
            <w:tcBorders>
              <w:top w:val="single" w:color="CCCCCC" w:sz="1"/>
              <w:left w:val="single" w:color="CCCCCC" w:sz="1"/>
              <w:bottom w:val="single" w:color="CCCCCC" w:sz="1"/>
              <w:right w:val="single" w:color="CCCCCC" w:sz="1"/>
            </w:tcBorders>
            <w:shd w:fill="FFC000" w:val="clear"/>
            <w:tcMar>
              <w:top w:type="dxa" w:w="80"/>
              <w:left w:type="dxa" w:w="80"/>
              <w:bottom w:type="dxa" w:w="80"/>
              <w:right w:type="dxa" w:w="80"/>
            </w:tcMar>
          </w:tcPr>
          <w:p>
            <w:pPr>
              <w:jc w:val="center"/>
            </w:pPr>
            <w:r>
              <w:rPr>
                <w:rFonts w:ascii="Arial" w:cs="Arial" w:eastAsia="Arial" w:hAnsi="Arial"/>
                <w:b/>
                <w:bCs/>
                <w:color w:val="FFFFFF"/>
                <w:sz w:val="22"/>
                <w:szCs w:val="22"/>
              </w:rPr>
              <w:t xml:space="preserve">4</w:t>
            </w:r>
          </w:p>
          <w:p>
            <w:pPr>
              <w:jc w:val="center"/>
            </w:pPr>
            <w:r>
              <w:rPr>
                <w:rFonts w:ascii="Arial" w:cs="Arial" w:eastAsia="Arial" w:hAnsi="Arial"/>
                <w:color w:val="FFFFFF"/>
                <w:sz w:val="14"/>
                <w:szCs w:val="14"/>
              </w:rPr>
              <w:t xml:space="preserve">Low</w:t>
            </w:r>
          </w:p>
        </w:tc>
        <w:tc>
          <w:tcPr>
            <w:tcW w:type="dxa" w:w="13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tcPr>
          <w:p>
            <w:pPr>
              <w:jc w:val="center"/>
            </w:pPr>
            <w:r>
              <w:rPr>
                <w:rFonts w:ascii="Arial" w:cs="Arial" w:eastAsia="Arial" w:hAnsi="Arial"/>
                <w:b/>
                <w:bCs/>
                <w:color w:val="FFFFFF"/>
                <w:sz w:val="22"/>
                <w:szCs w:val="22"/>
              </w:rPr>
              <w:t xml:space="preserve">8</w:t>
            </w:r>
          </w:p>
          <w:p>
            <w:pPr>
              <w:jc w:val="center"/>
            </w:pPr>
            <w:r>
              <w:rPr>
                <w:rFonts w:ascii="Arial" w:cs="Arial" w:eastAsia="Arial" w:hAnsi="Arial"/>
                <w:color w:val="FFFFFF"/>
                <w:sz w:val="14"/>
                <w:szCs w:val="14"/>
              </w:rPr>
              <w:t xml:space="preserve">Medium</w:t>
            </w:r>
          </w:p>
        </w:tc>
        <w:tc>
          <w:tcPr>
            <w:tcW w:type="dxa" w:w="136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22"/>
                <w:szCs w:val="22"/>
              </w:rPr>
              <w:t xml:space="preserve">12</w:t>
            </w:r>
          </w:p>
          <w:p>
            <w:pPr>
              <w:jc w:val="center"/>
            </w:pPr>
            <w:r>
              <w:rPr>
                <w:rFonts w:ascii="Arial" w:cs="Arial" w:eastAsia="Arial" w:hAnsi="Arial"/>
                <w:color w:val="FFFFFF"/>
                <w:sz w:val="14"/>
                <w:szCs w:val="14"/>
              </w:rPr>
              <w:t xml:space="preserve">High</w:t>
            </w:r>
          </w:p>
        </w:tc>
        <w:tc>
          <w:tcPr>
            <w:tcW w:type="dxa" w:w="1360"/>
            <w:tcBorders>
              <w:top w:val="single" w:color="CCCCCC" w:sz="1"/>
              <w:left w:val="single" w:color="CCCCCC" w:sz="1"/>
              <w:bottom w:val="single" w:color="CCCCCC" w:sz="1"/>
              <w:right w:val="single" w:color="CCCCCC" w:sz="1"/>
            </w:tcBorders>
            <w:shd w:fill="7B0000" w:val="clear"/>
            <w:tcMar>
              <w:top w:type="dxa" w:w="80"/>
              <w:left w:type="dxa" w:w="80"/>
              <w:bottom w:type="dxa" w:w="80"/>
              <w:right w:type="dxa" w:w="80"/>
            </w:tcMar>
          </w:tcPr>
          <w:p>
            <w:pPr>
              <w:jc w:val="center"/>
            </w:pPr>
            <w:r>
              <w:rPr>
                <w:rFonts w:ascii="Arial" w:cs="Arial" w:eastAsia="Arial" w:hAnsi="Arial"/>
                <w:b/>
                <w:bCs/>
                <w:color w:val="FFFFFF"/>
                <w:sz w:val="22"/>
                <w:szCs w:val="22"/>
              </w:rPr>
              <w:t xml:space="preserve">16</w:t>
            </w:r>
          </w:p>
          <w:p>
            <w:pPr>
              <w:jc w:val="center"/>
            </w:pPr>
            <w:r>
              <w:rPr>
                <w:rFonts w:ascii="Arial" w:cs="Arial" w:eastAsia="Arial" w:hAnsi="Arial"/>
                <w:color w:val="FFFFFF"/>
                <w:sz w:val="14"/>
                <w:szCs w:val="14"/>
              </w:rPr>
              <w:t xml:space="preserve">Critical</w:t>
            </w:r>
          </w:p>
        </w:tc>
        <w:tc>
          <w:tcPr>
            <w:tcW w:type="dxa" w:w="1360"/>
            <w:tcBorders>
              <w:top w:val="single" w:color="CCCCCC" w:sz="1"/>
              <w:left w:val="single" w:color="CCCCCC" w:sz="1"/>
              <w:bottom w:val="single" w:color="CCCCCC" w:sz="1"/>
              <w:right w:val="single" w:color="CCCCCC" w:sz="1"/>
            </w:tcBorders>
            <w:shd w:fill="7B0000" w:val="clear"/>
            <w:tcMar>
              <w:top w:type="dxa" w:w="80"/>
              <w:left w:type="dxa" w:w="80"/>
              <w:bottom w:type="dxa" w:w="80"/>
              <w:right w:type="dxa" w:w="80"/>
            </w:tcMar>
          </w:tcPr>
          <w:p>
            <w:pPr>
              <w:jc w:val="center"/>
            </w:pPr>
            <w:r>
              <w:rPr>
                <w:rFonts w:ascii="Arial" w:cs="Arial" w:eastAsia="Arial" w:hAnsi="Arial"/>
                <w:b/>
                <w:bCs/>
                <w:color w:val="FFFFFF"/>
                <w:sz w:val="22"/>
                <w:szCs w:val="22"/>
              </w:rPr>
              <w:t xml:space="preserve">20</w:t>
            </w:r>
          </w:p>
          <w:p>
            <w:pPr>
              <w:jc w:val="center"/>
            </w:pPr>
            <w:r>
              <w:rPr>
                <w:rFonts w:ascii="Arial" w:cs="Arial" w:eastAsia="Arial" w:hAnsi="Arial"/>
                <w:color w:val="FFFFFF"/>
                <w:sz w:val="14"/>
                <w:szCs w:val="14"/>
              </w:rPr>
              <w:t xml:space="preserve">Critical</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Likely</w:t>
            </w:r>
          </w:p>
        </w:tc>
      </w:tr>
      <w:tr>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L=3</w:t>
            </w:r>
          </w:p>
        </w:tc>
        <w:tc>
          <w:tcPr>
            <w:tcW w:type="dxa" w:w="1360"/>
            <w:tcBorders>
              <w:top w:val="single" w:color="CCCCCC" w:sz="1"/>
              <w:left w:val="single" w:color="CCCCCC" w:sz="1"/>
              <w:bottom w:val="single" w:color="CCCCCC" w:sz="1"/>
              <w:right w:val="single" w:color="CCCCCC" w:sz="1"/>
            </w:tcBorders>
            <w:shd w:fill="FFC000" w:val="clear"/>
            <w:tcMar>
              <w:top w:type="dxa" w:w="80"/>
              <w:left w:type="dxa" w:w="80"/>
              <w:bottom w:type="dxa" w:w="80"/>
              <w:right w:type="dxa" w:w="80"/>
            </w:tcMar>
          </w:tcPr>
          <w:p>
            <w:pPr>
              <w:jc w:val="center"/>
            </w:pPr>
            <w:r>
              <w:rPr>
                <w:rFonts w:ascii="Arial" w:cs="Arial" w:eastAsia="Arial" w:hAnsi="Arial"/>
                <w:b/>
                <w:bCs/>
                <w:color w:val="FFFFFF"/>
                <w:sz w:val="22"/>
                <w:szCs w:val="22"/>
              </w:rPr>
              <w:t xml:space="preserve">3</w:t>
            </w:r>
          </w:p>
          <w:p>
            <w:pPr>
              <w:jc w:val="center"/>
            </w:pPr>
            <w:r>
              <w:rPr>
                <w:rFonts w:ascii="Arial" w:cs="Arial" w:eastAsia="Arial" w:hAnsi="Arial"/>
                <w:color w:val="FFFFFF"/>
                <w:sz w:val="14"/>
                <w:szCs w:val="14"/>
              </w:rPr>
              <w:t xml:space="preserve">Low</w:t>
            </w:r>
          </w:p>
        </w:tc>
        <w:tc>
          <w:tcPr>
            <w:tcW w:type="dxa" w:w="13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tcPr>
          <w:p>
            <w:pPr>
              <w:jc w:val="center"/>
            </w:pPr>
            <w:r>
              <w:rPr>
                <w:rFonts w:ascii="Arial" w:cs="Arial" w:eastAsia="Arial" w:hAnsi="Arial"/>
                <w:b/>
                <w:bCs/>
                <w:color w:val="FFFFFF"/>
                <w:sz w:val="22"/>
                <w:szCs w:val="22"/>
              </w:rPr>
              <w:t xml:space="preserve">6</w:t>
            </w:r>
          </w:p>
          <w:p>
            <w:pPr>
              <w:jc w:val="center"/>
            </w:pPr>
            <w:r>
              <w:rPr>
                <w:rFonts w:ascii="Arial" w:cs="Arial" w:eastAsia="Arial" w:hAnsi="Arial"/>
                <w:color w:val="FFFFFF"/>
                <w:sz w:val="14"/>
                <w:szCs w:val="14"/>
              </w:rPr>
              <w:t xml:space="preserve">Medium</w:t>
            </w:r>
          </w:p>
        </w:tc>
        <w:tc>
          <w:tcPr>
            <w:tcW w:type="dxa" w:w="13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tcPr>
          <w:p>
            <w:pPr>
              <w:jc w:val="center"/>
            </w:pPr>
            <w:r>
              <w:rPr>
                <w:rFonts w:ascii="Arial" w:cs="Arial" w:eastAsia="Arial" w:hAnsi="Arial"/>
                <w:b/>
                <w:bCs/>
                <w:color w:val="FFFFFF"/>
                <w:sz w:val="22"/>
                <w:szCs w:val="22"/>
              </w:rPr>
              <w:t xml:space="preserve">9</w:t>
            </w:r>
          </w:p>
          <w:p>
            <w:pPr>
              <w:jc w:val="center"/>
            </w:pPr>
            <w:r>
              <w:rPr>
                <w:rFonts w:ascii="Arial" w:cs="Arial" w:eastAsia="Arial" w:hAnsi="Arial"/>
                <w:color w:val="FFFFFF"/>
                <w:sz w:val="14"/>
                <w:szCs w:val="14"/>
              </w:rPr>
              <w:t xml:space="preserve">Medium</w:t>
            </w:r>
          </w:p>
        </w:tc>
        <w:tc>
          <w:tcPr>
            <w:tcW w:type="dxa" w:w="136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22"/>
                <w:szCs w:val="22"/>
              </w:rPr>
              <w:t xml:space="preserve">12</w:t>
            </w:r>
          </w:p>
          <w:p>
            <w:pPr>
              <w:jc w:val="center"/>
            </w:pPr>
            <w:r>
              <w:rPr>
                <w:rFonts w:ascii="Arial" w:cs="Arial" w:eastAsia="Arial" w:hAnsi="Arial"/>
                <w:color w:val="FFFFFF"/>
                <w:sz w:val="14"/>
                <w:szCs w:val="14"/>
              </w:rPr>
              <w:t xml:space="preserve">High</w:t>
            </w:r>
          </w:p>
        </w:tc>
        <w:tc>
          <w:tcPr>
            <w:tcW w:type="dxa" w:w="1360"/>
            <w:tcBorders>
              <w:top w:val="single" w:color="CCCCCC" w:sz="1"/>
              <w:left w:val="single" w:color="CCCCCC" w:sz="1"/>
              <w:bottom w:val="single" w:color="CCCCCC" w:sz="1"/>
              <w:right w:val="single" w:color="CCCCCC" w:sz="1"/>
            </w:tcBorders>
            <w:shd w:fill="7B0000" w:val="clear"/>
            <w:tcMar>
              <w:top w:type="dxa" w:w="80"/>
              <w:left w:type="dxa" w:w="80"/>
              <w:bottom w:type="dxa" w:w="80"/>
              <w:right w:type="dxa" w:w="80"/>
            </w:tcMar>
          </w:tcPr>
          <w:p>
            <w:pPr>
              <w:jc w:val="center"/>
            </w:pPr>
            <w:r>
              <w:rPr>
                <w:rFonts w:ascii="Arial" w:cs="Arial" w:eastAsia="Arial" w:hAnsi="Arial"/>
                <w:b/>
                <w:bCs/>
                <w:color w:val="FFFFFF"/>
                <w:sz w:val="22"/>
                <w:szCs w:val="22"/>
              </w:rPr>
              <w:t xml:space="preserve">15</w:t>
            </w:r>
          </w:p>
          <w:p>
            <w:pPr>
              <w:jc w:val="center"/>
            </w:pPr>
            <w:r>
              <w:rPr>
                <w:rFonts w:ascii="Arial" w:cs="Arial" w:eastAsia="Arial" w:hAnsi="Arial"/>
                <w:color w:val="FFFFFF"/>
                <w:sz w:val="14"/>
                <w:szCs w:val="14"/>
              </w:rPr>
              <w:t xml:space="preserve">Critical</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Possible</w:t>
            </w:r>
          </w:p>
        </w:tc>
      </w:tr>
      <w:tr>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L=2</w:t>
            </w:r>
          </w:p>
        </w:tc>
        <w:tc>
          <w:tcPr>
            <w:tcW w:type="dxa" w:w="136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tcPr>
          <w:p>
            <w:pPr>
              <w:jc w:val="center"/>
            </w:pPr>
            <w:r>
              <w:rPr>
                <w:rFonts w:ascii="Arial" w:cs="Arial" w:eastAsia="Arial" w:hAnsi="Arial"/>
                <w:b/>
                <w:bCs/>
                <w:color w:val="FFFFFF"/>
                <w:sz w:val="22"/>
                <w:szCs w:val="22"/>
              </w:rPr>
              <w:t xml:space="preserve">2</w:t>
            </w:r>
          </w:p>
          <w:p>
            <w:pPr>
              <w:jc w:val="center"/>
            </w:pPr>
            <w:r>
              <w:rPr>
                <w:rFonts w:ascii="Arial" w:cs="Arial" w:eastAsia="Arial" w:hAnsi="Arial"/>
                <w:color w:val="FFFFFF"/>
                <w:sz w:val="14"/>
                <w:szCs w:val="14"/>
              </w:rPr>
              <w:t xml:space="preserve">Low</w:t>
            </w:r>
          </w:p>
        </w:tc>
        <w:tc>
          <w:tcPr>
            <w:tcW w:type="dxa" w:w="1360"/>
            <w:tcBorders>
              <w:top w:val="single" w:color="CCCCCC" w:sz="1"/>
              <w:left w:val="single" w:color="CCCCCC" w:sz="1"/>
              <w:bottom w:val="single" w:color="CCCCCC" w:sz="1"/>
              <w:right w:val="single" w:color="CCCCCC" w:sz="1"/>
            </w:tcBorders>
            <w:shd w:fill="FFC000" w:val="clear"/>
            <w:tcMar>
              <w:top w:type="dxa" w:w="80"/>
              <w:left w:type="dxa" w:w="80"/>
              <w:bottom w:type="dxa" w:w="80"/>
              <w:right w:type="dxa" w:w="80"/>
            </w:tcMar>
          </w:tcPr>
          <w:p>
            <w:pPr>
              <w:jc w:val="center"/>
            </w:pPr>
            <w:r>
              <w:rPr>
                <w:rFonts w:ascii="Arial" w:cs="Arial" w:eastAsia="Arial" w:hAnsi="Arial"/>
                <w:b/>
                <w:bCs/>
                <w:color w:val="FFFFFF"/>
                <w:sz w:val="22"/>
                <w:szCs w:val="22"/>
              </w:rPr>
              <w:t xml:space="preserve">4</w:t>
            </w:r>
          </w:p>
          <w:p>
            <w:pPr>
              <w:jc w:val="center"/>
            </w:pPr>
            <w:r>
              <w:rPr>
                <w:rFonts w:ascii="Arial" w:cs="Arial" w:eastAsia="Arial" w:hAnsi="Arial"/>
                <w:color w:val="FFFFFF"/>
                <w:sz w:val="14"/>
                <w:szCs w:val="14"/>
              </w:rPr>
              <w:t xml:space="preserve">Low</w:t>
            </w:r>
          </w:p>
        </w:tc>
        <w:tc>
          <w:tcPr>
            <w:tcW w:type="dxa" w:w="13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tcPr>
          <w:p>
            <w:pPr>
              <w:jc w:val="center"/>
            </w:pPr>
            <w:r>
              <w:rPr>
                <w:rFonts w:ascii="Arial" w:cs="Arial" w:eastAsia="Arial" w:hAnsi="Arial"/>
                <w:b/>
                <w:bCs/>
                <w:color w:val="FFFFFF"/>
                <w:sz w:val="22"/>
                <w:szCs w:val="22"/>
              </w:rPr>
              <w:t xml:space="preserve">6</w:t>
            </w:r>
          </w:p>
          <w:p>
            <w:pPr>
              <w:jc w:val="center"/>
            </w:pPr>
            <w:r>
              <w:rPr>
                <w:rFonts w:ascii="Arial" w:cs="Arial" w:eastAsia="Arial" w:hAnsi="Arial"/>
                <w:color w:val="FFFFFF"/>
                <w:sz w:val="14"/>
                <w:szCs w:val="14"/>
              </w:rPr>
              <w:t xml:space="preserve">Medium</w:t>
            </w:r>
          </w:p>
        </w:tc>
        <w:tc>
          <w:tcPr>
            <w:tcW w:type="dxa" w:w="13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tcPr>
          <w:p>
            <w:pPr>
              <w:jc w:val="center"/>
            </w:pPr>
            <w:r>
              <w:rPr>
                <w:rFonts w:ascii="Arial" w:cs="Arial" w:eastAsia="Arial" w:hAnsi="Arial"/>
                <w:b/>
                <w:bCs/>
                <w:color w:val="FFFFFF"/>
                <w:sz w:val="22"/>
                <w:szCs w:val="22"/>
              </w:rPr>
              <w:t xml:space="preserve">8</w:t>
            </w:r>
          </w:p>
          <w:p>
            <w:pPr>
              <w:jc w:val="center"/>
            </w:pPr>
            <w:r>
              <w:rPr>
                <w:rFonts w:ascii="Arial" w:cs="Arial" w:eastAsia="Arial" w:hAnsi="Arial"/>
                <w:color w:val="FFFFFF"/>
                <w:sz w:val="14"/>
                <w:szCs w:val="14"/>
              </w:rPr>
              <w:t xml:space="preserve">Medium</w:t>
            </w:r>
          </w:p>
        </w:tc>
        <w:tc>
          <w:tcPr>
            <w:tcW w:type="dxa" w:w="136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22"/>
                <w:szCs w:val="22"/>
              </w:rPr>
              <w:t xml:space="preserve">10</w:t>
            </w:r>
          </w:p>
          <w:p>
            <w:pPr>
              <w:jc w:val="center"/>
            </w:pPr>
            <w:r>
              <w:rPr>
                <w:rFonts w:ascii="Arial" w:cs="Arial" w:eastAsia="Arial" w:hAnsi="Arial"/>
                <w:color w:val="FFFFFF"/>
                <w:sz w:val="14"/>
                <w:szCs w:val="14"/>
              </w:rPr>
              <w:t xml:space="preserve">High</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Unlikely</w:t>
            </w:r>
          </w:p>
        </w:tc>
      </w:tr>
      <w:tr>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L=1</w:t>
            </w:r>
          </w:p>
        </w:tc>
        <w:tc>
          <w:tcPr>
            <w:tcW w:type="dxa" w:w="136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tcPr>
          <w:p>
            <w:pPr>
              <w:jc w:val="center"/>
            </w:pPr>
            <w:r>
              <w:rPr>
                <w:rFonts w:ascii="Arial" w:cs="Arial" w:eastAsia="Arial" w:hAnsi="Arial"/>
                <w:b/>
                <w:bCs/>
                <w:color w:val="FFFFFF"/>
                <w:sz w:val="22"/>
                <w:szCs w:val="22"/>
              </w:rPr>
              <w:t xml:space="preserve">1</w:t>
            </w:r>
          </w:p>
          <w:p>
            <w:pPr>
              <w:jc w:val="center"/>
            </w:pPr>
            <w:r>
              <w:rPr>
                <w:rFonts w:ascii="Arial" w:cs="Arial" w:eastAsia="Arial" w:hAnsi="Arial"/>
                <w:color w:val="FFFFFF"/>
                <w:sz w:val="14"/>
                <w:szCs w:val="14"/>
              </w:rPr>
              <w:t xml:space="preserve">Low</w:t>
            </w:r>
          </w:p>
        </w:tc>
        <w:tc>
          <w:tcPr>
            <w:tcW w:type="dxa" w:w="136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tcPr>
          <w:p>
            <w:pPr>
              <w:jc w:val="center"/>
            </w:pPr>
            <w:r>
              <w:rPr>
                <w:rFonts w:ascii="Arial" w:cs="Arial" w:eastAsia="Arial" w:hAnsi="Arial"/>
                <w:b/>
                <w:bCs/>
                <w:color w:val="FFFFFF"/>
                <w:sz w:val="22"/>
                <w:szCs w:val="22"/>
              </w:rPr>
              <w:t xml:space="preserve">2</w:t>
            </w:r>
          </w:p>
          <w:p>
            <w:pPr>
              <w:jc w:val="center"/>
            </w:pPr>
            <w:r>
              <w:rPr>
                <w:rFonts w:ascii="Arial" w:cs="Arial" w:eastAsia="Arial" w:hAnsi="Arial"/>
                <w:color w:val="FFFFFF"/>
                <w:sz w:val="14"/>
                <w:szCs w:val="14"/>
              </w:rPr>
              <w:t xml:space="preserve">Low</w:t>
            </w:r>
          </w:p>
        </w:tc>
        <w:tc>
          <w:tcPr>
            <w:tcW w:type="dxa" w:w="1360"/>
            <w:tcBorders>
              <w:top w:val="single" w:color="CCCCCC" w:sz="1"/>
              <w:left w:val="single" w:color="CCCCCC" w:sz="1"/>
              <w:bottom w:val="single" w:color="CCCCCC" w:sz="1"/>
              <w:right w:val="single" w:color="CCCCCC" w:sz="1"/>
            </w:tcBorders>
            <w:shd w:fill="FFC000" w:val="clear"/>
            <w:tcMar>
              <w:top w:type="dxa" w:w="80"/>
              <w:left w:type="dxa" w:w="80"/>
              <w:bottom w:type="dxa" w:w="80"/>
              <w:right w:type="dxa" w:w="80"/>
            </w:tcMar>
          </w:tcPr>
          <w:p>
            <w:pPr>
              <w:jc w:val="center"/>
            </w:pPr>
            <w:r>
              <w:rPr>
                <w:rFonts w:ascii="Arial" w:cs="Arial" w:eastAsia="Arial" w:hAnsi="Arial"/>
                <w:b/>
                <w:bCs/>
                <w:color w:val="FFFFFF"/>
                <w:sz w:val="22"/>
                <w:szCs w:val="22"/>
              </w:rPr>
              <w:t xml:space="preserve">3</w:t>
            </w:r>
          </w:p>
          <w:p>
            <w:pPr>
              <w:jc w:val="center"/>
            </w:pPr>
            <w:r>
              <w:rPr>
                <w:rFonts w:ascii="Arial" w:cs="Arial" w:eastAsia="Arial" w:hAnsi="Arial"/>
                <w:color w:val="FFFFFF"/>
                <w:sz w:val="14"/>
                <w:szCs w:val="14"/>
              </w:rPr>
              <w:t xml:space="preserve">Low</w:t>
            </w:r>
          </w:p>
        </w:tc>
        <w:tc>
          <w:tcPr>
            <w:tcW w:type="dxa" w:w="1360"/>
            <w:tcBorders>
              <w:top w:val="single" w:color="CCCCCC" w:sz="1"/>
              <w:left w:val="single" w:color="CCCCCC" w:sz="1"/>
              <w:bottom w:val="single" w:color="CCCCCC" w:sz="1"/>
              <w:right w:val="single" w:color="CCCCCC" w:sz="1"/>
            </w:tcBorders>
            <w:shd w:fill="FFC000" w:val="clear"/>
            <w:tcMar>
              <w:top w:type="dxa" w:w="80"/>
              <w:left w:type="dxa" w:w="80"/>
              <w:bottom w:type="dxa" w:w="80"/>
              <w:right w:type="dxa" w:w="80"/>
            </w:tcMar>
          </w:tcPr>
          <w:p>
            <w:pPr>
              <w:jc w:val="center"/>
            </w:pPr>
            <w:r>
              <w:rPr>
                <w:rFonts w:ascii="Arial" w:cs="Arial" w:eastAsia="Arial" w:hAnsi="Arial"/>
                <w:b/>
                <w:bCs/>
                <w:color w:val="FFFFFF"/>
                <w:sz w:val="22"/>
                <w:szCs w:val="22"/>
              </w:rPr>
              <w:t xml:space="preserve">4</w:t>
            </w:r>
          </w:p>
          <w:p>
            <w:pPr>
              <w:jc w:val="center"/>
            </w:pPr>
            <w:r>
              <w:rPr>
                <w:rFonts w:ascii="Arial" w:cs="Arial" w:eastAsia="Arial" w:hAnsi="Arial"/>
                <w:color w:val="FFFFFF"/>
                <w:sz w:val="14"/>
                <w:szCs w:val="14"/>
              </w:rPr>
              <w:t xml:space="preserve">Low</w:t>
            </w:r>
          </w:p>
        </w:tc>
        <w:tc>
          <w:tcPr>
            <w:tcW w:type="dxa" w:w="1360"/>
            <w:tcBorders>
              <w:top w:val="single" w:color="CCCCCC" w:sz="1"/>
              <w:left w:val="single" w:color="CCCCCC" w:sz="1"/>
              <w:bottom w:val="single" w:color="CCCCCC" w:sz="1"/>
              <w:right w:val="single" w:color="CCCCCC" w:sz="1"/>
            </w:tcBorders>
            <w:shd w:fill="FFC000" w:val="clear"/>
            <w:tcMar>
              <w:top w:type="dxa" w:w="80"/>
              <w:left w:type="dxa" w:w="80"/>
              <w:bottom w:type="dxa" w:w="80"/>
              <w:right w:type="dxa" w:w="80"/>
            </w:tcMar>
          </w:tcPr>
          <w:p>
            <w:pPr>
              <w:jc w:val="center"/>
            </w:pPr>
            <w:r>
              <w:rPr>
                <w:rFonts w:ascii="Arial" w:cs="Arial" w:eastAsia="Arial" w:hAnsi="Arial"/>
                <w:b/>
                <w:bCs/>
                <w:color w:val="FFFFFF"/>
                <w:sz w:val="22"/>
                <w:szCs w:val="22"/>
              </w:rPr>
              <w:t xml:space="preserve">5</w:t>
            </w:r>
          </w:p>
          <w:p>
            <w:pPr>
              <w:jc w:val="center"/>
            </w:pPr>
            <w:r>
              <w:rPr>
                <w:rFonts w:ascii="Arial" w:cs="Arial" w:eastAsia="Arial" w:hAnsi="Arial"/>
                <w:color w:val="FFFFFF"/>
                <w:sz w:val="14"/>
                <w:szCs w:val="14"/>
              </w:rPr>
              <w:t xml:space="preserve">Low</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Rare</w:t>
            </w:r>
          </w:p>
        </w:tc>
      </w:tr>
    </w:tbl>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660"/>
      </w:tblGrid>
      <w:tr>
        <w:tc>
          <w:tcPr>
            <w:tcW w:type="dxa" w:w="1400"/>
            <w:tcBorders>
              <w:top w:val="single" w:color="CCCCCC" w:sz="1"/>
              <w:left w:val="single" w:color="CCCCCC" w:sz="1"/>
              <w:bottom w:val="single" w:color="CCCCCC" w:sz="1"/>
              <w:right w:val="single" w:color="CCCCCC" w:sz="1"/>
            </w:tcBorders>
            <w:shd w:fill="70AD47" w:val="clear"/>
            <w:tcMar>
              <w:top w:type="dxa" w:w="60"/>
              <w:left w:type="dxa" w:w="80"/>
              <w:bottom w:type="dxa" w:w="60"/>
              <w:right w:type="dxa" w:w="80"/>
            </w:tcMar>
          </w:tcPr>
          <w:p>
            <w:pPr>
              <w:jc w:val="center"/>
            </w:pPr>
            <w:r>
              <w:rPr>
                <w:rFonts w:ascii="Arial" w:cs="Arial" w:eastAsia="Arial" w:hAnsi="Arial"/>
                <w:b/>
                <w:bCs/>
                <w:color w:val="FFFFFF"/>
                <w:sz w:val="18"/>
                <w:szCs w:val="18"/>
              </w:rPr>
              <w:t xml:space="preserve">LOW (1–5)</w:t>
            </w:r>
          </w:p>
        </w:tc>
        <w:tc>
          <w:tcPr>
            <w:tcW w:type="dxa" w:w="1400"/>
            <w:tcBorders>
              <w:top w:val="single" w:color="CCCCCC" w:sz="1"/>
              <w:left w:val="single" w:color="CCCCCC" w:sz="1"/>
              <w:bottom w:val="single" w:color="CCCCCC" w:sz="1"/>
              <w:right w:val="single" w:color="CCCCCC" w:sz="1"/>
            </w:tcBorders>
            <w:shd w:fill="ED7D31" w:val="clear"/>
            <w:tcMar>
              <w:top w:type="dxa" w:w="60"/>
              <w:left w:type="dxa" w:w="80"/>
              <w:bottom w:type="dxa" w:w="60"/>
              <w:right w:type="dxa" w:w="80"/>
            </w:tcMar>
          </w:tcPr>
          <w:p>
            <w:pPr>
              <w:jc w:val="center"/>
            </w:pPr>
            <w:r>
              <w:rPr>
                <w:rFonts w:ascii="Arial" w:cs="Arial" w:eastAsia="Arial" w:hAnsi="Arial"/>
                <w:b/>
                <w:bCs/>
                <w:color w:val="FFFFFF"/>
                <w:sz w:val="18"/>
                <w:szCs w:val="18"/>
              </w:rPr>
              <w:t xml:space="preserve">MEDIUM (6–9)</w:t>
            </w:r>
          </w:p>
        </w:tc>
        <w:tc>
          <w:tcPr>
            <w:tcW w:type="dxa" w:w="1400"/>
            <w:tcBorders>
              <w:top w:val="single" w:color="CCCCCC" w:sz="1"/>
              <w:left w:val="single" w:color="CCCCCC" w:sz="1"/>
              <w:bottom w:val="single" w:color="CCCCCC" w:sz="1"/>
              <w:right w:val="single" w:color="CCCCCC" w:sz="1"/>
            </w:tcBorders>
            <w:shd w:fill="C000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HIGH (10–14)</w:t>
            </w:r>
          </w:p>
        </w:tc>
        <w:tc>
          <w:tcPr>
            <w:tcW w:type="dxa" w:w="1400"/>
            <w:tcBorders>
              <w:top w:val="single" w:color="CCCCCC" w:sz="1"/>
              <w:left w:val="single" w:color="CCCCCC" w:sz="1"/>
              <w:bottom w:val="single" w:color="CCCCCC" w:sz="1"/>
              <w:right w:val="single" w:color="CCCCCC" w:sz="1"/>
            </w:tcBorders>
            <w:shd w:fill="7B00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CRITICAL (15–25)</w:t>
            </w:r>
          </w:p>
        </w:tc>
        <w:tc>
          <w:tcPr>
            <w:tcW w:type="dxa" w:w="3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Risk levels determine treatment urgency and reporting escalation (see §3.3).</w:t>
            </w:r>
          </w:p>
        </w:tc>
      </w:tr>
    </w:tbl>
    <w:p>
      <w:pPr>
        <w:spacing w:after="120" w:before="120"/>
      </w:pPr>
    </w:p>
    <w:p>
      <w:pPr>
        <w:pStyle w:val="Heading2"/>
        <w:spacing w:after="80" w:before="240"/>
      </w:pPr>
      <w:r>
        <w:rPr>
          <w:rFonts w:ascii="Arial" w:cs="Arial" w:eastAsia="Arial" w:hAnsi="Arial"/>
          <w:b/>
          <w:bCs/>
          <w:color w:val="2E75B6"/>
          <w:sz w:val="26"/>
          <w:szCs w:val="26"/>
        </w:rPr>
        <w:t xml:space="preserve">3.3 Risk Acceptance Criteria</w:t>
      </w:r>
    </w:p>
    <w:p>
      <w:pPr>
        <w:spacing w:after="80" w:before="80"/>
        <w:jc w:val="left"/>
      </w:pPr>
      <w:r>
        <w:rPr>
          <w:rFonts w:ascii="Arial" w:cs="Arial" w:eastAsia="Arial" w:hAnsi="Arial"/>
          <w:b w:val="false"/>
          <w:bCs w:val="false"/>
          <w:color w:val="000000"/>
          <w:sz w:val="20"/>
          <w:szCs w:val="20"/>
        </w:rPr>
        <w:t xml:space="preserve">The following risk acceptance criteria have been established by top management in accordance with Clause 6.1.2(a). These criteria are applied consistently across all risk assessment cycles and reviewed annually.</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760"/>
        <w:gridCol w:w="3700"/>
      </w:tblGrid>
      <w:tr>
        <w:trPr>
          <w:tblHeader/>
        </w:trPr>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 Level</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Score Range</w:t>
            </w:r>
          </w:p>
        </w:tc>
        <w:tc>
          <w:tcPr>
            <w:tcW w:type="dxa" w:w="27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Acceptance Criteria</w:t>
            </w:r>
          </w:p>
        </w:tc>
        <w:tc>
          <w:tcPr>
            <w:tcW w:type="dxa" w:w="37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Required Action</w:t>
            </w:r>
          </w:p>
        </w:tc>
      </w:tr>
      <w:tr>
        <w:tc>
          <w:tcPr>
            <w:tcW w:type="dxa" w:w="1400"/>
            <w:tcBorders>
              <w:top w:val="single" w:color="CCCCCC" w:sz="1"/>
              <w:left w:val="single" w:color="CCCCCC" w:sz="1"/>
              <w:bottom w:val="single" w:color="CCCCCC" w:sz="1"/>
              <w:right w:val="single" w:color="CCCCCC" w:sz="1"/>
            </w:tcBorders>
            <w:shd w:fill="7B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15–25</w:t>
            </w:r>
          </w:p>
        </w:tc>
        <w:tc>
          <w:tcPr>
            <w:tcW w:type="dxa" w:w="2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acceptable. Cannot be accepted by risk owner alone.</w:t>
            </w:r>
          </w:p>
        </w:tc>
        <w:tc>
          <w:tcPr>
            <w:tcW w:type="dxa" w:w="3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Immediate treatment required. MD approval mandatory for any temporary acceptance. Treatment plan with 90-day target. Reported at every management review.</w:t>
            </w:r>
          </w:p>
        </w:tc>
      </w:tr>
      <w:tr>
        <w:tc>
          <w:tcPr>
            <w:tcW w:type="dxa" w:w="14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10–14</w:t>
            </w:r>
          </w:p>
        </w:tc>
        <w:tc>
          <w:tcPr>
            <w:tcW w:type="dxa" w:w="2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acceptable without active treatment plan in place.</w:t>
            </w:r>
          </w:p>
        </w:tc>
        <w:tc>
          <w:tcPr>
            <w:tcW w:type="dxa" w:w="3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Treatment plan required within 30 days. ISM must approve treatment approach; MD informed. Progress tracked monthly. Risk remains open until residual score ≤9.</w:t>
            </w:r>
          </w:p>
        </w:tc>
      </w:tr>
      <w:tr>
        <w:tc>
          <w:tcPr>
            <w:tcW w:type="dxa" w:w="1400"/>
            <w:tcBorders>
              <w:top w:val="single" w:color="CCCCCC" w:sz="1"/>
              <w:left w:val="single" w:color="CCCCCC" w:sz="1"/>
              <w:bottom w:val="single" w:color="CCCCCC" w:sz="1"/>
              <w:right w:val="single" w:color="CCCCCC" w:sz="1"/>
            </w:tcBorders>
            <w:shd w:fill="ED7D3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6–9</w:t>
            </w:r>
          </w:p>
        </w:tc>
        <w:tc>
          <w:tcPr>
            <w:tcW w:type="dxa" w:w="2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Acceptable with documented treatment plan and named owner.</w:t>
            </w:r>
          </w:p>
        </w:tc>
        <w:tc>
          <w:tcPr>
            <w:tcW w:type="dxa" w:w="3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Treatment plan documented with target date. ISM review quarterly. Reported at management review if no progress within 90 days.</w:t>
            </w:r>
          </w:p>
        </w:tc>
      </w:tr>
      <w:tr>
        <w:tc>
          <w:tcPr>
            <w:tcW w:type="dxa" w:w="140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1–5</w:t>
            </w:r>
          </w:p>
        </w:tc>
        <w:tc>
          <w:tcPr>
            <w:tcW w:type="dxa" w:w="2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Acceptable. Risk owner may accept with documented rationale.</w:t>
            </w:r>
          </w:p>
        </w:tc>
        <w:tc>
          <w:tcPr>
            <w:tcW w:type="dxa" w:w="3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Monitor annually. Review if context changes. Risk owner acceptance recorded in risk register.</w:t>
            </w:r>
          </w:p>
        </w:tc>
      </w:tr>
    </w:tbl>
    <w:p>
      <w:pPr>
        <w:spacing w:after="120" w:before="120"/>
      </w:pPr>
    </w:p>
    <w:p>
      <w:pPr>
        <w:pStyle w:val="Heading2"/>
        <w:spacing w:after="80" w:before="240"/>
      </w:pPr>
      <w:r>
        <w:rPr>
          <w:rFonts w:ascii="Arial" w:cs="Arial" w:eastAsia="Arial" w:hAnsi="Arial"/>
          <w:b/>
          <w:bCs/>
          <w:color w:val="2E75B6"/>
          <w:sz w:val="26"/>
          <w:szCs w:val="26"/>
        </w:rPr>
        <w:t xml:space="preserve">3.4 Risk Register Summary</w:t>
      </w:r>
    </w:p>
    <w:p>
      <w:pPr>
        <w:spacing w:after="80" w:before="80"/>
        <w:jc w:val="left"/>
      </w:pPr>
      <w:r>
        <w:rPr>
          <w:rFonts w:ascii="Arial" w:cs="Arial" w:eastAsia="Arial" w:hAnsi="Arial"/>
          <w:b w:val="false"/>
          <w:bCs w:val="false"/>
          <w:color w:val="000000"/>
          <w:sz w:val="20"/>
          <w:szCs w:val="20"/>
        </w:rPr>
        <w:t xml:space="preserve">The following table summarises all 15 identified information security risks. Full risk detail, including threat sources, vulnerabilities, CIA impact, controls applied, and residual risk scoring, is provided in Section 3.5. Columns: iL = Inherent Likelihood, iI = Inherent Impact, rL = Residual Likelihood, rI = Residual Impact.</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80"/>
        <w:gridCol w:w="1200"/>
        <w:gridCol w:w="1400"/>
        <w:gridCol w:w="600"/>
        <w:gridCol w:w="600"/>
        <w:gridCol w:w="700"/>
        <w:gridCol w:w="700"/>
        <w:gridCol w:w="700"/>
        <w:gridCol w:w="700"/>
        <w:gridCol w:w="800"/>
        <w:gridCol w:w="1180"/>
      </w:tblGrid>
      <w:tr>
        <w:trPr>
          <w:tblHeader/>
        </w:trPr>
        <w:tc>
          <w:tcPr>
            <w:tcW w:type="dxa" w:w="6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Category</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 Title</w:t>
            </w:r>
          </w:p>
        </w:tc>
        <w:tc>
          <w:tcPr>
            <w:tcW w:type="dxa" w:w="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iL</w:t>
            </w:r>
          </w:p>
        </w:tc>
        <w:tc>
          <w:tcPr>
            <w:tcW w:type="dxa" w:w="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iI</w:t>
            </w:r>
          </w:p>
        </w:tc>
        <w:tc>
          <w:tcPr>
            <w:tcW w:type="dxa" w:w="7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iScore</w:t>
            </w:r>
          </w:p>
        </w:tc>
        <w:tc>
          <w:tcPr>
            <w:tcW w:type="dxa" w:w="7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Treatment</w:t>
            </w:r>
          </w:p>
        </w:tc>
        <w:tc>
          <w:tcPr>
            <w:tcW w:type="dxa" w:w="7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rL</w:t>
            </w:r>
          </w:p>
        </w:tc>
        <w:tc>
          <w:tcPr>
            <w:tcW w:type="dxa" w:w="7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rScore</w:t>
            </w:r>
          </w:p>
        </w:tc>
        <w:tc>
          <w:tcPr>
            <w:tcW w:type="dxa" w:w="11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6"/>
                <w:szCs w:val="16"/>
              </w:rPr>
              <w:t xml:space="preserve">ISK-001</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Access Control</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Ransomware attack via compromised privileged credentials</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4</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5</w:t>
            </w:r>
          </w:p>
        </w:tc>
        <w:tc>
          <w:tcPr>
            <w:tcW w:type="dxa" w:w="700"/>
            <w:tcBorders>
              <w:top w:val="single" w:color="CCCCCC" w:sz="1"/>
              <w:left w:val="single" w:color="CCCCCC" w:sz="1"/>
              <w:bottom w:val="single" w:color="CCCCCC" w:sz="1"/>
              <w:right w:val="single" w:color="CCCCCC" w:sz="1"/>
            </w:tcBorders>
            <w:shd w:fill="7B0000"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20</w:t>
            </w:r>
          </w:p>
        </w:tc>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Modify</w:t>
            </w:r>
          </w:p>
        </w:tc>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2</w:t>
            </w:r>
          </w:p>
        </w:tc>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5</w:t>
            </w:r>
          </w:p>
        </w:tc>
        <w:tc>
          <w:tcPr>
            <w:tcW w:type="dxa" w:w="8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10</w:t>
            </w:r>
          </w:p>
        </w:tc>
        <w:tc>
          <w:tcPr>
            <w:tcW w:type="dxa" w:w="11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 / HoT</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6"/>
                <w:szCs w:val="16"/>
              </w:rPr>
              <w:t xml:space="preserve">ISK-002</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Access Control</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Credential theft and account takeover via phishing</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4</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4</w:t>
            </w:r>
          </w:p>
        </w:tc>
        <w:tc>
          <w:tcPr>
            <w:tcW w:type="dxa" w:w="700"/>
            <w:tcBorders>
              <w:top w:val="single" w:color="CCCCCC" w:sz="1"/>
              <w:left w:val="single" w:color="CCCCCC" w:sz="1"/>
              <w:bottom w:val="single" w:color="CCCCCC" w:sz="1"/>
              <w:right w:val="single" w:color="CCCCCC" w:sz="1"/>
            </w:tcBorders>
            <w:shd w:fill="7B0000"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16</w:t>
            </w:r>
          </w:p>
        </w:tc>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Modify</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2</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4</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8</w:t>
            </w:r>
          </w:p>
        </w:tc>
        <w:tc>
          <w:tcPr>
            <w:tcW w:type="dxa" w:w="1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6"/>
                <w:szCs w:val="16"/>
              </w:rPr>
              <w:t xml:space="preserve">ISK-003</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Third-Party / Supply Chain</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Compromise via third-party software or tooling (supply chain attack)</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3</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5</w:t>
            </w:r>
          </w:p>
        </w:tc>
        <w:tc>
          <w:tcPr>
            <w:tcW w:type="dxa" w:w="700"/>
            <w:tcBorders>
              <w:top w:val="single" w:color="CCCCCC" w:sz="1"/>
              <w:left w:val="single" w:color="CCCCCC" w:sz="1"/>
              <w:bottom w:val="single" w:color="CCCCCC" w:sz="1"/>
              <w:right w:val="single" w:color="CCCCCC" w:sz="1"/>
            </w:tcBorders>
            <w:shd w:fill="7B0000"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15</w:t>
            </w:r>
          </w:p>
        </w:tc>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Modify</w:t>
            </w:r>
          </w:p>
        </w:tc>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2</w:t>
            </w:r>
          </w:p>
        </w:tc>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4</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8</w:t>
            </w:r>
          </w:p>
        </w:tc>
        <w:tc>
          <w:tcPr>
            <w:tcW w:type="dxa" w:w="11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HoT</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6"/>
                <w:szCs w:val="16"/>
              </w:rPr>
              <w:t xml:space="preserve">ISK-004</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Data Protection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Unauthorised disclosure of client data (confidentiality breach)</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3</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5</w:t>
            </w:r>
          </w:p>
        </w:tc>
        <w:tc>
          <w:tcPr>
            <w:tcW w:type="dxa" w:w="700"/>
            <w:tcBorders>
              <w:top w:val="single" w:color="CCCCCC" w:sz="1"/>
              <w:left w:val="single" w:color="CCCCCC" w:sz="1"/>
              <w:bottom w:val="single" w:color="CCCCCC" w:sz="1"/>
              <w:right w:val="single" w:color="CCCCCC" w:sz="1"/>
            </w:tcBorders>
            <w:shd w:fill="7B0000"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15</w:t>
            </w:r>
          </w:p>
        </w:tc>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Modify</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2</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4</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8</w:t>
            </w:r>
          </w:p>
        </w:tc>
        <w:tc>
          <w:tcPr>
            <w:tcW w:type="dxa" w:w="1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 / Data Protection Lead</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6"/>
                <w:szCs w:val="16"/>
              </w:rPr>
              <w:t xml:space="preserve">ISK-005</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Availability</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Prolonged service outage due to cloud platform failure or cyberattack</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3</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4</w:t>
            </w:r>
          </w:p>
        </w:tc>
        <w:tc>
          <w:tcPr>
            <w:tcW w:type="dxa" w:w="7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12</w:t>
            </w:r>
          </w:p>
        </w:tc>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Modify</w:t>
            </w:r>
          </w:p>
        </w:tc>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2</w:t>
            </w:r>
          </w:p>
        </w:tc>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3</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6</w:t>
            </w:r>
          </w:p>
        </w:tc>
        <w:tc>
          <w:tcPr>
            <w:tcW w:type="dxa" w:w="11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HoT / MD</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6"/>
                <w:szCs w:val="16"/>
              </w:rPr>
              <w:t xml:space="preserve">ISK-006</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Personnel</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Key person dependency — loss of critical ISMS or technical capability</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3</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4</w:t>
            </w:r>
          </w:p>
        </w:tc>
        <w:tc>
          <w:tcPr>
            <w:tcW w:type="dxa" w:w="7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12</w:t>
            </w:r>
          </w:p>
        </w:tc>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Modify</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2</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3</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6</w:t>
            </w:r>
          </w:p>
        </w:tc>
        <w:tc>
          <w:tcPr>
            <w:tcW w:type="dxa" w:w="1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MD</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6"/>
                <w:szCs w:val="16"/>
              </w:rPr>
              <w:t xml:space="preserve">ISK-007</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Privileged Access</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Insider threat — malicious or negligent misuse of privileged access</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2</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5</w:t>
            </w:r>
          </w:p>
        </w:tc>
        <w:tc>
          <w:tcPr>
            <w:tcW w:type="dxa" w:w="7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10</w:t>
            </w:r>
          </w:p>
        </w:tc>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Modify</w:t>
            </w:r>
          </w:p>
        </w:tc>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2</w:t>
            </w:r>
          </w:p>
        </w:tc>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4</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8</w:t>
            </w:r>
          </w:p>
        </w:tc>
        <w:tc>
          <w:tcPr>
            <w:tcW w:type="dxa" w:w="11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6"/>
                <w:szCs w:val="16"/>
              </w:rPr>
              <w:t xml:space="preserve">ISK-008</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Compliance</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UK GDPR / DPA 2018 non-compliance resulting in regulatory action</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2</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4</w:t>
            </w:r>
          </w:p>
        </w:tc>
        <w:tc>
          <w:tcPr>
            <w:tcW w:type="dxa" w:w="7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8</w:t>
            </w:r>
          </w:p>
        </w:tc>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Modify</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4</w:t>
            </w:r>
          </w:p>
        </w:tc>
        <w:tc>
          <w:tcPr>
            <w:tcW w:type="dxa" w:w="8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4</w:t>
            </w:r>
          </w:p>
        </w:tc>
        <w:tc>
          <w:tcPr>
            <w:tcW w:type="dxa" w:w="1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Data Protection Lead</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6"/>
                <w:szCs w:val="16"/>
              </w:rPr>
              <w:t xml:space="preserve">ISK-009</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Vulnerability Management</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Exploitation of unpatched vulnerability in managed infrastructure</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3</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4</w:t>
            </w:r>
          </w:p>
        </w:tc>
        <w:tc>
          <w:tcPr>
            <w:tcW w:type="dxa" w:w="7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12</w:t>
            </w:r>
          </w:p>
        </w:tc>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Modify</w:t>
            </w:r>
          </w:p>
        </w:tc>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2</w:t>
            </w:r>
          </w:p>
        </w:tc>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3</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6</w:t>
            </w:r>
          </w:p>
        </w:tc>
        <w:tc>
          <w:tcPr>
            <w:tcW w:type="dxa" w:w="11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HoT</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6"/>
                <w:szCs w:val="16"/>
              </w:rPr>
              <w:t xml:space="preserve">ISK-010</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Physical / Endpoint</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Loss or theft of device containing sensitive information</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3</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3</w:t>
            </w:r>
          </w:p>
        </w:tc>
        <w:tc>
          <w:tcPr>
            <w:tcW w:type="dxa" w:w="7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9</w:t>
            </w:r>
          </w:p>
        </w:tc>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Modify</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3</w:t>
            </w:r>
          </w:p>
        </w:tc>
        <w:tc>
          <w:tcPr>
            <w:tcW w:type="dxa" w:w="8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3</w:t>
            </w:r>
          </w:p>
        </w:tc>
        <w:tc>
          <w:tcPr>
            <w:tcW w:type="dxa" w:w="1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HoT</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6"/>
                <w:szCs w:val="16"/>
              </w:rPr>
              <w:t xml:space="preserve">ISK-011</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Incident Management</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Inadequate incident detection and response capability</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3</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4</w:t>
            </w:r>
          </w:p>
        </w:tc>
        <w:tc>
          <w:tcPr>
            <w:tcW w:type="dxa" w:w="7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12</w:t>
            </w:r>
          </w:p>
        </w:tc>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Modify</w:t>
            </w:r>
          </w:p>
        </w:tc>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2</w:t>
            </w:r>
          </w:p>
        </w:tc>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3</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6</w:t>
            </w:r>
          </w:p>
        </w:tc>
        <w:tc>
          <w:tcPr>
            <w:tcW w:type="dxa" w:w="11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6"/>
                <w:szCs w:val="16"/>
              </w:rPr>
              <w:t xml:space="preserve">ISK-012</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Third-Party / Supply Chain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Inadequate security controls at a critical supplier causing downstream impact</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3</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3</w:t>
            </w:r>
          </w:p>
        </w:tc>
        <w:tc>
          <w:tcPr>
            <w:tcW w:type="dxa" w:w="7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9</w:t>
            </w:r>
          </w:p>
        </w:tc>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Modify</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2</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3</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6</w:t>
            </w:r>
          </w:p>
        </w:tc>
        <w:tc>
          <w:tcPr>
            <w:tcW w:type="dxa" w:w="1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6"/>
                <w:szCs w:val="16"/>
              </w:rPr>
              <w:t xml:space="preserve">ISK-013</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Compliance</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Failure to achieve or maintain ISO 27001:2022 certification</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2</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3</w:t>
            </w:r>
          </w:p>
        </w:tc>
        <w:tc>
          <w:tcPr>
            <w:tcW w:type="dxa" w:w="7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6</w:t>
            </w:r>
          </w:p>
        </w:tc>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Modify</w:t>
            </w:r>
          </w:p>
        </w:tc>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w:t>
            </w:r>
          </w:p>
        </w:tc>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3</w:t>
            </w:r>
          </w:p>
        </w:tc>
        <w:tc>
          <w:tcPr>
            <w:tcW w:type="dxa" w:w="8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3</w:t>
            </w:r>
          </w:p>
        </w:tc>
        <w:tc>
          <w:tcPr>
            <w:tcW w:type="dxa" w:w="11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 / MD</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6"/>
                <w:szCs w:val="16"/>
              </w:rPr>
              <w:t xml:space="preserve">ISK-014</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Network / Cloud</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Cloud misconfiguration exposing data or enabling unauthorised access</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3</w:t>
            </w:r>
          </w:p>
        </w:tc>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4</w:t>
            </w:r>
          </w:p>
        </w:tc>
        <w:tc>
          <w:tcPr>
            <w:tcW w:type="dxa" w:w="7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12</w:t>
            </w:r>
          </w:p>
        </w:tc>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Modify</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2</w:t>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3</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6</w:t>
            </w:r>
          </w:p>
        </w:tc>
        <w:tc>
          <w:tcPr>
            <w:tcW w:type="dxa" w:w="1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HoT</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6"/>
                <w:szCs w:val="16"/>
              </w:rPr>
              <w:t xml:space="preserve">ISK-015</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Personnel</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Insufficient security awareness resulting in human error or policy violation</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3</w:t>
            </w:r>
          </w:p>
        </w:tc>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3</w:t>
            </w:r>
          </w:p>
        </w:tc>
        <w:tc>
          <w:tcPr>
            <w:tcW w:type="dxa" w:w="7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9</w:t>
            </w:r>
          </w:p>
        </w:tc>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Modify</w:t>
            </w:r>
          </w:p>
        </w:tc>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w:t>
            </w:r>
          </w:p>
        </w:tc>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3</w:t>
            </w:r>
          </w:p>
        </w:tc>
        <w:tc>
          <w:tcPr>
            <w:tcW w:type="dxa" w:w="8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3</w:t>
            </w:r>
          </w:p>
        </w:tc>
        <w:tc>
          <w:tcPr>
            <w:tcW w:type="dxa" w:w="11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w:t>
            </w:r>
          </w:p>
        </w:tc>
      </w:tr>
    </w:tbl>
    <w:p>
      <w:pPr>
        <w:spacing w:after="60" w:before="60"/>
      </w:pPr>
    </w:p>
    <w:p>
      <w:pPr>
        <w:spacing w:after="80" w:before="80"/>
        <w:jc w:val="left"/>
      </w:pPr>
      <w:r>
        <w:rPr>
          <w:rFonts w:ascii="Arial" w:cs="Arial" w:eastAsia="Arial" w:hAnsi="Arial"/>
          <w:b w:val="false"/>
          <w:bCs w:val="false"/>
          <w:color w:val="888888"/>
          <w:sz w:val="18"/>
          <w:szCs w:val="18"/>
        </w:rPr>
        <w:t xml:space="preserve">All risks with a residual score above the acceptance threshold require formal risk owner acceptance, documented in Section 4.4.</w:t>
      </w:r>
    </w:p>
    <w:p>
      <w:pPr>
        <w:spacing w:after="120" w:before="120"/>
      </w:pPr>
    </w:p>
    <w:p>
      <w:r>
        <w:br w:type="page"/>
      </w:r>
    </w:p>
    <w:p>
      <w:pPr>
        <w:pStyle w:val="Heading2"/>
        <w:spacing w:after="80" w:before="240"/>
      </w:pPr>
      <w:r>
        <w:rPr>
          <w:rFonts w:ascii="Arial" w:cs="Arial" w:eastAsia="Arial" w:hAnsi="Arial"/>
          <w:b/>
          <w:bCs/>
          <w:color w:val="2E75B6"/>
          <w:sz w:val="26"/>
          <w:szCs w:val="26"/>
        </w:rPr>
        <w:t xml:space="preserve">3.5 Detailed Risk Assessments</w:t>
      </w:r>
    </w:p>
    <w:p>
      <w:pPr>
        <w:spacing w:after="80" w:before="80"/>
        <w:jc w:val="left"/>
      </w:pPr>
      <w:r>
        <w:rPr>
          <w:rFonts w:ascii="Arial" w:cs="Arial" w:eastAsia="Arial" w:hAnsi="Arial"/>
          <w:b w:val="false"/>
          <w:bCs w:val="false"/>
          <w:color w:val="000000"/>
          <w:sz w:val="20"/>
          <w:szCs w:val="20"/>
        </w:rPr>
        <w:t xml:space="preserve">The following pages contain the detailed risk assessment for each identified risk, including threat description, vulnerability, CIA impact, Annex A control references, treatment details, and residual scoring.</w:t>
      </w:r>
    </w:p>
    <w:p>
      <w:pPr>
        <w:spacing w:after="120" w:before="12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D6E4F0"/>
                <w:sz w:val="22"/>
                <w:szCs w:val="22"/>
              </w:rPr>
              <w:t xml:space="preserve">ISK-001  |  </w:t>
            </w:r>
            <w:r>
              <w:rPr>
                <w:rFonts w:ascii="Arial" w:cs="Arial" w:eastAsia="Arial" w:hAnsi="Arial"/>
                <w:b/>
                <w:bCs/>
                <w:color w:val="FFFFFF"/>
                <w:sz w:val="22"/>
                <w:szCs w:val="22"/>
              </w:rPr>
              <w:t xml:space="preserve">Ransomware attack via compromised privileged credentials</w:t>
            </w:r>
            <w:r>
              <w:rPr>
                <w:rFonts w:ascii="Arial" w:cs="Arial" w:eastAsia="Arial" w:hAnsi="Arial"/>
                <w:color w:val="AAAAAA"/>
                <w:sz w:val="18"/>
                <w:szCs w:val="18"/>
              </w:rPr>
              <w:t xml:space="preserve">  [Access Control]</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600"/>
        <w:gridCol w:w="2660"/>
      </w:tblGrid>
      <w:tr>
        <w:trPr>
          <w:tblHeader/>
        </w:trPr>
        <w:tc>
          <w:tcPr>
            <w:tcW w:type="dxa" w:w="2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Threat Source</w:t>
            </w:r>
          </w:p>
        </w:tc>
        <w:tc>
          <w:tcPr>
            <w:tcW w:type="dxa" w:w="3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Vulnerability</w:t>
            </w:r>
          </w:p>
        </w:tc>
        <w:tc>
          <w:tcPr>
            <w:tcW w:type="dxa" w:w="16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CIA Impact</w:t>
            </w:r>
          </w:p>
        </w:tc>
        <w:tc>
          <w:tcPr>
            <w:tcW w:type="dxa" w:w="26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Annex A Controls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Threat actor (ransomware group / nation-state affiliate) targeting MSP environment through phishing, credential stuffing, or supply chain compromise to obtain privileged access.</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MSP privileged access to multiple client environments creates high-value target; concentration of credentials in a small team; potential MFA gaps.</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C: High  I: Critical  A: Critical</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A.5.15, A.5.16, A.5.17, A.8.5, A.8.13, A.8.22, A.5.24–A.5.26</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000"/>
        <w:gridCol w:w="5260"/>
      </w:tblGrid>
      <w:tr>
        <w:tc>
          <w:tcPr>
            <w:tcW w:type="dxa" w:w="4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60" w:before="0"/>
            </w:pPr>
            <w:r>
              <w:rPr>
                <w:rFonts w:ascii="Arial" w:cs="Arial" w:eastAsia="Arial" w:hAnsi="Arial"/>
                <w:b/>
                <w:bCs/>
                <w:color w:val="404040"/>
                <w:sz w:val="18"/>
                <w:szCs w:val="18"/>
              </w:rPr>
              <w:t xml:space="preserve">Inherent Risk: </w:t>
            </w:r>
          </w:p>
          <w:p>
            <w:pPr>
              <w:spacing w:after="40" w:before="0"/>
            </w:pPr>
            <w:r>
              <w:rPr>
                <w:rFonts w:ascii="Arial" w:cs="Arial" w:eastAsia="Arial" w:hAnsi="Arial"/>
                <w:sz w:val="18"/>
                <w:szCs w:val="18"/>
              </w:rPr>
              <w:t xml:space="preserve">Likelihood: 4/5    Impact: 5/5    Score: 20</w:t>
            </w:r>
          </w:p>
          <w:p>
            <w:pPr>
              <w:spacing w:after="60" w:before="0"/>
            </w:pPr>
            <w:r>
              <w:rPr>
                <w:rFonts w:ascii="Arial" w:cs="Arial" w:eastAsia="Arial" w:hAnsi="Arial"/>
                <w:b/>
                <w:bCs/>
                <w:sz w:val="18"/>
                <w:szCs w:val="18"/>
              </w:rPr>
              <w:t xml:space="preserve">Level: </w:t>
            </w:r>
            <w:r>
              <w:rPr>
                <w:rFonts w:ascii="Arial" w:cs="Arial" w:eastAsia="Arial" w:hAnsi="Arial"/>
                <w:b/>
                <w:bCs/>
                <w:color w:val="7B0000"/>
                <w:sz w:val="18"/>
                <w:szCs w:val="18"/>
              </w:rPr>
              <w:t xml:space="preserve">CRITICAL</w:t>
            </w:r>
          </w:p>
          <w:p>
            <w:pPr>
              <w:spacing w:after="60" w:before="40"/>
            </w:pPr>
            <w:r>
              <w:rPr>
                <w:rFonts w:ascii="Arial" w:cs="Arial" w:eastAsia="Arial" w:hAnsi="Arial"/>
                <w:b/>
                <w:bCs/>
                <w:color w:val="404040"/>
                <w:sz w:val="18"/>
                <w:szCs w:val="18"/>
              </w:rPr>
              <w:t xml:space="preserve">Treatment Option: </w:t>
            </w:r>
          </w:p>
          <w:p>
            <w:pPr>
              <w:spacing w:after="40" w:before="0"/>
            </w:pPr>
            <w:r>
              <w:rPr>
                <w:rFonts w:ascii="Arial" w:cs="Arial" w:eastAsia="Arial" w:hAnsi="Arial"/>
                <w:sz w:val="18"/>
                <w:szCs w:val="18"/>
              </w:rPr>
              <w:t xml:space="preserve">Modify — risk control(s) applied to reduce to acceptable level.</w:t>
            </w:r>
          </w:p>
        </w:tc>
        <w:tc>
          <w:tcPr>
            <w:tcW w:type="dxa" w:w="5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0"/>
            </w:pPr>
            <w:r>
              <w:rPr>
                <w:rFonts w:ascii="Arial" w:cs="Arial" w:eastAsia="Arial" w:hAnsi="Arial"/>
                <w:b/>
                <w:bCs/>
                <w:color w:val="404040"/>
                <w:sz w:val="18"/>
                <w:szCs w:val="18"/>
              </w:rPr>
              <w:t xml:space="preserve">Controls Applied:</w:t>
            </w:r>
          </w:p>
          <w:p>
            <w:pPr>
              <w:spacing w:after="60" w:before="0"/>
            </w:pPr>
            <w:r>
              <w:rPr>
                <w:rFonts w:ascii="Arial" w:cs="Arial" w:eastAsia="Arial" w:hAnsi="Arial"/>
                <w:sz w:val="16"/>
                <w:szCs w:val="16"/>
              </w:rPr>
              <w:t xml:space="preserve">MFA enforcement across all privileged access (A.8.5); PAM tooling with session recording (A.5.15); JIT access provisioning; phishing-resistant authentication; IR playbook for ransomware (A.5.26); offline backup validation (A.8.13); network segmentation (A.8.22).</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800"/>
        <w:gridCol w:w="800"/>
        <w:gridCol w:w="800"/>
        <w:gridCol w:w="1660"/>
      </w:tblGrid>
      <w:tr>
        <w:tc>
          <w:tcPr>
            <w:tcW w:type="dxa" w:w="2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 Owner</w:t>
            </w:r>
          </w:p>
        </w:tc>
        <w:tc>
          <w:tcPr>
            <w:tcW w:type="dxa" w:w="1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Date</w:t>
            </w:r>
          </w:p>
        </w:tc>
        <w:tc>
          <w:tcPr>
            <w:tcW w:type="dxa" w:w="14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rL</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Residual Score</w:t>
            </w:r>
          </w:p>
        </w:tc>
        <w:tc>
          <w:tcPr>
            <w:tcW w:type="dxa" w:w="16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Residual Level</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 / HoT</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Q2 2026</w:t>
            </w:r>
          </w:p>
        </w:tc>
        <w:tc>
          <w:tcPr>
            <w:tcW w:type="dxa" w:w="14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w:t>
            </w:r>
          </w:p>
        </w:tc>
        <w:tc>
          <w:tcPr>
            <w:tcW w:type="dxa" w:w="8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10</w:t>
            </w:r>
          </w:p>
        </w:tc>
        <w:tc>
          <w:tcPr>
            <w:tcW w:type="dxa" w:w="166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HIGH</w:t>
            </w:r>
          </w:p>
        </w:tc>
      </w:tr>
    </w:tbl>
    <w:p>
      <w:pPr>
        <w:spacing w:after="12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D6E4F0"/>
                <w:sz w:val="22"/>
                <w:szCs w:val="22"/>
              </w:rPr>
              <w:t xml:space="preserve">ISK-002  |  </w:t>
            </w:r>
            <w:r>
              <w:rPr>
                <w:rFonts w:ascii="Arial" w:cs="Arial" w:eastAsia="Arial" w:hAnsi="Arial"/>
                <w:b/>
                <w:bCs/>
                <w:color w:val="FFFFFF"/>
                <w:sz w:val="22"/>
                <w:szCs w:val="22"/>
              </w:rPr>
              <w:t xml:space="preserve">Credential theft and account takeover via phishing</w:t>
            </w:r>
            <w:r>
              <w:rPr>
                <w:rFonts w:ascii="Arial" w:cs="Arial" w:eastAsia="Arial" w:hAnsi="Arial"/>
                <w:color w:val="AAAAAA"/>
                <w:sz w:val="18"/>
                <w:szCs w:val="18"/>
              </w:rPr>
              <w:t xml:space="preserve">  [Access Control]</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600"/>
        <w:gridCol w:w="2660"/>
      </w:tblGrid>
      <w:tr>
        <w:trPr>
          <w:tblHeader/>
        </w:trPr>
        <w:tc>
          <w:tcPr>
            <w:tcW w:type="dxa" w:w="2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Threat Source</w:t>
            </w:r>
          </w:p>
        </w:tc>
        <w:tc>
          <w:tcPr>
            <w:tcW w:type="dxa" w:w="3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Vulnerability</w:t>
            </w:r>
          </w:p>
        </w:tc>
        <w:tc>
          <w:tcPr>
            <w:tcW w:type="dxa" w:w="16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CIA Impact</w:t>
            </w:r>
          </w:p>
        </w:tc>
        <w:tc>
          <w:tcPr>
            <w:tcW w:type="dxa" w:w="26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Annex A Controls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Spear-phishing or mass phishing campaign targeting staff to harvest credentials or deliver malware; business email compromise (BEC) targeting financial processes.</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Small workforce with high per-capita exposure; client-facing email increases attack surface; reliance on M365 accounts for both internal and client system access.</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C: High  I: High  A: Medium</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A.5.15, A.5.17, A.6.3, A.8.16, A.8.23</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000"/>
        <w:gridCol w:w="5260"/>
      </w:tblGrid>
      <w:tr>
        <w:tc>
          <w:tcPr>
            <w:tcW w:type="dxa" w:w="4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60" w:before="0"/>
            </w:pPr>
            <w:r>
              <w:rPr>
                <w:rFonts w:ascii="Arial" w:cs="Arial" w:eastAsia="Arial" w:hAnsi="Arial"/>
                <w:b/>
                <w:bCs/>
                <w:color w:val="404040"/>
                <w:sz w:val="18"/>
                <w:szCs w:val="18"/>
              </w:rPr>
              <w:t xml:space="preserve">Inherent Risk: </w:t>
            </w:r>
          </w:p>
          <w:p>
            <w:pPr>
              <w:spacing w:after="40" w:before="0"/>
            </w:pPr>
            <w:r>
              <w:rPr>
                <w:rFonts w:ascii="Arial" w:cs="Arial" w:eastAsia="Arial" w:hAnsi="Arial"/>
                <w:sz w:val="18"/>
                <w:szCs w:val="18"/>
              </w:rPr>
              <w:t xml:space="preserve">Likelihood: 4/5    Impact: 4/5    Score: 16</w:t>
            </w:r>
          </w:p>
          <w:p>
            <w:pPr>
              <w:spacing w:after="60" w:before="0"/>
            </w:pPr>
            <w:r>
              <w:rPr>
                <w:rFonts w:ascii="Arial" w:cs="Arial" w:eastAsia="Arial" w:hAnsi="Arial"/>
                <w:b/>
                <w:bCs/>
                <w:sz w:val="18"/>
                <w:szCs w:val="18"/>
              </w:rPr>
              <w:t xml:space="preserve">Level: </w:t>
            </w:r>
            <w:r>
              <w:rPr>
                <w:rFonts w:ascii="Arial" w:cs="Arial" w:eastAsia="Arial" w:hAnsi="Arial"/>
                <w:b/>
                <w:bCs/>
                <w:color w:val="7B0000"/>
                <w:sz w:val="18"/>
                <w:szCs w:val="18"/>
              </w:rPr>
              <w:t xml:space="preserve">CRITICAL</w:t>
            </w:r>
          </w:p>
          <w:p>
            <w:pPr>
              <w:spacing w:after="60" w:before="40"/>
            </w:pPr>
            <w:r>
              <w:rPr>
                <w:rFonts w:ascii="Arial" w:cs="Arial" w:eastAsia="Arial" w:hAnsi="Arial"/>
                <w:b/>
                <w:bCs/>
                <w:color w:val="404040"/>
                <w:sz w:val="18"/>
                <w:szCs w:val="18"/>
              </w:rPr>
              <w:t xml:space="preserve">Treatment Option: </w:t>
            </w:r>
          </w:p>
          <w:p>
            <w:pPr>
              <w:spacing w:after="40" w:before="0"/>
            </w:pPr>
            <w:r>
              <w:rPr>
                <w:rFonts w:ascii="Arial" w:cs="Arial" w:eastAsia="Arial" w:hAnsi="Arial"/>
                <w:sz w:val="18"/>
                <w:szCs w:val="18"/>
              </w:rPr>
              <w:t xml:space="preserve">Modify — risk control(s) applied to reduce to acceptable level.</w:t>
            </w:r>
          </w:p>
        </w:tc>
        <w:tc>
          <w:tcPr>
            <w:tcW w:type="dxa" w:w="5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0"/>
            </w:pPr>
            <w:r>
              <w:rPr>
                <w:rFonts w:ascii="Arial" w:cs="Arial" w:eastAsia="Arial" w:hAnsi="Arial"/>
                <w:b/>
                <w:bCs/>
                <w:color w:val="404040"/>
                <w:sz w:val="18"/>
                <w:szCs w:val="18"/>
              </w:rPr>
              <w:t xml:space="preserve">Controls Applied:</w:t>
            </w:r>
          </w:p>
          <w:p>
            <w:pPr>
              <w:spacing w:after="60" w:before="0"/>
            </w:pPr>
            <w:r>
              <w:rPr>
                <w:rFonts w:ascii="Arial" w:cs="Arial" w:eastAsia="Arial" w:hAnsi="Arial"/>
                <w:sz w:val="16"/>
                <w:szCs w:val="16"/>
              </w:rPr>
              <w:t xml:space="preserve">Phishing-resistant MFA (FIDO2 / hardware key preference) (A.5.17); security awareness training including simulated phishing (A.6.3); email filtering and anti-spoofing (DMARC/DKIM/SPF) (A.8.23); conditional access policies (A.5.15); account compromise detection via Entra ID / Sentinel (A.8.16).</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800"/>
        <w:gridCol w:w="800"/>
        <w:gridCol w:w="800"/>
        <w:gridCol w:w="1660"/>
      </w:tblGrid>
      <w:tr>
        <w:tc>
          <w:tcPr>
            <w:tcW w:type="dxa" w:w="2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 Owner</w:t>
            </w:r>
          </w:p>
        </w:tc>
        <w:tc>
          <w:tcPr>
            <w:tcW w:type="dxa" w:w="1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Date</w:t>
            </w:r>
          </w:p>
        </w:tc>
        <w:tc>
          <w:tcPr>
            <w:tcW w:type="dxa" w:w="14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rL</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Residual Score</w:t>
            </w:r>
          </w:p>
        </w:tc>
        <w:tc>
          <w:tcPr>
            <w:tcW w:type="dxa" w:w="16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Residual Level</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Q2 2026</w:t>
            </w:r>
          </w:p>
        </w:tc>
        <w:tc>
          <w:tcPr>
            <w:tcW w:type="dxa" w:w="14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8</w:t>
            </w:r>
          </w:p>
        </w:tc>
        <w:tc>
          <w:tcPr>
            <w:tcW w:type="dxa" w:w="16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MEDIUM</w:t>
            </w:r>
          </w:p>
        </w:tc>
      </w:tr>
    </w:tbl>
    <w:p>
      <w:pPr>
        <w:spacing w:after="12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D6E4F0"/>
                <w:sz w:val="22"/>
                <w:szCs w:val="22"/>
              </w:rPr>
              <w:t xml:space="preserve">ISK-003  |  </w:t>
            </w:r>
            <w:r>
              <w:rPr>
                <w:rFonts w:ascii="Arial" w:cs="Arial" w:eastAsia="Arial" w:hAnsi="Arial"/>
                <w:b/>
                <w:bCs/>
                <w:color w:val="FFFFFF"/>
                <w:sz w:val="22"/>
                <w:szCs w:val="22"/>
              </w:rPr>
              <w:t xml:space="preserve">Compromise via third-party software or tooling (supply chain attack)</w:t>
            </w:r>
            <w:r>
              <w:rPr>
                <w:rFonts w:ascii="Arial" w:cs="Arial" w:eastAsia="Arial" w:hAnsi="Arial"/>
                <w:color w:val="AAAAAA"/>
                <w:sz w:val="18"/>
                <w:szCs w:val="18"/>
              </w:rPr>
              <w:t xml:space="preserve">  [Third-Party / Supply Chain]</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600"/>
        <w:gridCol w:w="2660"/>
      </w:tblGrid>
      <w:tr>
        <w:trPr>
          <w:tblHeader/>
        </w:trPr>
        <w:tc>
          <w:tcPr>
            <w:tcW w:type="dxa" w:w="2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Threat Source</w:t>
            </w:r>
          </w:p>
        </w:tc>
        <w:tc>
          <w:tcPr>
            <w:tcW w:type="dxa" w:w="3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Vulnerability</w:t>
            </w:r>
          </w:p>
        </w:tc>
        <w:tc>
          <w:tcPr>
            <w:tcW w:type="dxa" w:w="16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CIA Impact</w:t>
            </w:r>
          </w:p>
        </w:tc>
        <w:tc>
          <w:tcPr>
            <w:tcW w:type="dxa" w:w="26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Annex A Controls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Malicious code introduced via compromised software update, npm/PyPI package, or managed service tooling used across client environments.</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Reliance on third-party tooling deployed across multiple client tenants; limited software composition analysis; small team limits vendor validation capacity.</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C: High  I: High  A: High</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A.5.19, A.5.20, A.5.21, A.5.22, A.8.7, A.8.8, A.8.32</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000"/>
        <w:gridCol w:w="5260"/>
      </w:tblGrid>
      <w:tr>
        <w:tc>
          <w:tcPr>
            <w:tcW w:type="dxa" w:w="4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60" w:before="0"/>
            </w:pPr>
            <w:r>
              <w:rPr>
                <w:rFonts w:ascii="Arial" w:cs="Arial" w:eastAsia="Arial" w:hAnsi="Arial"/>
                <w:b/>
                <w:bCs/>
                <w:color w:val="404040"/>
                <w:sz w:val="18"/>
                <w:szCs w:val="18"/>
              </w:rPr>
              <w:t xml:space="preserve">Inherent Risk: </w:t>
            </w:r>
          </w:p>
          <w:p>
            <w:pPr>
              <w:spacing w:after="40" w:before="0"/>
            </w:pPr>
            <w:r>
              <w:rPr>
                <w:rFonts w:ascii="Arial" w:cs="Arial" w:eastAsia="Arial" w:hAnsi="Arial"/>
                <w:sz w:val="18"/>
                <w:szCs w:val="18"/>
              </w:rPr>
              <w:t xml:space="preserve">Likelihood: 3/5    Impact: 5/5    Score: 15</w:t>
            </w:r>
          </w:p>
          <w:p>
            <w:pPr>
              <w:spacing w:after="60" w:before="0"/>
            </w:pPr>
            <w:r>
              <w:rPr>
                <w:rFonts w:ascii="Arial" w:cs="Arial" w:eastAsia="Arial" w:hAnsi="Arial"/>
                <w:b/>
                <w:bCs/>
                <w:sz w:val="18"/>
                <w:szCs w:val="18"/>
              </w:rPr>
              <w:t xml:space="preserve">Level: </w:t>
            </w:r>
            <w:r>
              <w:rPr>
                <w:rFonts w:ascii="Arial" w:cs="Arial" w:eastAsia="Arial" w:hAnsi="Arial"/>
                <w:b/>
                <w:bCs/>
                <w:color w:val="7B0000"/>
                <w:sz w:val="18"/>
                <w:szCs w:val="18"/>
              </w:rPr>
              <w:t xml:space="preserve">CRITICAL</w:t>
            </w:r>
          </w:p>
          <w:p>
            <w:pPr>
              <w:spacing w:after="60" w:before="40"/>
            </w:pPr>
            <w:r>
              <w:rPr>
                <w:rFonts w:ascii="Arial" w:cs="Arial" w:eastAsia="Arial" w:hAnsi="Arial"/>
                <w:b/>
                <w:bCs/>
                <w:color w:val="404040"/>
                <w:sz w:val="18"/>
                <w:szCs w:val="18"/>
              </w:rPr>
              <w:t xml:space="preserve">Treatment Option: </w:t>
            </w:r>
          </w:p>
          <w:p>
            <w:pPr>
              <w:spacing w:after="40" w:before="0"/>
            </w:pPr>
            <w:r>
              <w:rPr>
                <w:rFonts w:ascii="Arial" w:cs="Arial" w:eastAsia="Arial" w:hAnsi="Arial"/>
                <w:sz w:val="18"/>
                <w:szCs w:val="18"/>
              </w:rPr>
              <w:t xml:space="preserve">Modify — risk control(s) applied to reduce to acceptable level.</w:t>
            </w:r>
          </w:p>
        </w:tc>
        <w:tc>
          <w:tcPr>
            <w:tcW w:type="dxa" w:w="5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0"/>
            </w:pPr>
            <w:r>
              <w:rPr>
                <w:rFonts w:ascii="Arial" w:cs="Arial" w:eastAsia="Arial" w:hAnsi="Arial"/>
                <w:b/>
                <w:bCs/>
                <w:color w:val="404040"/>
                <w:sz w:val="18"/>
                <w:szCs w:val="18"/>
              </w:rPr>
              <w:t xml:space="preserve">Controls Applied:</w:t>
            </w:r>
          </w:p>
          <w:p>
            <w:pPr>
              <w:spacing w:after="60" w:before="0"/>
            </w:pPr>
            <w:r>
              <w:rPr>
                <w:rFonts w:ascii="Arial" w:cs="Arial" w:eastAsia="Arial" w:hAnsi="Arial"/>
                <w:sz w:val="16"/>
                <w:szCs w:val="16"/>
              </w:rPr>
              <w:t xml:space="preserve">Software supply chain policy (A.5.19–A.5.22); approved vendor register; software integrity verification; endpoint detection with behavioural analytics (A.8.7); vulnerability monitoring for deployed tooling (A.8.8); change management controls for tooling updates (A.8.32).</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800"/>
        <w:gridCol w:w="800"/>
        <w:gridCol w:w="800"/>
        <w:gridCol w:w="1660"/>
      </w:tblGrid>
      <w:tr>
        <w:tc>
          <w:tcPr>
            <w:tcW w:type="dxa" w:w="2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 Owner</w:t>
            </w:r>
          </w:p>
        </w:tc>
        <w:tc>
          <w:tcPr>
            <w:tcW w:type="dxa" w:w="1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Date</w:t>
            </w:r>
          </w:p>
        </w:tc>
        <w:tc>
          <w:tcPr>
            <w:tcW w:type="dxa" w:w="14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rL</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Residual Score</w:t>
            </w:r>
          </w:p>
        </w:tc>
        <w:tc>
          <w:tcPr>
            <w:tcW w:type="dxa" w:w="16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Residual Level</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HoT</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Q3 2026</w:t>
            </w:r>
          </w:p>
        </w:tc>
        <w:tc>
          <w:tcPr>
            <w:tcW w:type="dxa" w:w="1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Planned</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8</w:t>
            </w:r>
          </w:p>
        </w:tc>
        <w:tc>
          <w:tcPr>
            <w:tcW w:type="dxa" w:w="16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MEDIUM</w:t>
            </w:r>
          </w:p>
        </w:tc>
      </w:tr>
    </w:tbl>
    <w:p>
      <w:pPr>
        <w:spacing w:after="120" w:before="60"/>
      </w:pPr>
    </w:p>
    <w:p>
      <w:r>
        <w:br w:type="pag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D6E4F0"/>
                <w:sz w:val="22"/>
                <w:szCs w:val="22"/>
              </w:rPr>
              <w:t xml:space="preserve">ISK-004  |  </w:t>
            </w:r>
            <w:r>
              <w:rPr>
                <w:rFonts w:ascii="Arial" w:cs="Arial" w:eastAsia="Arial" w:hAnsi="Arial"/>
                <w:b/>
                <w:bCs/>
                <w:color w:val="FFFFFF"/>
                <w:sz w:val="22"/>
                <w:szCs w:val="22"/>
              </w:rPr>
              <w:t xml:space="preserve">Unauthorised disclosure of client data (confidentiality breach)</w:t>
            </w:r>
            <w:r>
              <w:rPr>
                <w:rFonts w:ascii="Arial" w:cs="Arial" w:eastAsia="Arial" w:hAnsi="Arial"/>
                <w:color w:val="AAAAAA"/>
                <w:sz w:val="18"/>
                <w:szCs w:val="18"/>
              </w:rPr>
              <w:t xml:space="preserve">  [Data Protection]</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600"/>
        <w:gridCol w:w="2660"/>
      </w:tblGrid>
      <w:tr>
        <w:trPr>
          <w:tblHeader/>
        </w:trPr>
        <w:tc>
          <w:tcPr>
            <w:tcW w:type="dxa" w:w="2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Threat Source</w:t>
            </w:r>
          </w:p>
        </w:tc>
        <w:tc>
          <w:tcPr>
            <w:tcW w:type="dxa" w:w="3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Vulnerability</w:t>
            </w:r>
          </w:p>
        </w:tc>
        <w:tc>
          <w:tcPr>
            <w:tcW w:type="dxa" w:w="16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CIA Impact</w:t>
            </w:r>
          </w:p>
        </w:tc>
        <w:tc>
          <w:tcPr>
            <w:tcW w:type="dxa" w:w="26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Annex A Controls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Accidental or deliberate disclosure of client data through misconfiguration, insider action, or compromise of communication channels.</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Handling of sensitive client data across multiple client tenants; remote working increases accidental disclosure risk; limited formal data classification process.</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C: Critical  I: Medium  A: Low</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A.5.12, A.5.13, A.5.15, A.5.34, A.8.11, A.8.24</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000"/>
        <w:gridCol w:w="5260"/>
      </w:tblGrid>
      <w:tr>
        <w:tc>
          <w:tcPr>
            <w:tcW w:type="dxa" w:w="4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60" w:before="0"/>
            </w:pPr>
            <w:r>
              <w:rPr>
                <w:rFonts w:ascii="Arial" w:cs="Arial" w:eastAsia="Arial" w:hAnsi="Arial"/>
                <w:b/>
                <w:bCs/>
                <w:color w:val="404040"/>
                <w:sz w:val="18"/>
                <w:szCs w:val="18"/>
              </w:rPr>
              <w:t xml:space="preserve">Inherent Risk: </w:t>
            </w:r>
          </w:p>
          <w:p>
            <w:pPr>
              <w:spacing w:after="40" w:before="0"/>
            </w:pPr>
            <w:r>
              <w:rPr>
                <w:rFonts w:ascii="Arial" w:cs="Arial" w:eastAsia="Arial" w:hAnsi="Arial"/>
                <w:sz w:val="18"/>
                <w:szCs w:val="18"/>
              </w:rPr>
              <w:t xml:space="preserve">Likelihood: 3/5    Impact: 5/5    Score: 15</w:t>
            </w:r>
          </w:p>
          <w:p>
            <w:pPr>
              <w:spacing w:after="60" w:before="0"/>
            </w:pPr>
            <w:r>
              <w:rPr>
                <w:rFonts w:ascii="Arial" w:cs="Arial" w:eastAsia="Arial" w:hAnsi="Arial"/>
                <w:b/>
                <w:bCs/>
                <w:sz w:val="18"/>
                <w:szCs w:val="18"/>
              </w:rPr>
              <w:t xml:space="preserve">Level: </w:t>
            </w:r>
            <w:r>
              <w:rPr>
                <w:rFonts w:ascii="Arial" w:cs="Arial" w:eastAsia="Arial" w:hAnsi="Arial"/>
                <w:b/>
                <w:bCs/>
                <w:color w:val="7B0000"/>
                <w:sz w:val="18"/>
                <w:szCs w:val="18"/>
              </w:rPr>
              <w:t xml:space="preserve">CRITICAL</w:t>
            </w:r>
          </w:p>
          <w:p>
            <w:pPr>
              <w:spacing w:after="60" w:before="40"/>
            </w:pPr>
            <w:r>
              <w:rPr>
                <w:rFonts w:ascii="Arial" w:cs="Arial" w:eastAsia="Arial" w:hAnsi="Arial"/>
                <w:b/>
                <w:bCs/>
                <w:color w:val="404040"/>
                <w:sz w:val="18"/>
                <w:szCs w:val="18"/>
              </w:rPr>
              <w:t xml:space="preserve">Treatment Option: </w:t>
            </w:r>
          </w:p>
          <w:p>
            <w:pPr>
              <w:spacing w:after="40" w:before="0"/>
            </w:pPr>
            <w:r>
              <w:rPr>
                <w:rFonts w:ascii="Arial" w:cs="Arial" w:eastAsia="Arial" w:hAnsi="Arial"/>
                <w:sz w:val="18"/>
                <w:szCs w:val="18"/>
              </w:rPr>
              <w:t xml:space="preserve">Modify — risk control(s) applied to reduce to acceptable level.</w:t>
            </w:r>
          </w:p>
        </w:tc>
        <w:tc>
          <w:tcPr>
            <w:tcW w:type="dxa" w:w="5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0"/>
            </w:pPr>
            <w:r>
              <w:rPr>
                <w:rFonts w:ascii="Arial" w:cs="Arial" w:eastAsia="Arial" w:hAnsi="Arial"/>
                <w:b/>
                <w:bCs/>
                <w:color w:val="404040"/>
                <w:sz w:val="18"/>
                <w:szCs w:val="18"/>
              </w:rPr>
              <w:t xml:space="preserve">Controls Applied:</w:t>
            </w:r>
          </w:p>
          <w:p>
            <w:pPr>
              <w:spacing w:after="60" w:before="0"/>
            </w:pPr>
            <w:r>
              <w:rPr>
                <w:rFonts w:ascii="Arial" w:cs="Arial" w:eastAsia="Arial" w:hAnsi="Arial"/>
                <w:sz w:val="16"/>
                <w:szCs w:val="16"/>
              </w:rPr>
              <w:t xml:space="preserve">Data classification policy (A.5.12, A.5.13); DLP controls in M365 (A.8.11); encryption at rest and in transit (A.8.24); access need-to-know enforcement (A.5.15); data handling procedures; UK GDPR breach notification procedure (A.5.34); DPIA process for high-risk processing.</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800"/>
        <w:gridCol w:w="800"/>
        <w:gridCol w:w="800"/>
        <w:gridCol w:w="1660"/>
      </w:tblGrid>
      <w:tr>
        <w:tc>
          <w:tcPr>
            <w:tcW w:type="dxa" w:w="2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 Owner</w:t>
            </w:r>
          </w:p>
        </w:tc>
        <w:tc>
          <w:tcPr>
            <w:tcW w:type="dxa" w:w="1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Date</w:t>
            </w:r>
          </w:p>
        </w:tc>
        <w:tc>
          <w:tcPr>
            <w:tcW w:type="dxa" w:w="14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rL</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Residual Score</w:t>
            </w:r>
          </w:p>
        </w:tc>
        <w:tc>
          <w:tcPr>
            <w:tcW w:type="dxa" w:w="16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Residual Level</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 / Data Protection Lead</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Q2 2026</w:t>
            </w:r>
          </w:p>
        </w:tc>
        <w:tc>
          <w:tcPr>
            <w:tcW w:type="dxa" w:w="14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8</w:t>
            </w:r>
          </w:p>
        </w:tc>
        <w:tc>
          <w:tcPr>
            <w:tcW w:type="dxa" w:w="16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MEDIUM</w:t>
            </w:r>
          </w:p>
        </w:tc>
      </w:tr>
    </w:tbl>
    <w:p>
      <w:pPr>
        <w:spacing w:after="12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D6E4F0"/>
                <w:sz w:val="22"/>
                <w:szCs w:val="22"/>
              </w:rPr>
              <w:t xml:space="preserve">ISK-005  |  </w:t>
            </w:r>
            <w:r>
              <w:rPr>
                <w:rFonts w:ascii="Arial" w:cs="Arial" w:eastAsia="Arial" w:hAnsi="Arial"/>
                <w:b/>
                <w:bCs/>
                <w:color w:val="FFFFFF"/>
                <w:sz w:val="22"/>
                <w:szCs w:val="22"/>
              </w:rPr>
              <w:t xml:space="preserve">Prolonged service outage due to cloud platform failure or cyberattack</w:t>
            </w:r>
            <w:r>
              <w:rPr>
                <w:rFonts w:ascii="Arial" w:cs="Arial" w:eastAsia="Arial" w:hAnsi="Arial"/>
                <w:color w:val="AAAAAA"/>
                <w:sz w:val="18"/>
                <w:szCs w:val="18"/>
              </w:rPr>
              <w:t xml:space="preserve">  [Availability]</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600"/>
        <w:gridCol w:w="2660"/>
      </w:tblGrid>
      <w:tr>
        <w:trPr>
          <w:tblHeader/>
        </w:trPr>
        <w:tc>
          <w:tcPr>
            <w:tcW w:type="dxa" w:w="2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Threat Source</w:t>
            </w:r>
          </w:p>
        </w:tc>
        <w:tc>
          <w:tcPr>
            <w:tcW w:type="dxa" w:w="3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Vulnerability</w:t>
            </w:r>
          </w:p>
        </w:tc>
        <w:tc>
          <w:tcPr>
            <w:tcW w:type="dxa" w:w="16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CIA Impact</w:t>
            </w:r>
          </w:p>
        </w:tc>
        <w:tc>
          <w:tcPr>
            <w:tcW w:type="dxa" w:w="26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Annex A Controls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Extended unavailability of Microsoft 365, Azure, or other cloud platforms through vendor outage, DDoS, or cyberattack disrupting managed service delivery.</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High dependency on a single cloud vendor (Microsoft); limited documented BCP/DRP; small team has limited surge capacity during major incidents.</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C: Low  I: Low  A: Critical</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A.5.29, A.5.30, A.8.13, A.8.14</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000"/>
        <w:gridCol w:w="5260"/>
      </w:tblGrid>
      <w:tr>
        <w:tc>
          <w:tcPr>
            <w:tcW w:type="dxa" w:w="4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60" w:before="0"/>
            </w:pPr>
            <w:r>
              <w:rPr>
                <w:rFonts w:ascii="Arial" w:cs="Arial" w:eastAsia="Arial" w:hAnsi="Arial"/>
                <w:b/>
                <w:bCs/>
                <w:color w:val="404040"/>
                <w:sz w:val="18"/>
                <w:szCs w:val="18"/>
              </w:rPr>
              <w:t xml:space="preserve">Inherent Risk: </w:t>
            </w:r>
          </w:p>
          <w:p>
            <w:pPr>
              <w:spacing w:after="40" w:before="0"/>
            </w:pPr>
            <w:r>
              <w:rPr>
                <w:rFonts w:ascii="Arial" w:cs="Arial" w:eastAsia="Arial" w:hAnsi="Arial"/>
                <w:sz w:val="18"/>
                <w:szCs w:val="18"/>
              </w:rPr>
              <w:t xml:space="preserve">Likelihood: 3/5    Impact: 4/5    Score: 12</w:t>
            </w:r>
          </w:p>
          <w:p>
            <w:pPr>
              <w:spacing w:after="60" w:before="0"/>
            </w:pPr>
            <w:r>
              <w:rPr>
                <w:rFonts w:ascii="Arial" w:cs="Arial" w:eastAsia="Arial" w:hAnsi="Arial"/>
                <w:b/>
                <w:bCs/>
                <w:sz w:val="18"/>
                <w:szCs w:val="18"/>
              </w:rPr>
              <w:t xml:space="preserve">Level: </w:t>
            </w:r>
            <w:r>
              <w:rPr>
                <w:rFonts w:ascii="Arial" w:cs="Arial" w:eastAsia="Arial" w:hAnsi="Arial"/>
                <w:b/>
                <w:bCs/>
                <w:color w:val="C00000"/>
                <w:sz w:val="18"/>
                <w:szCs w:val="18"/>
              </w:rPr>
              <w:t xml:space="preserve">HIGH</w:t>
            </w:r>
          </w:p>
          <w:p>
            <w:pPr>
              <w:spacing w:after="60" w:before="40"/>
            </w:pPr>
            <w:r>
              <w:rPr>
                <w:rFonts w:ascii="Arial" w:cs="Arial" w:eastAsia="Arial" w:hAnsi="Arial"/>
                <w:b/>
                <w:bCs/>
                <w:color w:val="404040"/>
                <w:sz w:val="18"/>
                <w:szCs w:val="18"/>
              </w:rPr>
              <w:t xml:space="preserve">Treatment Option: </w:t>
            </w:r>
          </w:p>
          <w:p>
            <w:pPr>
              <w:spacing w:after="40" w:before="0"/>
            </w:pPr>
            <w:r>
              <w:rPr>
                <w:rFonts w:ascii="Arial" w:cs="Arial" w:eastAsia="Arial" w:hAnsi="Arial"/>
                <w:sz w:val="18"/>
                <w:szCs w:val="18"/>
              </w:rPr>
              <w:t xml:space="preserve">Modify — risk control(s) applied to reduce to acceptable level.</w:t>
            </w:r>
          </w:p>
        </w:tc>
        <w:tc>
          <w:tcPr>
            <w:tcW w:type="dxa" w:w="5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0"/>
            </w:pPr>
            <w:r>
              <w:rPr>
                <w:rFonts w:ascii="Arial" w:cs="Arial" w:eastAsia="Arial" w:hAnsi="Arial"/>
                <w:b/>
                <w:bCs/>
                <w:color w:val="404040"/>
                <w:sz w:val="18"/>
                <w:szCs w:val="18"/>
              </w:rPr>
              <w:t xml:space="preserve">Controls Applied:</w:t>
            </w:r>
          </w:p>
          <w:p>
            <w:pPr>
              <w:spacing w:after="60" w:before="0"/>
            </w:pPr>
            <w:r>
              <w:rPr>
                <w:rFonts w:ascii="Arial" w:cs="Arial" w:eastAsia="Arial" w:hAnsi="Arial"/>
                <w:sz w:val="16"/>
                <w:szCs w:val="16"/>
              </w:rPr>
              <w:t xml:space="preserve">BCP and DRP documentation and testing (A.5.29, A.5.30); documented service restoration procedures; backup and recovery controls validated quarterly (A.8.13); vendor SLA monitoring; alternative communication channels during M365 outage; RTO and RPO defined per client SLA.</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800"/>
        <w:gridCol w:w="800"/>
        <w:gridCol w:w="800"/>
        <w:gridCol w:w="1660"/>
      </w:tblGrid>
      <w:tr>
        <w:tc>
          <w:tcPr>
            <w:tcW w:type="dxa" w:w="2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 Owner</w:t>
            </w:r>
          </w:p>
        </w:tc>
        <w:tc>
          <w:tcPr>
            <w:tcW w:type="dxa" w:w="1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Date</w:t>
            </w:r>
          </w:p>
        </w:tc>
        <w:tc>
          <w:tcPr>
            <w:tcW w:type="dxa" w:w="14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rL</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Residual Score</w:t>
            </w:r>
          </w:p>
        </w:tc>
        <w:tc>
          <w:tcPr>
            <w:tcW w:type="dxa" w:w="16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Residual Level</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HoT / MD</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Q3 2026</w:t>
            </w:r>
          </w:p>
        </w:tc>
        <w:tc>
          <w:tcPr>
            <w:tcW w:type="dxa" w:w="1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Planned</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6</w:t>
            </w:r>
          </w:p>
        </w:tc>
        <w:tc>
          <w:tcPr>
            <w:tcW w:type="dxa" w:w="16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MEDIUM</w:t>
            </w:r>
          </w:p>
        </w:tc>
      </w:tr>
    </w:tbl>
    <w:p>
      <w:pPr>
        <w:spacing w:after="12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D6E4F0"/>
                <w:sz w:val="22"/>
                <w:szCs w:val="22"/>
              </w:rPr>
              <w:t xml:space="preserve">ISK-006  |  </w:t>
            </w:r>
            <w:r>
              <w:rPr>
                <w:rFonts w:ascii="Arial" w:cs="Arial" w:eastAsia="Arial" w:hAnsi="Arial"/>
                <w:b/>
                <w:bCs/>
                <w:color w:val="FFFFFF"/>
                <w:sz w:val="22"/>
                <w:szCs w:val="22"/>
              </w:rPr>
              <w:t xml:space="preserve">Key person dependency — loss of critical ISMS or technical capability</w:t>
            </w:r>
            <w:r>
              <w:rPr>
                <w:rFonts w:ascii="Arial" w:cs="Arial" w:eastAsia="Arial" w:hAnsi="Arial"/>
                <w:color w:val="AAAAAA"/>
                <w:sz w:val="18"/>
                <w:szCs w:val="18"/>
              </w:rPr>
              <w:t xml:space="preserve">  [Personnel]</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600"/>
        <w:gridCol w:w="2660"/>
      </w:tblGrid>
      <w:tr>
        <w:trPr>
          <w:tblHeader/>
        </w:trPr>
        <w:tc>
          <w:tcPr>
            <w:tcW w:type="dxa" w:w="2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Threat Source</w:t>
            </w:r>
          </w:p>
        </w:tc>
        <w:tc>
          <w:tcPr>
            <w:tcW w:type="dxa" w:w="3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Vulnerability</w:t>
            </w:r>
          </w:p>
        </w:tc>
        <w:tc>
          <w:tcPr>
            <w:tcW w:type="dxa" w:w="16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CIA Impact</w:t>
            </w:r>
          </w:p>
        </w:tc>
        <w:tc>
          <w:tcPr>
            <w:tcW w:type="dxa" w:w="26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Annex A Controls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Sudden unavailability (resignation, illness, or incapacitation) of personnel holding critical ISMS or technical functions in a 1–10 person organisation.</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No formal succession planning; ISMS governance, privileged access knowledge, and client relationship management concentrated in 1–2 individuals; limited documentation of tribal knowledge.</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C: Medium  I: Medium  A: High</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A.5.37, A.6.1, A.6.5</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000"/>
        <w:gridCol w:w="5260"/>
      </w:tblGrid>
      <w:tr>
        <w:tc>
          <w:tcPr>
            <w:tcW w:type="dxa" w:w="4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60" w:before="0"/>
            </w:pPr>
            <w:r>
              <w:rPr>
                <w:rFonts w:ascii="Arial" w:cs="Arial" w:eastAsia="Arial" w:hAnsi="Arial"/>
                <w:b/>
                <w:bCs/>
                <w:color w:val="404040"/>
                <w:sz w:val="18"/>
                <w:szCs w:val="18"/>
              </w:rPr>
              <w:t xml:space="preserve">Inherent Risk: </w:t>
            </w:r>
          </w:p>
          <w:p>
            <w:pPr>
              <w:spacing w:after="40" w:before="0"/>
            </w:pPr>
            <w:r>
              <w:rPr>
                <w:rFonts w:ascii="Arial" w:cs="Arial" w:eastAsia="Arial" w:hAnsi="Arial"/>
                <w:sz w:val="18"/>
                <w:szCs w:val="18"/>
              </w:rPr>
              <w:t xml:space="preserve">Likelihood: 3/5    Impact: 4/5    Score: 12</w:t>
            </w:r>
          </w:p>
          <w:p>
            <w:pPr>
              <w:spacing w:after="60" w:before="0"/>
            </w:pPr>
            <w:r>
              <w:rPr>
                <w:rFonts w:ascii="Arial" w:cs="Arial" w:eastAsia="Arial" w:hAnsi="Arial"/>
                <w:b/>
                <w:bCs/>
                <w:sz w:val="18"/>
                <w:szCs w:val="18"/>
              </w:rPr>
              <w:t xml:space="preserve">Level: </w:t>
            </w:r>
            <w:r>
              <w:rPr>
                <w:rFonts w:ascii="Arial" w:cs="Arial" w:eastAsia="Arial" w:hAnsi="Arial"/>
                <w:b/>
                <w:bCs/>
                <w:color w:val="C00000"/>
                <w:sz w:val="18"/>
                <w:szCs w:val="18"/>
              </w:rPr>
              <w:t xml:space="preserve">HIGH</w:t>
            </w:r>
          </w:p>
          <w:p>
            <w:pPr>
              <w:spacing w:after="60" w:before="40"/>
            </w:pPr>
            <w:r>
              <w:rPr>
                <w:rFonts w:ascii="Arial" w:cs="Arial" w:eastAsia="Arial" w:hAnsi="Arial"/>
                <w:b/>
                <w:bCs/>
                <w:color w:val="404040"/>
                <w:sz w:val="18"/>
                <w:szCs w:val="18"/>
              </w:rPr>
              <w:t xml:space="preserve">Treatment Option: </w:t>
            </w:r>
          </w:p>
          <w:p>
            <w:pPr>
              <w:spacing w:after="40" w:before="0"/>
            </w:pPr>
            <w:r>
              <w:rPr>
                <w:rFonts w:ascii="Arial" w:cs="Arial" w:eastAsia="Arial" w:hAnsi="Arial"/>
                <w:sz w:val="18"/>
                <w:szCs w:val="18"/>
              </w:rPr>
              <w:t xml:space="preserve">Modify — risk control(s) applied to reduce to acceptable level.</w:t>
            </w:r>
          </w:p>
        </w:tc>
        <w:tc>
          <w:tcPr>
            <w:tcW w:type="dxa" w:w="5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0"/>
            </w:pPr>
            <w:r>
              <w:rPr>
                <w:rFonts w:ascii="Arial" w:cs="Arial" w:eastAsia="Arial" w:hAnsi="Arial"/>
                <w:b/>
                <w:bCs/>
                <w:color w:val="404040"/>
                <w:sz w:val="18"/>
                <w:szCs w:val="18"/>
              </w:rPr>
              <w:t xml:space="preserve">Controls Applied:</w:t>
            </w:r>
          </w:p>
          <w:p>
            <w:pPr>
              <w:spacing w:after="60" w:before="0"/>
            </w:pPr>
            <w:r>
              <w:rPr>
                <w:rFonts w:ascii="Arial" w:cs="Arial" w:eastAsia="Arial" w:hAnsi="Arial"/>
                <w:sz w:val="16"/>
                <w:szCs w:val="16"/>
              </w:rPr>
              <w:t xml:space="preserve">Documented runbooks and SOPs for all critical processes (A.5.37); cross-training programme with documented skills matrix; access credential escrow for critical systems; succession plan for ISMS Manager and technical lead; retention of external IR/ISMS support retainer.</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800"/>
        <w:gridCol w:w="800"/>
        <w:gridCol w:w="800"/>
        <w:gridCol w:w="1660"/>
      </w:tblGrid>
      <w:tr>
        <w:tc>
          <w:tcPr>
            <w:tcW w:type="dxa" w:w="2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 Owner</w:t>
            </w:r>
          </w:p>
        </w:tc>
        <w:tc>
          <w:tcPr>
            <w:tcW w:type="dxa" w:w="1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Date</w:t>
            </w:r>
          </w:p>
        </w:tc>
        <w:tc>
          <w:tcPr>
            <w:tcW w:type="dxa" w:w="14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rL</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Residual Score</w:t>
            </w:r>
          </w:p>
        </w:tc>
        <w:tc>
          <w:tcPr>
            <w:tcW w:type="dxa" w:w="16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Residual Level</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MD</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Q3 2026</w:t>
            </w:r>
          </w:p>
        </w:tc>
        <w:tc>
          <w:tcPr>
            <w:tcW w:type="dxa" w:w="1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Planned</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6</w:t>
            </w:r>
          </w:p>
        </w:tc>
        <w:tc>
          <w:tcPr>
            <w:tcW w:type="dxa" w:w="16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MEDIUM</w:t>
            </w:r>
          </w:p>
        </w:tc>
      </w:tr>
    </w:tbl>
    <w:p>
      <w:pPr>
        <w:spacing w:after="120" w:before="60"/>
      </w:pPr>
    </w:p>
    <w:p>
      <w:r>
        <w:br w:type="pag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D6E4F0"/>
                <w:sz w:val="22"/>
                <w:szCs w:val="22"/>
              </w:rPr>
              <w:t xml:space="preserve">ISK-007  |  </w:t>
            </w:r>
            <w:r>
              <w:rPr>
                <w:rFonts w:ascii="Arial" w:cs="Arial" w:eastAsia="Arial" w:hAnsi="Arial"/>
                <w:b/>
                <w:bCs/>
                <w:color w:val="FFFFFF"/>
                <w:sz w:val="22"/>
                <w:szCs w:val="22"/>
              </w:rPr>
              <w:t xml:space="preserve">Insider threat — malicious or negligent misuse of privileged access</w:t>
            </w:r>
            <w:r>
              <w:rPr>
                <w:rFonts w:ascii="Arial" w:cs="Arial" w:eastAsia="Arial" w:hAnsi="Arial"/>
                <w:color w:val="AAAAAA"/>
                <w:sz w:val="18"/>
                <w:szCs w:val="18"/>
              </w:rPr>
              <w:t xml:space="preserve">  [Privileged Access]</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600"/>
        <w:gridCol w:w="2660"/>
      </w:tblGrid>
      <w:tr>
        <w:trPr>
          <w:tblHeader/>
        </w:trPr>
        <w:tc>
          <w:tcPr>
            <w:tcW w:type="dxa" w:w="2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Threat Source</w:t>
            </w:r>
          </w:p>
        </w:tc>
        <w:tc>
          <w:tcPr>
            <w:tcW w:type="dxa" w:w="3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Vulnerability</w:t>
            </w:r>
          </w:p>
        </w:tc>
        <w:tc>
          <w:tcPr>
            <w:tcW w:type="dxa" w:w="16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CIA Impact</w:t>
            </w:r>
          </w:p>
        </w:tc>
        <w:tc>
          <w:tcPr>
            <w:tcW w:type="dxa" w:w="26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Annex A Controls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Current or former employee/contractor misusing privileged access to client environments for financial gain, sabotage, or data theft; accidental misuse causing data loss.</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Broad privileged access to multiple client tenants; limited technical controls for monitoring insider activity; small team limits peer review opportunities; no formal leavers access revocation SLA.</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C: High  I: High  A: Medium</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A.5.3, A.5.15, A.6.1, A.6.5, A.8.16</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000"/>
        <w:gridCol w:w="5260"/>
      </w:tblGrid>
      <w:tr>
        <w:tc>
          <w:tcPr>
            <w:tcW w:type="dxa" w:w="4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60" w:before="0"/>
            </w:pPr>
            <w:r>
              <w:rPr>
                <w:rFonts w:ascii="Arial" w:cs="Arial" w:eastAsia="Arial" w:hAnsi="Arial"/>
                <w:b/>
                <w:bCs/>
                <w:color w:val="404040"/>
                <w:sz w:val="18"/>
                <w:szCs w:val="18"/>
              </w:rPr>
              <w:t xml:space="preserve">Inherent Risk: </w:t>
            </w:r>
          </w:p>
          <w:p>
            <w:pPr>
              <w:spacing w:after="40" w:before="0"/>
            </w:pPr>
            <w:r>
              <w:rPr>
                <w:rFonts w:ascii="Arial" w:cs="Arial" w:eastAsia="Arial" w:hAnsi="Arial"/>
                <w:sz w:val="18"/>
                <w:szCs w:val="18"/>
              </w:rPr>
              <w:t xml:space="preserve">Likelihood: 2/5    Impact: 5/5    Score: 10</w:t>
            </w:r>
          </w:p>
          <w:p>
            <w:pPr>
              <w:spacing w:after="60" w:before="0"/>
            </w:pPr>
            <w:r>
              <w:rPr>
                <w:rFonts w:ascii="Arial" w:cs="Arial" w:eastAsia="Arial" w:hAnsi="Arial"/>
                <w:b/>
                <w:bCs/>
                <w:sz w:val="18"/>
                <w:szCs w:val="18"/>
              </w:rPr>
              <w:t xml:space="preserve">Level: </w:t>
            </w:r>
            <w:r>
              <w:rPr>
                <w:rFonts w:ascii="Arial" w:cs="Arial" w:eastAsia="Arial" w:hAnsi="Arial"/>
                <w:b/>
                <w:bCs/>
                <w:color w:val="C00000"/>
                <w:sz w:val="18"/>
                <w:szCs w:val="18"/>
              </w:rPr>
              <w:t xml:space="preserve">HIGH</w:t>
            </w:r>
          </w:p>
          <w:p>
            <w:pPr>
              <w:spacing w:after="60" w:before="40"/>
            </w:pPr>
            <w:r>
              <w:rPr>
                <w:rFonts w:ascii="Arial" w:cs="Arial" w:eastAsia="Arial" w:hAnsi="Arial"/>
                <w:b/>
                <w:bCs/>
                <w:color w:val="404040"/>
                <w:sz w:val="18"/>
                <w:szCs w:val="18"/>
              </w:rPr>
              <w:t xml:space="preserve">Treatment Option: </w:t>
            </w:r>
          </w:p>
          <w:p>
            <w:pPr>
              <w:spacing w:after="40" w:before="0"/>
            </w:pPr>
            <w:r>
              <w:rPr>
                <w:rFonts w:ascii="Arial" w:cs="Arial" w:eastAsia="Arial" w:hAnsi="Arial"/>
                <w:sz w:val="18"/>
                <w:szCs w:val="18"/>
              </w:rPr>
              <w:t xml:space="preserve">Modify — risk control(s) applied to reduce to acceptable level.</w:t>
            </w:r>
          </w:p>
        </w:tc>
        <w:tc>
          <w:tcPr>
            <w:tcW w:type="dxa" w:w="5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0"/>
            </w:pPr>
            <w:r>
              <w:rPr>
                <w:rFonts w:ascii="Arial" w:cs="Arial" w:eastAsia="Arial" w:hAnsi="Arial"/>
                <w:b/>
                <w:bCs/>
                <w:color w:val="404040"/>
                <w:sz w:val="18"/>
                <w:szCs w:val="18"/>
              </w:rPr>
              <w:t xml:space="preserve">Controls Applied:</w:t>
            </w:r>
          </w:p>
          <w:p>
            <w:pPr>
              <w:spacing w:after="60" w:before="0"/>
            </w:pPr>
            <w:r>
              <w:rPr>
                <w:rFonts w:ascii="Arial" w:cs="Arial" w:eastAsia="Arial" w:hAnsi="Arial"/>
                <w:sz w:val="16"/>
                <w:szCs w:val="16"/>
              </w:rPr>
              <w:t xml:space="preserve">PAM with session recording and alerting (A.5.15); JIT / just-enough access provisioning; JML procedure with same-day leaver deprovisioning (A.6.5); behavioural analytics via Sentinel (A.8.16); segregation of duties where technically feasible (A.5.3); background screening at onboarding (A.6.1).</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800"/>
        <w:gridCol w:w="800"/>
        <w:gridCol w:w="800"/>
        <w:gridCol w:w="1660"/>
      </w:tblGrid>
      <w:tr>
        <w:tc>
          <w:tcPr>
            <w:tcW w:type="dxa" w:w="2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 Owner</w:t>
            </w:r>
          </w:p>
        </w:tc>
        <w:tc>
          <w:tcPr>
            <w:tcW w:type="dxa" w:w="1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Date</w:t>
            </w:r>
          </w:p>
        </w:tc>
        <w:tc>
          <w:tcPr>
            <w:tcW w:type="dxa" w:w="14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rL</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Residual Score</w:t>
            </w:r>
          </w:p>
        </w:tc>
        <w:tc>
          <w:tcPr>
            <w:tcW w:type="dxa" w:w="16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Residual Level</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Q2 2026</w:t>
            </w:r>
          </w:p>
        </w:tc>
        <w:tc>
          <w:tcPr>
            <w:tcW w:type="dxa" w:w="14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8</w:t>
            </w:r>
          </w:p>
        </w:tc>
        <w:tc>
          <w:tcPr>
            <w:tcW w:type="dxa" w:w="16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MEDIUM</w:t>
            </w:r>
          </w:p>
        </w:tc>
      </w:tr>
    </w:tbl>
    <w:p>
      <w:pPr>
        <w:spacing w:after="12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D6E4F0"/>
                <w:sz w:val="22"/>
                <w:szCs w:val="22"/>
              </w:rPr>
              <w:t xml:space="preserve">ISK-008  |  </w:t>
            </w:r>
            <w:r>
              <w:rPr>
                <w:rFonts w:ascii="Arial" w:cs="Arial" w:eastAsia="Arial" w:hAnsi="Arial"/>
                <w:b/>
                <w:bCs/>
                <w:color w:val="FFFFFF"/>
                <w:sz w:val="22"/>
                <w:szCs w:val="22"/>
              </w:rPr>
              <w:t xml:space="preserve">UK GDPR / DPA 2018 non-compliance resulting in regulatory action</w:t>
            </w:r>
            <w:r>
              <w:rPr>
                <w:rFonts w:ascii="Arial" w:cs="Arial" w:eastAsia="Arial" w:hAnsi="Arial"/>
                <w:color w:val="AAAAAA"/>
                <w:sz w:val="18"/>
                <w:szCs w:val="18"/>
              </w:rPr>
              <w:t xml:space="preserve">  [Compliance]</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600"/>
        <w:gridCol w:w="2660"/>
      </w:tblGrid>
      <w:tr>
        <w:trPr>
          <w:tblHeader/>
        </w:trPr>
        <w:tc>
          <w:tcPr>
            <w:tcW w:type="dxa" w:w="2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Threat Source</w:t>
            </w:r>
          </w:p>
        </w:tc>
        <w:tc>
          <w:tcPr>
            <w:tcW w:type="dxa" w:w="3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Vulnerability</w:t>
            </w:r>
          </w:p>
        </w:tc>
        <w:tc>
          <w:tcPr>
            <w:tcW w:type="dxa" w:w="16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CIA Impact</w:t>
            </w:r>
          </w:p>
        </w:tc>
        <w:tc>
          <w:tcPr>
            <w:tcW w:type="dxa" w:w="26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Annex A Controls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Regulatory investigation or enforcement action by the ICO following a data breach, data subject complaint, or audit finding of non-compliance with UK GDPR.</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Processing of personal data on behalf of clients without fully documented DPIA process; RoPA may be incomplete; breach notification window (72 hours) operationally challenging without documented procedure.</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C: High  I: Medium  A: Low</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A.5.34, A.6.3, A.5.24</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000"/>
        <w:gridCol w:w="5260"/>
      </w:tblGrid>
      <w:tr>
        <w:tc>
          <w:tcPr>
            <w:tcW w:type="dxa" w:w="4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60" w:before="0"/>
            </w:pPr>
            <w:r>
              <w:rPr>
                <w:rFonts w:ascii="Arial" w:cs="Arial" w:eastAsia="Arial" w:hAnsi="Arial"/>
                <w:b/>
                <w:bCs/>
                <w:color w:val="404040"/>
                <w:sz w:val="18"/>
                <w:szCs w:val="18"/>
              </w:rPr>
              <w:t xml:space="preserve">Inherent Risk: </w:t>
            </w:r>
          </w:p>
          <w:p>
            <w:pPr>
              <w:spacing w:after="40" w:before="0"/>
            </w:pPr>
            <w:r>
              <w:rPr>
                <w:rFonts w:ascii="Arial" w:cs="Arial" w:eastAsia="Arial" w:hAnsi="Arial"/>
                <w:sz w:val="18"/>
                <w:szCs w:val="18"/>
              </w:rPr>
              <w:t xml:space="preserve">Likelihood: 2/5    Impact: 4/5    Score: 8</w:t>
            </w:r>
          </w:p>
          <w:p>
            <w:pPr>
              <w:spacing w:after="60" w:before="0"/>
            </w:pPr>
            <w:r>
              <w:rPr>
                <w:rFonts w:ascii="Arial" w:cs="Arial" w:eastAsia="Arial" w:hAnsi="Arial"/>
                <w:b/>
                <w:bCs/>
                <w:sz w:val="18"/>
                <w:szCs w:val="18"/>
              </w:rPr>
              <w:t xml:space="preserve">Level: </w:t>
            </w:r>
            <w:r>
              <w:rPr>
                <w:rFonts w:ascii="Arial" w:cs="Arial" w:eastAsia="Arial" w:hAnsi="Arial"/>
                <w:b/>
                <w:bCs/>
                <w:color w:val="ED7D31"/>
                <w:sz w:val="18"/>
                <w:szCs w:val="18"/>
              </w:rPr>
              <w:t xml:space="preserve">MEDIUM</w:t>
            </w:r>
          </w:p>
          <w:p>
            <w:pPr>
              <w:spacing w:after="60" w:before="40"/>
            </w:pPr>
            <w:r>
              <w:rPr>
                <w:rFonts w:ascii="Arial" w:cs="Arial" w:eastAsia="Arial" w:hAnsi="Arial"/>
                <w:b/>
                <w:bCs/>
                <w:color w:val="404040"/>
                <w:sz w:val="18"/>
                <w:szCs w:val="18"/>
              </w:rPr>
              <w:t xml:space="preserve">Treatment Option: </w:t>
            </w:r>
          </w:p>
          <w:p>
            <w:pPr>
              <w:spacing w:after="40" w:before="0"/>
            </w:pPr>
            <w:r>
              <w:rPr>
                <w:rFonts w:ascii="Arial" w:cs="Arial" w:eastAsia="Arial" w:hAnsi="Arial"/>
                <w:sz w:val="18"/>
                <w:szCs w:val="18"/>
              </w:rPr>
              <w:t xml:space="preserve">Modify — risk control(s) applied to reduce to acceptable level.</w:t>
            </w:r>
          </w:p>
        </w:tc>
        <w:tc>
          <w:tcPr>
            <w:tcW w:type="dxa" w:w="5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0"/>
            </w:pPr>
            <w:r>
              <w:rPr>
                <w:rFonts w:ascii="Arial" w:cs="Arial" w:eastAsia="Arial" w:hAnsi="Arial"/>
                <w:b/>
                <w:bCs/>
                <w:color w:val="404040"/>
                <w:sz w:val="18"/>
                <w:szCs w:val="18"/>
              </w:rPr>
              <w:t xml:space="preserve">Controls Applied:</w:t>
            </w:r>
          </w:p>
          <w:p>
            <w:pPr>
              <w:spacing w:after="60" w:before="0"/>
            </w:pPr>
            <w:r>
              <w:rPr>
                <w:rFonts w:ascii="Arial" w:cs="Arial" w:eastAsia="Arial" w:hAnsi="Arial"/>
                <w:sz w:val="16"/>
                <w:szCs w:val="16"/>
              </w:rPr>
              <w:t xml:space="preserve">Documented UK GDPR compliance programme; maintained RoPA (A.5.34); DPIA process for high-risk processing; breach detection and 72-hour notification procedure; DPIAs embedded in client onboarding; staff training on data protection obligations (A.6.3).</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800"/>
        <w:gridCol w:w="800"/>
        <w:gridCol w:w="800"/>
        <w:gridCol w:w="1660"/>
      </w:tblGrid>
      <w:tr>
        <w:tc>
          <w:tcPr>
            <w:tcW w:type="dxa" w:w="2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 Owner</w:t>
            </w:r>
          </w:p>
        </w:tc>
        <w:tc>
          <w:tcPr>
            <w:tcW w:type="dxa" w:w="1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Date</w:t>
            </w:r>
          </w:p>
        </w:tc>
        <w:tc>
          <w:tcPr>
            <w:tcW w:type="dxa" w:w="14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rL</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Residual Score</w:t>
            </w:r>
          </w:p>
        </w:tc>
        <w:tc>
          <w:tcPr>
            <w:tcW w:type="dxa" w:w="16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Residual Level</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Data Protection Lead</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Q2 2026</w:t>
            </w:r>
          </w:p>
        </w:tc>
        <w:tc>
          <w:tcPr>
            <w:tcW w:type="dxa" w:w="14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w:t>
            </w:r>
          </w:p>
        </w:tc>
        <w:tc>
          <w:tcPr>
            <w:tcW w:type="dxa" w:w="8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4</w:t>
            </w:r>
          </w:p>
        </w:tc>
        <w:tc>
          <w:tcPr>
            <w:tcW w:type="dxa" w:w="166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LOW</w:t>
            </w:r>
          </w:p>
        </w:tc>
      </w:tr>
    </w:tbl>
    <w:p>
      <w:pPr>
        <w:spacing w:after="12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D6E4F0"/>
                <w:sz w:val="22"/>
                <w:szCs w:val="22"/>
              </w:rPr>
              <w:t xml:space="preserve">ISK-009  |  </w:t>
            </w:r>
            <w:r>
              <w:rPr>
                <w:rFonts w:ascii="Arial" w:cs="Arial" w:eastAsia="Arial" w:hAnsi="Arial"/>
                <w:b/>
                <w:bCs/>
                <w:color w:val="FFFFFF"/>
                <w:sz w:val="22"/>
                <w:szCs w:val="22"/>
              </w:rPr>
              <w:t xml:space="preserve">Exploitation of unpatched vulnerability in managed infrastructure</w:t>
            </w:r>
            <w:r>
              <w:rPr>
                <w:rFonts w:ascii="Arial" w:cs="Arial" w:eastAsia="Arial" w:hAnsi="Arial"/>
                <w:color w:val="AAAAAA"/>
                <w:sz w:val="18"/>
                <w:szCs w:val="18"/>
              </w:rPr>
              <w:t xml:space="preserve">  [Vulnerability Management]</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600"/>
        <w:gridCol w:w="2660"/>
      </w:tblGrid>
      <w:tr>
        <w:trPr>
          <w:tblHeader/>
        </w:trPr>
        <w:tc>
          <w:tcPr>
            <w:tcW w:type="dxa" w:w="2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Threat Source</w:t>
            </w:r>
          </w:p>
        </w:tc>
        <w:tc>
          <w:tcPr>
            <w:tcW w:type="dxa" w:w="3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Vulnerability</w:t>
            </w:r>
          </w:p>
        </w:tc>
        <w:tc>
          <w:tcPr>
            <w:tcW w:type="dxa" w:w="16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CIA Impact</w:t>
            </w:r>
          </w:p>
        </w:tc>
        <w:tc>
          <w:tcPr>
            <w:tcW w:type="dxa" w:w="26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Annex A Controls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Threat actor exploiting a known or zero-day vulnerability in endpoints, cloud configuration, or managed client infrastructure before patching is applied.</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No formally documented patch management SLA; distributed endpoint estate across remote workers; cloud misconfigurations may go undetected without automated scanning.</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C: High  I: High  A: Medium</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A.8.8, A.8.9, A.8.19</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000"/>
        <w:gridCol w:w="5260"/>
      </w:tblGrid>
      <w:tr>
        <w:tc>
          <w:tcPr>
            <w:tcW w:type="dxa" w:w="4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60" w:before="0"/>
            </w:pPr>
            <w:r>
              <w:rPr>
                <w:rFonts w:ascii="Arial" w:cs="Arial" w:eastAsia="Arial" w:hAnsi="Arial"/>
                <w:b/>
                <w:bCs/>
                <w:color w:val="404040"/>
                <w:sz w:val="18"/>
                <w:szCs w:val="18"/>
              </w:rPr>
              <w:t xml:space="preserve">Inherent Risk: </w:t>
            </w:r>
          </w:p>
          <w:p>
            <w:pPr>
              <w:spacing w:after="40" w:before="0"/>
            </w:pPr>
            <w:r>
              <w:rPr>
                <w:rFonts w:ascii="Arial" w:cs="Arial" w:eastAsia="Arial" w:hAnsi="Arial"/>
                <w:sz w:val="18"/>
                <w:szCs w:val="18"/>
              </w:rPr>
              <w:t xml:space="preserve">Likelihood: 3/5    Impact: 4/5    Score: 12</w:t>
            </w:r>
          </w:p>
          <w:p>
            <w:pPr>
              <w:spacing w:after="60" w:before="0"/>
            </w:pPr>
            <w:r>
              <w:rPr>
                <w:rFonts w:ascii="Arial" w:cs="Arial" w:eastAsia="Arial" w:hAnsi="Arial"/>
                <w:b/>
                <w:bCs/>
                <w:sz w:val="18"/>
                <w:szCs w:val="18"/>
              </w:rPr>
              <w:t xml:space="preserve">Level: </w:t>
            </w:r>
            <w:r>
              <w:rPr>
                <w:rFonts w:ascii="Arial" w:cs="Arial" w:eastAsia="Arial" w:hAnsi="Arial"/>
                <w:b/>
                <w:bCs/>
                <w:color w:val="C00000"/>
                <w:sz w:val="18"/>
                <w:szCs w:val="18"/>
              </w:rPr>
              <w:t xml:space="preserve">HIGH</w:t>
            </w:r>
          </w:p>
          <w:p>
            <w:pPr>
              <w:spacing w:after="60" w:before="40"/>
            </w:pPr>
            <w:r>
              <w:rPr>
                <w:rFonts w:ascii="Arial" w:cs="Arial" w:eastAsia="Arial" w:hAnsi="Arial"/>
                <w:b/>
                <w:bCs/>
                <w:color w:val="404040"/>
                <w:sz w:val="18"/>
                <w:szCs w:val="18"/>
              </w:rPr>
              <w:t xml:space="preserve">Treatment Option: </w:t>
            </w:r>
          </w:p>
          <w:p>
            <w:pPr>
              <w:spacing w:after="40" w:before="0"/>
            </w:pPr>
            <w:r>
              <w:rPr>
                <w:rFonts w:ascii="Arial" w:cs="Arial" w:eastAsia="Arial" w:hAnsi="Arial"/>
                <w:sz w:val="18"/>
                <w:szCs w:val="18"/>
              </w:rPr>
              <w:t xml:space="preserve">Modify — risk control(s) applied to reduce to acceptable level.</w:t>
            </w:r>
          </w:p>
        </w:tc>
        <w:tc>
          <w:tcPr>
            <w:tcW w:type="dxa" w:w="5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0"/>
            </w:pPr>
            <w:r>
              <w:rPr>
                <w:rFonts w:ascii="Arial" w:cs="Arial" w:eastAsia="Arial" w:hAnsi="Arial"/>
                <w:b/>
                <w:bCs/>
                <w:color w:val="404040"/>
                <w:sz w:val="18"/>
                <w:szCs w:val="18"/>
              </w:rPr>
              <w:t xml:space="preserve">Controls Applied:</w:t>
            </w:r>
          </w:p>
          <w:p>
            <w:pPr>
              <w:spacing w:after="60" w:before="0"/>
            </w:pPr>
            <w:r>
              <w:rPr>
                <w:rFonts w:ascii="Arial" w:cs="Arial" w:eastAsia="Arial" w:hAnsi="Arial"/>
                <w:sz w:val="16"/>
                <w:szCs w:val="16"/>
              </w:rPr>
              <w:t xml:space="preserve">Vulnerability scanning programme with defined remediation SLAs (A.8.8): Critical ≤24h, High ≤7d, Medium ≤30d; automated patch deployment via Intune/Defender (A.8.19); cloud security posture management (CSPM) for Azure configuration drift (A.8.9); vulnerability disclosure monitoring (threat intel feeds).</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800"/>
        <w:gridCol w:w="800"/>
        <w:gridCol w:w="800"/>
        <w:gridCol w:w="1660"/>
      </w:tblGrid>
      <w:tr>
        <w:tc>
          <w:tcPr>
            <w:tcW w:type="dxa" w:w="2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 Owner</w:t>
            </w:r>
          </w:p>
        </w:tc>
        <w:tc>
          <w:tcPr>
            <w:tcW w:type="dxa" w:w="1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Date</w:t>
            </w:r>
          </w:p>
        </w:tc>
        <w:tc>
          <w:tcPr>
            <w:tcW w:type="dxa" w:w="14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rL</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Residual Score</w:t>
            </w:r>
          </w:p>
        </w:tc>
        <w:tc>
          <w:tcPr>
            <w:tcW w:type="dxa" w:w="16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Residual Level</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HoT</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Q2 2026</w:t>
            </w:r>
          </w:p>
        </w:tc>
        <w:tc>
          <w:tcPr>
            <w:tcW w:type="dxa" w:w="14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6</w:t>
            </w:r>
          </w:p>
        </w:tc>
        <w:tc>
          <w:tcPr>
            <w:tcW w:type="dxa" w:w="16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MEDIUM</w:t>
            </w:r>
          </w:p>
        </w:tc>
      </w:tr>
    </w:tbl>
    <w:p>
      <w:pPr>
        <w:spacing w:after="120" w:before="60"/>
      </w:pPr>
    </w:p>
    <w:p>
      <w:r>
        <w:br w:type="pag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D6E4F0"/>
                <w:sz w:val="22"/>
                <w:szCs w:val="22"/>
              </w:rPr>
              <w:t xml:space="preserve">ISK-010  |  </w:t>
            </w:r>
            <w:r>
              <w:rPr>
                <w:rFonts w:ascii="Arial" w:cs="Arial" w:eastAsia="Arial" w:hAnsi="Arial"/>
                <w:b/>
                <w:bCs/>
                <w:color w:val="FFFFFF"/>
                <w:sz w:val="22"/>
                <w:szCs w:val="22"/>
              </w:rPr>
              <w:t xml:space="preserve">Loss or theft of device containing sensitive information</w:t>
            </w:r>
            <w:r>
              <w:rPr>
                <w:rFonts w:ascii="Arial" w:cs="Arial" w:eastAsia="Arial" w:hAnsi="Arial"/>
                <w:color w:val="AAAAAA"/>
                <w:sz w:val="18"/>
                <w:szCs w:val="18"/>
              </w:rPr>
              <w:t xml:space="preserve">  [Physical / Endpoint]</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600"/>
        <w:gridCol w:w="2660"/>
      </w:tblGrid>
      <w:tr>
        <w:trPr>
          <w:tblHeader/>
        </w:trPr>
        <w:tc>
          <w:tcPr>
            <w:tcW w:type="dxa" w:w="2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Threat Source</w:t>
            </w:r>
          </w:p>
        </w:tc>
        <w:tc>
          <w:tcPr>
            <w:tcW w:type="dxa" w:w="3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Vulnerability</w:t>
            </w:r>
          </w:p>
        </w:tc>
        <w:tc>
          <w:tcPr>
            <w:tcW w:type="dxa" w:w="16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CIA Impact</w:t>
            </w:r>
          </w:p>
        </w:tc>
        <w:tc>
          <w:tcPr>
            <w:tcW w:type="dxa" w:w="26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Annex A Controls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Theft or loss of laptop, mobile device, or storage media containing client data, credentials, or ISMS documentation.</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Remote-first workforce using personal and corporate devices; full-disk encryption not verified on all endpoints; BYOD policy not formally documented.</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C: High  I: Low  A: Low</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A.7.9, A.7.10, A.8.24</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000"/>
        <w:gridCol w:w="5260"/>
      </w:tblGrid>
      <w:tr>
        <w:tc>
          <w:tcPr>
            <w:tcW w:type="dxa" w:w="4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60" w:before="0"/>
            </w:pPr>
            <w:r>
              <w:rPr>
                <w:rFonts w:ascii="Arial" w:cs="Arial" w:eastAsia="Arial" w:hAnsi="Arial"/>
                <w:b/>
                <w:bCs/>
                <w:color w:val="404040"/>
                <w:sz w:val="18"/>
                <w:szCs w:val="18"/>
              </w:rPr>
              <w:t xml:space="preserve">Inherent Risk: </w:t>
            </w:r>
          </w:p>
          <w:p>
            <w:pPr>
              <w:spacing w:after="40" w:before="0"/>
            </w:pPr>
            <w:r>
              <w:rPr>
                <w:rFonts w:ascii="Arial" w:cs="Arial" w:eastAsia="Arial" w:hAnsi="Arial"/>
                <w:sz w:val="18"/>
                <w:szCs w:val="18"/>
              </w:rPr>
              <w:t xml:space="preserve">Likelihood: 3/5    Impact: 3/5    Score: 9</w:t>
            </w:r>
          </w:p>
          <w:p>
            <w:pPr>
              <w:spacing w:after="60" w:before="0"/>
            </w:pPr>
            <w:r>
              <w:rPr>
                <w:rFonts w:ascii="Arial" w:cs="Arial" w:eastAsia="Arial" w:hAnsi="Arial"/>
                <w:b/>
                <w:bCs/>
                <w:sz w:val="18"/>
                <w:szCs w:val="18"/>
              </w:rPr>
              <w:t xml:space="preserve">Level: </w:t>
            </w:r>
            <w:r>
              <w:rPr>
                <w:rFonts w:ascii="Arial" w:cs="Arial" w:eastAsia="Arial" w:hAnsi="Arial"/>
                <w:b/>
                <w:bCs/>
                <w:color w:val="ED7D31"/>
                <w:sz w:val="18"/>
                <w:szCs w:val="18"/>
              </w:rPr>
              <w:t xml:space="preserve">MEDIUM</w:t>
            </w:r>
          </w:p>
          <w:p>
            <w:pPr>
              <w:spacing w:after="60" w:before="40"/>
            </w:pPr>
            <w:r>
              <w:rPr>
                <w:rFonts w:ascii="Arial" w:cs="Arial" w:eastAsia="Arial" w:hAnsi="Arial"/>
                <w:b/>
                <w:bCs/>
                <w:color w:val="404040"/>
                <w:sz w:val="18"/>
                <w:szCs w:val="18"/>
              </w:rPr>
              <w:t xml:space="preserve">Treatment Option: </w:t>
            </w:r>
          </w:p>
          <w:p>
            <w:pPr>
              <w:spacing w:after="40" w:before="0"/>
            </w:pPr>
            <w:r>
              <w:rPr>
                <w:rFonts w:ascii="Arial" w:cs="Arial" w:eastAsia="Arial" w:hAnsi="Arial"/>
                <w:sz w:val="18"/>
                <w:szCs w:val="18"/>
              </w:rPr>
              <w:t xml:space="preserve">Modify — risk control(s) applied to reduce to acceptable level.</w:t>
            </w:r>
          </w:p>
        </w:tc>
        <w:tc>
          <w:tcPr>
            <w:tcW w:type="dxa" w:w="5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0"/>
            </w:pPr>
            <w:r>
              <w:rPr>
                <w:rFonts w:ascii="Arial" w:cs="Arial" w:eastAsia="Arial" w:hAnsi="Arial"/>
                <w:b/>
                <w:bCs/>
                <w:color w:val="404040"/>
                <w:sz w:val="18"/>
                <w:szCs w:val="18"/>
              </w:rPr>
              <w:t xml:space="preserve">Controls Applied:</w:t>
            </w:r>
          </w:p>
          <w:p>
            <w:pPr>
              <w:spacing w:after="60" w:before="0"/>
            </w:pPr>
            <w:r>
              <w:rPr>
                <w:rFonts w:ascii="Arial" w:cs="Arial" w:eastAsia="Arial" w:hAnsi="Arial"/>
                <w:sz w:val="16"/>
                <w:szCs w:val="16"/>
              </w:rPr>
              <w:t xml:space="preserve">Full-disk encryption enforced via BitLocker / FileVault on all corporate endpoints (A.7.10, A.8.24); MDM/Intune enrolment for corporate device remote wipe capability (A.7.9); BYOD policy with minimum security baseline; screen lock policy; prohibition on storing client data locally without encryption.</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800"/>
        <w:gridCol w:w="800"/>
        <w:gridCol w:w="800"/>
        <w:gridCol w:w="1660"/>
      </w:tblGrid>
      <w:tr>
        <w:tc>
          <w:tcPr>
            <w:tcW w:type="dxa" w:w="2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 Owner</w:t>
            </w:r>
          </w:p>
        </w:tc>
        <w:tc>
          <w:tcPr>
            <w:tcW w:type="dxa" w:w="1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Date</w:t>
            </w:r>
          </w:p>
        </w:tc>
        <w:tc>
          <w:tcPr>
            <w:tcW w:type="dxa" w:w="14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rL</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Residual Score</w:t>
            </w:r>
          </w:p>
        </w:tc>
        <w:tc>
          <w:tcPr>
            <w:tcW w:type="dxa" w:w="16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Residual Level</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HoT</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Q2 2026</w:t>
            </w:r>
          </w:p>
        </w:tc>
        <w:tc>
          <w:tcPr>
            <w:tcW w:type="dxa" w:w="14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8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3</w:t>
            </w:r>
          </w:p>
        </w:tc>
        <w:tc>
          <w:tcPr>
            <w:tcW w:type="dxa" w:w="166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LOW</w:t>
            </w:r>
          </w:p>
        </w:tc>
      </w:tr>
    </w:tbl>
    <w:p>
      <w:pPr>
        <w:spacing w:after="12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D6E4F0"/>
                <w:sz w:val="22"/>
                <w:szCs w:val="22"/>
              </w:rPr>
              <w:t xml:space="preserve">ISK-011  |  </w:t>
            </w:r>
            <w:r>
              <w:rPr>
                <w:rFonts w:ascii="Arial" w:cs="Arial" w:eastAsia="Arial" w:hAnsi="Arial"/>
                <w:b/>
                <w:bCs/>
                <w:color w:val="FFFFFF"/>
                <w:sz w:val="22"/>
                <w:szCs w:val="22"/>
              </w:rPr>
              <w:t xml:space="preserve">Inadequate incident detection and response capability</w:t>
            </w:r>
            <w:r>
              <w:rPr>
                <w:rFonts w:ascii="Arial" w:cs="Arial" w:eastAsia="Arial" w:hAnsi="Arial"/>
                <w:color w:val="AAAAAA"/>
                <w:sz w:val="18"/>
                <w:szCs w:val="18"/>
              </w:rPr>
              <w:t xml:space="preserve">  [Incident Management]</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600"/>
        <w:gridCol w:w="2660"/>
      </w:tblGrid>
      <w:tr>
        <w:trPr>
          <w:tblHeader/>
        </w:trPr>
        <w:tc>
          <w:tcPr>
            <w:tcW w:type="dxa" w:w="2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Threat Source</w:t>
            </w:r>
          </w:p>
        </w:tc>
        <w:tc>
          <w:tcPr>
            <w:tcW w:type="dxa" w:w="3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Vulnerability</w:t>
            </w:r>
          </w:p>
        </w:tc>
        <w:tc>
          <w:tcPr>
            <w:tcW w:type="dxa" w:w="16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CIA Impact</w:t>
            </w:r>
          </w:p>
        </w:tc>
        <w:tc>
          <w:tcPr>
            <w:tcW w:type="dxa" w:w="26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Annex A Controls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Security incident (breach, ransomware, data loss) that is not detected in a timely manner or is mishandled, resulting in extended dwell time and disproportionate impact.</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No formally tested IR playbooks; limited 24/7 monitoring capability in a small team; SIEM (Sentinel) deployed but alert triage process not formally documented.</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C: High  I: High  A: High</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A.5.24, A.5.25, A.5.26, A.5.27, A.5.28</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000"/>
        <w:gridCol w:w="5260"/>
      </w:tblGrid>
      <w:tr>
        <w:tc>
          <w:tcPr>
            <w:tcW w:type="dxa" w:w="4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60" w:before="0"/>
            </w:pPr>
            <w:r>
              <w:rPr>
                <w:rFonts w:ascii="Arial" w:cs="Arial" w:eastAsia="Arial" w:hAnsi="Arial"/>
                <w:b/>
                <w:bCs/>
                <w:color w:val="404040"/>
                <w:sz w:val="18"/>
                <w:szCs w:val="18"/>
              </w:rPr>
              <w:t xml:space="preserve">Inherent Risk: </w:t>
            </w:r>
          </w:p>
          <w:p>
            <w:pPr>
              <w:spacing w:after="40" w:before="0"/>
            </w:pPr>
            <w:r>
              <w:rPr>
                <w:rFonts w:ascii="Arial" w:cs="Arial" w:eastAsia="Arial" w:hAnsi="Arial"/>
                <w:sz w:val="18"/>
                <w:szCs w:val="18"/>
              </w:rPr>
              <w:t xml:space="preserve">Likelihood: 3/5    Impact: 4/5    Score: 12</w:t>
            </w:r>
          </w:p>
          <w:p>
            <w:pPr>
              <w:spacing w:after="60" w:before="0"/>
            </w:pPr>
            <w:r>
              <w:rPr>
                <w:rFonts w:ascii="Arial" w:cs="Arial" w:eastAsia="Arial" w:hAnsi="Arial"/>
                <w:b/>
                <w:bCs/>
                <w:sz w:val="18"/>
                <w:szCs w:val="18"/>
              </w:rPr>
              <w:t xml:space="preserve">Level: </w:t>
            </w:r>
            <w:r>
              <w:rPr>
                <w:rFonts w:ascii="Arial" w:cs="Arial" w:eastAsia="Arial" w:hAnsi="Arial"/>
                <w:b/>
                <w:bCs/>
                <w:color w:val="C00000"/>
                <w:sz w:val="18"/>
                <w:szCs w:val="18"/>
              </w:rPr>
              <w:t xml:space="preserve">HIGH</w:t>
            </w:r>
          </w:p>
          <w:p>
            <w:pPr>
              <w:spacing w:after="60" w:before="40"/>
            </w:pPr>
            <w:r>
              <w:rPr>
                <w:rFonts w:ascii="Arial" w:cs="Arial" w:eastAsia="Arial" w:hAnsi="Arial"/>
                <w:b/>
                <w:bCs/>
                <w:color w:val="404040"/>
                <w:sz w:val="18"/>
                <w:szCs w:val="18"/>
              </w:rPr>
              <w:t xml:space="preserve">Treatment Option: </w:t>
            </w:r>
          </w:p>
          <w:p>
            <w:pPr>
              <w:spacing w:after="40" w:before="0"/>
            </w:pPr>
            <w:r>
              <w:rPr>
                <w:rFonts w:ascii="Arial" w:cs="Arial" w:eastAsia="Arial" w:hAnsi="Arial"/>
                <w:sz w:val="18"/>
                <w:szCs w:val="18"/>
              </w:rPr>
              <w:t xml:space="preserve">Modify — risk control(s) applied to reduce to acceptable level.</w:t>
            </w:r>
          </w:p>
        </w:tc>
        <w:tc>
          <w:tcPr>
            <w:tcW w:type="dxa" w:w="5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0"/>
            </w:pPr>
            <w:r>
              <w:rPr>
                <w:rFonts w:ascii="Arial" w:cs="Arial" w:eastAsia="Arial" w:hAnsi="Arial"/>
                <w:b/>
                <w:bCs/>
                <w:color w:val="404040"/>
                <w:sz w:val="18"/>
                <w:szCs w:val="18"/>
              </w:rPr>
              <w:t xml:space="preserve">Controls Applied:</w:t>
            </w:r>
          </w:p>
          <w:p>
            <w:pPr>
              <w:spacing w:after="60" w:before="0"/>
            </w:pPr>
            <w:r>
              <w:rPr>
                <w:rFonts w:ascii="Arial" w:cs="Arial" w:eastAsia="Arial" w:hAnsi="Arial"/>
                <w:sz w:val="16"/>
                <w:szCs w:val="16"/>
              </w:rPr>
              <w:t xml:space="preserve">Documented IR plan and playbooks covering ransomware, data breach, account compromise (A.5.24–A.5.28); Sentinel alert triage procedure; annual tabletop exercise; out-of-hours escalation procedure; external IR retainer for surge support; lessons learned process integrated with corrective action.</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800"/>
        <w:gridCol w:w="800"/>
        <w:gridCol w:w="800"/>
        <w:gridCol w:w="1660"/>
      </w:tblGrid>
      <w:tr>
        <w:tc>
          <w:tcPr>
            <w:tcW w:type="dxa" w:w="2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 Owner</w:t>
            </w:r>
          </w:p>
        </w:tc>
        <w:tc>
          <w:tcPr>
            <w:tcW w:type="dxa" w:w="1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Date</w:t>
            </w:r>
          </w:p>
        </w:tc>
        <w:tc>
          <w:tcPr>
            <w:tcW w:type="dxa" w:w="14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rL</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Residual Score</w:t>
            </w:r>
          </w:p>
        </w:tc>
        <w:tc>
          <w:tcPr>
            <w:tcW w:type="dxa" w:w="16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Residual Level</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Q3 2026</w:t>
            </w:r>
          </w:p>
        </w:tc>
        <w:tc>
          <w:tcPr>
            <w:tcW w:type="dxa" w:w="1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Planned</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6</w:t>
            </w:r>
          </w:p>
        </w:tc>
        <w:tc>
          <w:tcPr>
            <w:tcW w:type="dxa" w:w="16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MEDIUM</w:t>
            </w:r>
          </w:p>
        </w:tc>
      </w:tr>
    </w:tbl>
    <w:p>
      <w:pPr>
        <w:spacing w:after="12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D6E4F0"/>
                <w:sz w:val="22"/>
                <w:szCs w:val="22"/>
              </w:rPr>
              <w:t xml:space="preserve">ISK-012  |  </w:t>
            </w:r>
            <w:r>
              <w:rPr>
                <w:rFonts w:ascii="Arial" w:cs="Arial" w:eastAsia="Arial" w:hAnsi="Arial"/>
                <w:b/>
                <w:bCs/>
                <w:color w:val="FFFFFF"/>
                <w:sz w:val="22"/>
                <w:szCs w:val="22"/>
              </w:rPr>
              <w:t xml:space="preserve">Inadequate security controls at a critical supplier causing downstream impact</w:t>
            </w:r>
            <w:r>
              <w:rPr>
                <w:rFonts w:ascii="Arial" w:cs="Arial" w:eastAsia="Arial" w:hAnsi="Arial"/>
                <w:color w:val="AAAAAA"/>
                <w:sz w:val="18"/>
                <w:szCs w:val="18"/>
              </w:rPr>
              <w:t xml:space="preserve">  [Third-Party / Supply Chain]</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600"/>
        <w:gridCol w:w="2660"/>
      </w:tblGrid>
      <w:tr>
        <w:trPr>
          <w:tblHeader/>
        </w:trPr>
        <w:tc>
          <w:tcPr>
            <w:tcW w:type="dxa" w:w="2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Threat Source</w:t>
            </w:r>
          </w:p>
        </w:tc>
        <w:tc>
          <w:tcPr>
            <w:tcW w:type="dxa" w:w="3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Vulnerability</w:t>
            </w:r>
          </w:p>
        </w:tc>
        <w:tc>
          <w:tcPr>
            <w:tcW w:type="dxa" w:w="16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CIA Impact</w:t>
            </w:r>
          </w:p>
        </w:tc>
        <w:tc>
          <w:tcPr>
            <w:tcW w:type="dxa" w:w="26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Annex A Controls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A key supplier (cloud provider, software vendor, subcontractor) suffers a security incident or fails to maintain adequate controls, resulting in impact to the organisation or its clients.</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No formal supplier security assessment programme; contractual security clauses not consistently applied; limited visibility of supplier sub-processors.</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C: Medium  I: Medium  A: Medium</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A.5.19, A.5.20, A.5.21, A.5.22</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000"/>
        <w:gridCol w:w="5260"/>
      </w:tblGrid>
      <w:tr>
        <w:tc>
          <w:tcPr>
            <w:tcW w:type="dxa" w:w="4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60" w:before="0"/>
            </w:pPr>
            <w:r>
              <w:rPr>
                <w:rFonts w:ascii="Arial" w:cs="Arial" w:eastAsia="Arial" w:hAnsi="Arial"/>
                <w:b/>
                <w:bCs/>
                <w:color w:val="404040"/>
                <w:sz w:val="18"/>
                <w:szCs w:val="18"/>
              </w:rPr>
              <w:t xml:space="preserve">Inherent Risk: </w:t>
            </w:r>
          </w:p>
          <w:p>
            <w:pPr>
              <w:spacing w:after="40" w:before="0"/>
            </w:pPr>
            <w:r>
              <w:rPr>
                <w:rFonts w:ascii="Arial" w:cs="Arial" w:eastAsia="Arial" w:hAnsi="Arial"/>
                <w:sz w:val="18"/>
                <w:szCs w:val="18"/>
              </w:rPr>
              <w:t xml:space="preserve">Likelihood: 3/5    Impact: 3/5    Score: 9</w:t>
            </w:r>
          </w:p>
          <w:p>
            <w:pPr>
              <w:spacing w:after="60" w:before="0"/>
            </w:pPr>
            <w:r>
              <w:rPr>
                <w:rFonts w:ascii="Arial" w:cs="Arial" w:eastAsia="Arial" w:hAnsi="Arial"/>
                <w:b/>
                <w:bCs/>
                <w:sz w:val="18"/>
                <w:szCs w:val="18"/>
              </w:rPr>
              <w:t xml:space="preserve">Level: </w:t>
            </w:r>
            <w:r>
              <w:rPr>
                <w:rFonts w:ascii="Arial" w:cs="Arial" w:eastAsia="Arial" w:hAnsi="Arial"/>
                <w:b/>
                <w:bCs/>
                <w:color w:val="ED7D31"/>
                <w:sz w:val="18"/>
                <w:szCs w:val="18"/>
              </w:rPr>
              <w:t xml:space="preserve">MEDIUM</w:t>
            </w:r>
          </w:p>
          <w:p>
            <w:pPr>
              <w:spacing w:after="60" w:before="40"/>
            </w:pPr>
            <w:r>
              <w:rPr>
                <w:rFonts w:ascii="Arial" w:cs="Arial" w:eastAsia="Arial" w:hAnsi="Arial"/>
                <w:b/>
                <w:bCs/>
                <w:color w:val="404040"/>
                <w:sz w:val="18"/>
                <w:szCs w:val="18"/>
              </w:rPr>
              <w:t xml:space="preserve">Treatment Option: </w:t>
            </w:r>
          </w:p>
          <w:p>
            <w:pPr>
              <w:spacing w:after="40" w:before="0"/>
            </w:pPr>
            <w:r>
              <w:rPr>
                <w:rFonts w:ascii="Arial" w:cs="Arial" w:eastAsia="Arial" w:hAnsi="Arial"/>
                <w:sz w:val="18"/>
                <w:szCs w:val="18"/>
              </w:rPr>
              <w:t xml:space="preserve">Modify — risk control(s) applied to reduce to acceptable level.</w:t>
            </w:r>
          </w:p>
        </w:tc>
        <w:tc>
          <w:tcPr>
            <w:tcW w:type="dxa" w:w="5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0"/>
            </w:pPr>
            <w:r>
              <w:rPr>
                <w:rFonts w:ascii="Arial" w:cs="Arial" w:eastAsia="Arial" w:hAnsi="Arial"/>
                <w:b/>
                <w:bCs/>
                <w:color w:val="404040"/>
                <w:sz w:val="18"/>
                <w:szCs w:val="18"/>
              </w:rPr>
              <w:t xml:space="preserve">Controls Applied:</w:t>
            </w:r>
          </w:p>
          <w:p>
            <w:pPr>
              <w:spacing w:after="60" w:before="0"/>
            </w:pPr>
            <w:r>
              <w:rPr>
                <w:rFonts w:ascii="Arial" w:cs="Arial" w:eastAsia="Arial" w:hAnsi="Arial"/>
                <w:sz w:val="16"/>
                <w:szCs w:val="16"/>
              </w:rPr>
              <w:t xml:space="preserve">Formal supplier risk assessment process (A.5.19–A.5.22); contractual security clauses in all supplier agreements; approved supplier register; annual supplier review; escalation procedure for supplier incidents; monitoring of key supplier security advisories.</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800"/>
        <w:gridCol w:w="800"/>
        <w:gridCol w:w="800"/>
        <w:gridCol w:w="1660"/>
      </w:tblGrid>
      <w:tr>
        <w:tc>
          <w:tcPr>
            <w:tcW w:type="dxa" w:w="2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 Owner</w:t>
            </w:r>
          </w:p>
        </w:tc>
        <w:tc>
          <w:tcPr>
            <w:tcW w:type="dxa" w:w="1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Date</w:t>
            </w:r>
          </w:p>
        </w:tc>
        <w:tc>
          <w:tcPr>
            <w:tcW w:type="dxa" w:w="14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rL</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Residual Score</w:t>
            </w:r>
          </w:p>
        </w:tc>
        <w:tc>
          <w:tcPr>
            <w:tcW w:type="dxa" w:w="16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Residual Level</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Q3 2026</w:t>
            </w:r>
          </w:p>
        </w:tc>
        <w:tc>
          <w:tcPr>
            <w:tcW w:type="dxa" w:w="1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Planned</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6</w:t>
            </w:r>
          </w:p>
        </w:tc>
        <w:tc>
          <w:tcPr>
            <w:tcW w:type="dxa" w:w="16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MEDIUM</w:t>
            </w:r>
          </w:p>
        </w:tc>
      </w:tr>
    </w:tbl>
    <w:p>
      <w:pPr>
        <w:spacing w:after="120" w:before="60"/>
      </w:pPr>
    </w:p>
    <w:p>
      <w:r>
        <w:br w:type="pag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D6E4F0"/>
                <w:sz w:val="22"/>
                <w:szCs w:val="22"/>
              </w:rPr>
              <w:t xml:space="preserve">ISK-013  |  </w:t>
            </w:r>
            <w:r>
              <w:rPr>
                <w:rFonts w:ascii="Arial" w:cs="Arial" w:eastAsia="Arial" w:hAnsi="Arial"/>
                <w:b/>
                <w:bCs/>
                <w:color w:val="FFFFFF"/>
                <w:sz w:val="22"/>
                <w:szCs w:val="22"/>
              </w:rPr>
              <w:t xml:space="preserve">Failure to achieve or maintain ISO 27001:2022 certification</w:t>
            </w:r>
            <w:r>
              <w:rPr>
                <w:rFonts w:ascii="Arial" w:cs="Arial" w:eastAsia="Arial" w:hAnsi="Arial"/>
                <w:color w:val="AAAAAA"/>
                <w:sz w:val="18"/>
                <w:szCs w:val="18"/>
              </w:rPr>
              <w:t xml:space="preserve">  [Compliance]</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600"/>
        <w:gridCol w:w="2660"/>
      </w:tblGrid>
      <w:tr>
        <w:trPr>
          <w:tblHeader/>
        </w:trPr>
        <w:tc>
          <w:tcPr>
            <w:tcW w:type="dxa" w:w="2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Threat Source</w:t>
            </w:r>
          </w:p>
        </w:tc>
        <w:tc>
          <w:tcPr>
            <w:tcW w:type="dxa" w:w="3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Vulnerability</w:t>
            </w:r>
          </w:p>
        </w:tc>
        <w:tc>
          <w:tcPr>
            <w:tcW w:type="dxa" w:w="16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CIA Impact</w:t>
            </w:r>
          </w:p>
        </w:tc>
        <w:tc>
          <w:tcPr>
            <w:tcW w:type="dxa" w:w="26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Annex A Controls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ISMS documentation gaps, control implementation failures, or audit nonconformities resulting in failed certification or lapsed recertification.</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ISMS documentation programme still maturing; limited dedicated resource for ISMS maintenance; internal audit programme not yet fully executed.</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C: Low  I: Low  A: Medium</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All clauses</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000"/>
        <w:gridCol w:w="5260"/>
      </w:tblGrid>
      <w:tr>
        <w:tc>
          <w:tcPr>
            <w:tcW w:type="dxa" w:w="4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60" w:before="0"/>
            </w:pPr>
            <w:r>
              <w:rPr>
                <w:rFonts w:ascii="Arial" w:cs="Arial" w:eastAsia="Arial" w:hAnsi="Arial"/>
                <w:b/>
                <w:bCs/>
                <w:color w:val="404040"/>
                <w:sz w:val="18"/>
                <w:szCs w:val="18"/>
              </w:rPr>
              <w:t xml:space="preserve">Inherent Risk: </w:t>
            </w:r>
          </w:p>
          <w:p>
            <w:pPr>
              <w:spacing w:after="40" w:before="0"/>
            </w:pPr>
            <w:r>
              <w:rPr>
                <w:rFonts w:ascii="Arial" w:cs="Arial" w:eastAsia="Arial" w:hAnsi="Arial"/>
                <w:sz w:val="18"/>
                <w:szCs w:val="18"/>
              </w:rPr>
              <w:t xml:space="preserve">Likelihood: 2/5    Impact: 3/5    Score: 6</w:t>
            </w:r>
          </w:p>
          <w:p>
            <w:pPr>
              <w:spacing w:after="60" w:before="0"/>
            </w:pPr>
            <w:r>
              <w:rPr>
                <w:rFonts w:ascii="Arial" w:cs="Arial" w:eastAsia="Arial" w:hAnsi="Arial"/>
                <w:b/>
                <w:bCs/>
                <w:sz w:val="18"/>
                <w:szCs w:val="18"/>
              </w:rPr>
              <w:t xml:space="preserve">Level: </w:t>
            </w:r>
            <w:r>
              <w:rPr>
                <w:rFonts w:ascii="Arial" w:cs="Arial" w:eastAsia="Arial" w:hAnsi="Arial"/>
                <w:b/>
                <w:bCs/>
                <w:color w:val="ED7D31"/>
                <w:sz w:val="18"/>
                <w:szCs w:val="18"/>
              </w:rPr>
              <w:t xml:space="preserve">MEDIUM</w:t>
            </w:r>
          </w:p>
          <w:p>
            <w:pPr>
              <w:spacing w:after="60" w:before="40"/>
            </w:pPr>
            <w:r>
              <w:rPr>
                <w:rFonts w:ascii="Arial" w:cs="Arial" w:eastAsia="Arial" w:hAnsi="Arial"/>
                <w:b/>
                <w:bCs/>
                <w:color w:val="404040"/>
                <w:sz w:val="18"/>
                <w:szCs w:val="18"/>
              </w:rPr>
              <w:t xml:space="preserve">Treatment Option: </w:t>
            </w:r>
          </w:p>
          <w:p>
            <w:pPr>
              <w:spacing w:after="40" w:before="0"/>
            </w:pPr>
            <w:r>
              <w:rPr>
                <w:rFonts w:ascii="Arial" w:cs="Arial" w:eastAsia="Arial" w:hAnsi="Arial"/>
                <w:sz w:val="18"/>
                <w:szCs w:val="18"/>
              </w:rPr>
              <w:t xml:space="preserve">Modify — risk control(s) applied to reduce to acceptable level.</w:t>
            </w:r>
          </w:p>
        </w:tc>
        <w:tc>
          <w:tcPr>
            <w:tcW w:type="dxa" w:w="5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0"/>
            </w:pPr>
            <w:r>
              <w:rPr>
                <w:rFonts w:ascii="Arial" w:cs="Arial" w:eastAsia="Arial" w:hAnsi="Arial"/>
                <w:b/>
                <w:bCs/>
                <w:color w:val="404040"/>
                <w:sz w:val="18"/>
                <w:szCs w:val="18"/>
              </w:rPr>
              <w:t xml:space="preserve">Controls Applied:</w:t>
            </w:r>
          </w:p>
          <w:p>
            <w:pPr>
              <w:spacing w:after="60" w:before="0"/>
            </w:pPr>
            <w:r>
              <w:rPr>
                <w:rFonts w:ascii="Arial" w:cs="Arial" w:eastAsia="Arial" w:hAnsi="Arial"/>
                <w:sz w:val="16"/>
                <w:szCs w:val="16"/>
              </w:rPr>
              <w:t xml:space="preserve">Documented ISMS framework aligned to all ISO 27001:2022 clauses; internal audit programme (ISMS-IAP-001) with pre-certification mock audit; management review schedule; corrective action tracking (ISMS-CAR-001); engagement of external ISO 27001 consultant for gap assessment.</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800"/>
        <w:gridCol w:w="800"/>
        <w:gridCol w:w="800"/>
        <w:gridCol w:w="1660"/>
      </w:tblGrid>
      <w:tr>
        <w:tc>
          <w:tcPr>
            <w:tcW w:type="dxa" w:w="2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 Owner</w:t>
            </w:r>
          </w:p>
        </w:tc>
        <w:tc>
          <w:tcPr>
            <w:tcW w:type="dxa" w:w="1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Date</w:t>
            </w:r>
          </w:p>
        </w:tc>
        <w:tc>
          <w:tcPr>
            <w:tcW w:type="dxa" w:w="14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rL</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Residual Score</w:t>
            </w:r>
          </w:p>
        </w:tc>
        <w:tc>
          <w:tcPr>
            <w:tcW w:type="dxa" w:w="16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Residual Level</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 / MD</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Q4 2026</w:t>
            </w:r>
          </w:p>
        </w:tc>
        <w:tc>
          <w:tcPr>
            <w:tcW w:type="dxa" w:w="14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8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3</w:t>
            </w:r>
          </w:p>
        </w:tc>
        <w:tc>
          <w:tcPr>
            <w:tcW w:type="dxa" w:w="166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LOW</w:t>
            </w:r>
          </w:p>
        </w:tc>
      </w:tr>
    </w:tbl>
    <w:p>
      <w:pPr>
        <w:spacing w:after="12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D6E4F0"/>
                <w:sz w:val="22"/>
                <w:szCs w:val="22"/>
              </w:rPr>
              <w:t xml:space="preserve">ISK-014  |  </w:t>
            </w:r>
            <w:r>
              <w:rPr>
                <w:rFonts w:ascii="Arial" w:cs="Arial" w:eastAsia="Arial" w:hAnsi="Arial"/>
                <w:b/>
                <w:bCs/>
                <w:color w:val="FFFFFF"/>
                <w:sz w:val="22"/>
                <w:szCs w:val="22"/>
              </w:rPr>
              <w:t xml:space="preserve">Cloud misconfiguration exposing data or enabling unauthorised access</w:t>
            </w:r>
            <w:r>
              <w:rPr>
                <w:rFonts w:ascii="Arial" w:cs="Arial" w:eastAsia="Arial" w:hAnsi="Arial"/>
                <w:color w:val="AAAAAA"/>
                <w:sz w:val="18"/>
                <w:szCs w:val="18"/>
              </w:rPr>
              <w:t xml:space="preserve">  [Network / Cloud]</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600"/>
        <w:gridCol w:w="2660"/>
      </w:tblGrid>
      <w:tr>
        <w:trPr>
          <w:tblHeader/>
        </w:trPr>
        <w:tc>
          <w:tcPr>
            <w:tcW w:type="dxa" w:w="2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Threat Source</w:t>
            </w:r>
          </w:p>
        </w:tc>
        <w:tc>
          <w:tcPr>
            <w:tcW w:type="dxa" w:w="3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Vulnerability</w:t>
            </w:r>
          </w:p>
        </w:tc>
        <w:tc>
          <w:tcPr>
            <w:tcW w:type="dxa" w:w="16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CIA Impact</w:t>
            </w:r>
          </w:p>
        </w:tc>
        <w:tc>
          <w:tcPr>
            <w:tcW w:type="dxa" w:w="26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Annex A Controls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Misconfigured Azure, M365, or Entra ID settings inadvertently expose data, create overly permissive access, or disable security controls.</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Cloud-native delivery model means configuration errors have broad impact; rapid platform feature changes require continuous review; no formal cloud security baseline review cadence.</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C: High  I: High  A: Low</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A.5.18, A.8.9, A.8.16, A.8.32</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000"/>
        <w:gridCol w:w="5260"/>
      </w:tblGrid>
      <w:tr>
        <w:tc>
          <w:tcPr>
            <w:tcW w:type="dxa" w:w="4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60" w:before="0"/>
            </w:pPr>
            <w:r>
              <w:rPr>
                <w:rFonts w:ascii="Arial" w:cs="Arial" w:eastAsia="Arial" w:hAnsi="Arial"/>
                <w:b/>
                <w:bCs/>
                <w:color w:val="404040"/>
                <w:sz w:val="18"/>
                <w:szCs w:val="18"/>
              </w:rPr>
              <w:t xml:space="preserve">Inherent Risk: </w:t>
            </w:r>
          </w:p>
          <w:p>
            <w:pPr>
              <w:spacing w:after="40" w:before="0"/>
            </w:pPr>
            <w:r>
              <w:rPr>
                <w:rFonts w:ascii="Arial" w:cs="Arial" w:eastAsia="Arial" w:hAnsi="Arial"/>
                <w:sz w:val="18"/>
                <w:szCs w:val="18"/>
              </w:rPr>
              <w:t xml:space="preserve">Likelihood: 3/5    Impact: 4/5    Score: 12</w:t>
            </w:r>
          </w:p>
          <w:p>
            <w:pPr>
              <w:spacing w:after="60" w:before="0"/>
            </w:pPr>
            <w:r>
              <w:rPr>
                <w:rFonts w:ascii="Arial" w:cs="Arial" w:eastAsia="Arial" w:hAnsi="Arial"/>
                <w:b/>
                <w:bCs/>
                <w:sz w:val="18"/>
                <w:szCs w:val="18"/>
              </w:rPr>
              <w:t xml:space="preserve">Level: </w:t>
            </w:r>
            <w:r>
              <w:rPr>
                <w:rFonts w:ascii="Arial" w:cs="Arial" w:eastAsia="Arial" w:hAnsi="Arial"/>
                <w:b/>
                <w:bCs/>
                <w:color w:val="C00000"/>
                <w:sz w:val="18"/>
                <w:szCs w:val="18"/>
              </w:rPr>
              <w:t xml:space="preserve">HIGH</w:t>
            </w:r>
          </w:p>
          <w:p>
            <w:pPr>
              <w:spacing w:after="60" w:before="40"/>
            </w:pPr>
            <w:r>
              <w:rPr>
                <w:rFonts w:ascii="Arial" w:cs="Arial" w:eastAsia="Arial" w:hAnsi="Arial"/>
                <w:b/>
                <w:bCs/>
                <w:color w:val="404040"/>
                <w:sz w:val="18"/>
                <w:szCs w:val="18"/>
              </w:rPr>
              <w:t xml:space="preserve">Treatment Option: </w:t>
            </w:r>
          </w:p>
          <w:p>
            <w:pPr>
              <w:spacing w:after="40" w:before="0"/>
            </w:pPr>
            <w:r>
              <w:rPr>
                <w:rFonts w:ascii="Arial" w:cs="Arial" w:eastAsia="Arial" w:hAnsi="Arial"/>
                <w:sz w:val="18"/>
                <w:szCs w:val="18"/>
              </w:rPr>
              <w:t xml:space="preserve">Modify — risk control(s) applied to reduce to acceptable level.</w:t>
            </w:r>
          </w:p>
        </w:tc>
        <w:tc>
          <w:tcPr>
            <w:tcW w:type="dxa" w:w="5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0"/>
            </w:pPr>
            <w:r>
              <w:rPr>
                <w:rFonts w:ascii="Arial" w:cs="Arial" w:eastAsia="Arial" w:hAnsi="Arial"/>
                <w:b/>
                <w:bCs/>
                <w:color w:val="404040"/>
                <w:sz w:val="18"/>
                <w:szCs w:val="18"/>
              </w:rPr>
              <w:t xml:space="preserve">Controls Applied:</w:t>
            </w:r>
          </w:p>
          <w:p>
            <w:pPr>
              <w:spacing w:after="60" w:before="0"/>
            </w:pPr>
            <w:r>
              <w:rPr>
                <w:rFonts w:ascii="Arial" w:cs="Arial" w:eastAsia="Arial" w:hAnsi="Arial"/>
                <w:sz w:val="16"/>
                <w:szCs w:val="16"/>
              </w:rPr>
              <w:t xml:space="preserve">Microsoft Secure Score monitoring with target threshold (A.8.9); Defender for Cloud CSPM alerts (A.8.16); cloud security baseline policy aligned to CIS benchmarks; change management controls for configuration changes (A.8.32); regular Entra ID access review (A.5.18).</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800"/>
        <w:gridCol w:w="800"/>
        <w:gridCol w:w="800"/>
        <w:gridCol w:w="1660"/>
      </w:tblGrid>
      <w:tr>
        <w:tc>
          <w:tcPr>
            <w:tcW w:type="dxa" w:w="2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 Owner</w:t>
            </w:r>
          </w:p>
        </w:tc>
        <w:tc>
          <w:tcPr>
            <w:tcW w:type="dxa" w:w="1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Date</w:t>
            </w:r>
          </w:p>
        </w:tc>
        <w:tc>
          <w:tcPr>
            <w:tcW w:type="dxa" w:w="14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rL</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Residual Score</w:t>
            </w:r>
          </w:p>
        </w:tc>
        <w:tc>
          <w:tcPr>
            <w:tcW w:type="dxa" w:w="16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Residual Level</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HoT</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Q2 2026</w:t>
            </w:r>
          </w:p>
        </w:tc>
        <w:tc>
          <w:tcPr>
            <w:tcW w:type="dxa" w:w="14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6</w:t>
            </w:r>
          </w:p>
        </w:tc>
        <w:tc>
          <w:tcPr>
            <w:tcW w:type="dxa" w:w="16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MEDIUM</w:t>
            </w:r>
          </w:p>
        </w:tc>
      </w:tr>
    </w:tbl>
    <w:p>
      <w:pPr>
        <w:spacing w:after="12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D6E4F0"/>
                <w:sz w:val="22"/>
                <w:szCs w:val="22"/>
              </w:rPr>
              <w:t xml:space="preserve">ISK-015  |  </w:t>
            </w:r>
            <w:r>
              <w:rPr>
                <w:rFonts w:ascii="Arial" w:cs="Arial" w:eastAsia="Arial" w:hAnsi="Arial"/>
                <w:b/>
                <w:bCs/>
                <w:color w:val="FFFFFF"/>
                <w:sz w:val="22"/>
                <w:szCs w:val="22"/>
              </w:rPr>
              <w:t xml:space="preserve">Insufficient security awareness resulting in human error or policy violation</w:t>
            </w:r>
            <w:r>
              <w:rPr>
                <w:rFonts w:ascii="Arial" w:cs="Arial" w:eastAsia="Arial" w:hAnsi="Arial"/>
                <w:color w:val="AAAAAA"/>
                <w:sz w:val="18"/>
                <w:szCs w:val="18"/>
              </w:rPr>
              <w:t xml:space="preserve">  [Personnel]</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600"/>
        <w:gridCol w:w="2660"/>
      </w:tblGrid>
      <w:tr>
        <w:trPr>
          <w:tblHeader/>
        </w:trPr>
        <w:tc>
          <w:tcPr>
            <w:tcW w:type="dxa" w:w="2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Threat Source</w:t>
            </w:r>
          </w:p>
        </w:tc>
        <w:tc>
          <w:tcPr>
            <w:tcW w:type="dxa" w:w="3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Vulnerability</w:t>
            </w:r>
          </w:p>
        </w:tc>
        <w:tc>
          <w:tcPr>
            <w:tcW w:type="dxa" w:w="16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CIA Impact</w:t>
            </w:r>
          </w:p>
        </w:tc>
        <w:tc>
          <w:tcPr>
            <w:tcW w:type="dxa" w:w="26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Annex A Controls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Untrained or insufficiently aware staff making security errors — clicking phishing links, misconfiguring systems, sharing credentials, or violating data handling policies.</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No formally documented annual security awareness programme; onboarding training not consistently evidenced; staff awareness of ISMS policies not formally measured.</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C: Medium  I: Medium  A: Low</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A.5.10, A.6.3</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000"/>
        <w:gridCol w:w="5260"/>
      </w:tblGrid>
      <w:tr>
        <w:tc>
          <w:tcPr>
            <w:tcW w:type="dxa" w:w="4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60" w:before="0"/>
            </w:pPr>
            <w:r>
              <w:rPr>
                <w:rFonts w:ascii="Arial" w:cs="Arial" w:eastAsia="Arial" w:hAnsi="Arial"/>
                <w:b/>
                <w:bCs/>
                <w:color w:val="404040"/>
                <w:sz w:val="18"/>
                <w:szCs w:val="18"/>
              </w:rPr>
              <w:t xml:space="preserve">Inherent Risk: </w:t>
            </w:r>
          </w:p>
          <w:p>
            <w:pPr>
              <w:spacing w:after="40" w:before="0"/>
            </w:pPr>
            <w:r>
              <w:rPr>
                <w:rFonts w:ascii="Arial" w:cs="Arial" w:eastAsia="Arial" w:hAnsi="Arial"/>
                <w:sz w:val="18"/>
                <w:szCs w:val="18"/>
              </w:rPr>
              <w:t xml:space="preserve">Likelihood: 3/5    Impact: 3/5    Score: 9</w:t>
            </w:r>
          </w:p>
          <w:p>
            <w:pPr>
              <w:spacing w:after="60" w:before="0"/>
            </w:pPr>
            <w:r>
              <w:rPr>
                <w:rFonts w:ascii="Arial" w:cs="Arial" w:eastAsia="Arial" w:hAnsi="Arial"/>
                <w:b/>
                <w:bCs/>
                <w:sz w:val="18"/>
                <w:szCs w:val="18"/>
              </w:rPr>
              <w:t xml:space="preserve">Level: </w:t>
            </w:r>
            <w:r>
              <w:rPr>
                <w:rFonts w:ascii="Arial" w:cs="Arial" w:eastAsia="Arial" w:hAnsi="Arial"/>
                <w:b/>
                <w:bCs/>
                <w:color w:val="ED7D31"/>
                <w:sz w:val="18"/>
                <w:szCs w:val="18"/>
              </w:rPr>
              <w:t xml:space="preserve">MEDIUM</w:t>
            </w:r>
          </w:p>
          <w:p>
            <w:pPr>
              <w:spacing w:after="60" w:before="40"/>
            </w:pPr>
            <w:r>
              <w:rPr>
                <w:rFonts w:ascii="Arial" w:cs="Arial" w:eastAsia="Arial" w:hAnsi="Arial"/>
                <w:b/>
                <w:bCs/>
                <w:color w:val="404040"/>
                <w:sz w:val="18"/>
                <w:szCs w:val="18"/>
              </w:rPr>
              <w:t xml:space="preserve">Treatment Option: </w:t>
            </w:r>
          </w:p>
          <w:p>
            <w:pPr>
              <w:spacing w:after="40" w:before="0"/>
            </w:pPr>
            <w:r>
              <w:rPr>
                <w:rFonts w:ascii="Arial" w:cs="Arial" w:eastAsia="Arial" w:hAnsi="Arial"/>
                <w:sz w:val="18"/>
                <w:szCs w:val="18"/>
              </w:rPr>
              <w:t xml:space="preserve">Modify — risk control(s) applied to reduce to acceptable level.</w:t>
            </w:r>
          </w:p>
        </w:tc>
        <w:tc>
          <w:tcPr>
            <w:tcW w:type="dxa" w:w="5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before="0"/>
            </w:pPr>
            <w:r>
              <w:rPr>
                <w:rFonts w:ascii="Arial" w:cs="Arial" w:eastAsia="Arial" w:hAnsi="Arial"/>
                <w:b/>
                <w:bCs/>
                <w:color w:val="404040"/>
                <w:sz w:val="18"/>
                <w:szCs w:val="18"/>
              </w:rPr>
              <w:t xml:space="preserve">Controls Applied:</w:t>
            </w:r>
          </w:p>
          <w:p>
            <w:pPr>
              <w:spacing w:after="60" w:before="0"/>
            </w:pPr>
            <w:r>
              <w:rPr>
                <w:rFonts w:ascii="Arial" w:cs="Arial" w:eastAsia="Arial" w:hAnsi="Arial"/>
                <w:sz w:val="16"/>
                <w:szCs w:val="16"/>
              </w:rPr>
              <w:t xml:space="preserve">Annual security awareness training programme with completion tracking (A.6.3); simulated phishing exercises; ISMS policy acknowledgement at onboarding and annually; security induction for contractors; clear desk and screen lock policy enforcement; acceptable use policy (A.5.10).</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800"/>
        <w:gridCol w:w="800"/>
        <w:gridCol w:w="800"/>
        <w:gridCol w:w="1660"/>
      </w:tblGrid>
      <w:tr>
        <w:tc>
          <w:tcPr>
            <w:tcW w:type="dxa" w:w="20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 Owner</w:t>
            </w:r>
          </w:p>
        </w:tc>
        <w:tc>
          <w:tcPr>
            <w:tcW w:type="dxa" w:w="1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Date</w:t>
            </w:r>
          </w:p>
        </w:tc>
        <w:tc>
          <w:tcPr>
            <w:tcW w:type="dxa" w:w="14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rL</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w:t>
            </w:r>
          </w:p>
        </w:tc>
        <w:tc>
          <w:tcPr>
            <w:tcW w:type="dxa" w:w="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Residual Score</w:t>
            </w:r>
          </w:p>
        </w:tc>
        <w:tc>
          <w:tcPr>
            <w:tcW w:type="dxa" w:w="16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Residual Level</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Q2 2026</w:t>
            </w:r>
          </w:p>
        </w:tc>
        <w:tc>
          <w:tcPr>
            <w:tcW w:type="dxa" w:w="14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8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3</w:t>
            </w:r>
          </w:p>
        </w:tc>
        <w:tc>
          <w:tcPr>
            <w:tcW w:type="dxa" w:w="166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LOW</w:t>
            </w:r>
          </w:p>
        </w:tc>
      </w:tr>
    </w:tbl>
    <w:p>
      <w:pPr>
        <w:spacing w:after="120" w:before="6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4. Clause 6.1.3 — Information Security Risk Treatment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7860"/>
      </w:tblGrid>
      <w:tr>
        <w:tc>
          <w:tcPr>
            <w:tcW w:type="dxa" w:w="140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6.1.3</w:t>
            </w:r>
          </w:p>
          <w:p>
            <w:pPr>
              <w:jc w:val="center"/>
            </w:pPr>
            <w:r>
              <w:rPr>
                <w:rFonts w:ascii="Arial" w:cs="Arial" w:eastAsia="Arial" w:hAnsi="Arial"/>
                <w:color w:val="D6E4F0"/>
                <w:sz w:val="14"/>
                <w:szCs w:val="14"/>
              </w:rPr>
              <w:t xml:space="preserve">Risk Treatment</w:t>
            </w:r>
          </w:p>
        </w:tc>
        <w:tc>
          <w:tcPr>
            <w:tcW w:type="dxa" w:w="78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1F3864"/>
                <w:sz w:val="18"/>
                <w:szCs w:val="18"/>
              </w:rPr>
              <w:t xml:space="preserve">The organisation shall: select treatment options; determine necessary controls; compare controls against Annex A; produce a Statement of Applicability; formulate a risk treatment plan; and obtain risk owner approval of the treatment plan and acceptance of residual risks.</w:t>
            </w:r>
          </w:p>
        </w:tc>
      </w:tr>
    </w:tbl>
    <w:p>
      <w:pPr>
        <w:spacing w:after="120" w:before="120"/>
      </w:pPr>
    </w:p>
    <w:p>
      <w:pPr>
        <w:pStyle w:val="Heading2"/>
        <w:spacing w:after="80" w:before="240"/>
      </w:pPr>
      <w:r>
        <w:rPr>
          <w:rFonts w:ascii="Arial" w:cs="Arial" w:eastAsia="Arial" w:hAnsi="Arial"/>
          <w:b/>
          <w:bCs/>
          <w:color w:val="2E75B6"/>
          <w:sz w:val="26"/>
          <w:szCs w:val="26"/>
        </w:rPr>
        <w:t xml:space="preserve">4.1 Treatment Options</w:t>
      </w:r>
    </w:p>
    <w:p>
      <w:pPr>
        <w:spacing w:after="80" w:before="80"/>
        <w:jc w:val="left"/>
      </w:pPr>
      <w:r>
        <w:rPr>
          <w:rFonts w:ascii="Arial" w:cs="Arial" w:eastAsia="Arial" w:hAnsi="Arial"/>
          <w:b w:val="false"/>
          <w:bCs w:val="false"/>
          <w:color w:val="000000"/>
          <w:sz w:val="20"/>
          <w:szCs w:val="20"/>
        </w:rPr>
        <w:t xml:space="preserve">The following risk treatment options are available to the organisation in accordance with ISO 27001:2022 Clause 6.1.3(a) and ISO 31000:2018 principles:</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60"/>
        <w:gridCol w:w="2800"/>
      </w:tblGrid>
      <w:tr>
        <w:trPr>
          <w:tblHeader/>
        </w:trPr>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Option</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Also Known As</w:t>
            </w:r>
          </w:p>
        </w:tc>
        <w:tc>
          <w:tcPr>
            <w:tcW w:type="dxa" w:w="3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2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Application at Apex Managed Services Ltd</w:t>
            </w:r>
          </w:p>
        </w:tc>
      </w:tr>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Modify</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Mitigate / Reduce</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Apply controls to reduce likelihood and/or impact to an acceptable level.</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Primary treatment option for all current risks. Controls mapped to Annex A.</w:t>
            </w:r>
          </w:p>
        </w:tc>
      </w:tr>
      <w:tr>
        <w:tc>
          <w:tcPr>
            <w:tcW w:type="dxa" w:w="1400"/>
            <w:tcBorders>
              <w:top w:val="single" w:color="CCCCCC" w:sz="1"/>
              <w:left w:val="single" w:color="CCCCCC" w:sz="1"/>
              <w:bottom w:val="single" w:color="CCCCCC" w:sz="1"/>
              <w:right w:val="single" w:color="CCCCCC" w:sz="1"/>
            </w:tcBorders>
            <w:shd w:fill="1F7D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Transfer</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Share / Insure</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Transfer risk to a third party (e.g. cyber insurance, contractual liability transfer).</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Cyber liability insurance in place as supplementary control for residual financial exposure.</w:t>
            </w:r>
          </w:p>
        </w:tc>
      </w:tr>
      <w:tr>
        <w:tc>
          <w:tcPr>
            <w:tcW w:type="dxa" w:w="14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Avoid</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Eliminate</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Cease the activity giving rise to the risk where the risk cannot be reduced to an acceptable level.</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Applied where a service or process would present unacceptable residual risk. Not currently applied to any risk in this register.</w:t>
            </w:r>
          </w:p>
        </w:tc>
      </w:tr>
      <w:tr>
        <w:tc>
          <w:tcPr>
            <w:tcW w:type="dxa" w:w="140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Accept</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Retain / Tolerate</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Accept the risk without further treatment where it falls within the organisation's risk acceptance criteria.</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Applied to Low-rated residual risks with documented risk owner acceptance. Reviewed annually.</w:t>
            </w:r>
          </w:p>
        </w:tc>
      </w:tr>
    </w:tbl>
    <w:p>
      <w:pPr>
        <w:spacing w:after="120" w:before="120"/>
      </w:pPr>
    </w:p>
    <w:p>
      <w:pPr>
        <w:pStyle w:val="Heading2"/>
        <w:spacing w:after="80" w:before="240"/>
      </w:pPr>
      <w:r>
        <w:rPr>
          <w:rFonts w:ascii="Arial" w:cs="Arial" w:eastAsia="Arial" w:hAnsi="Arial"/>
          <w:b/>
          <w:bCs/>
          <w:color w:val="2E75B6"/>
          <w:sz w:val="26"/>
          <w:szCs w:val="26"/>
        </w:rPr>
        <w:t xml:space="preserve">4.2 Annex A Control Mapping and SoA Framework</w:t>
      </w:r>
    </w:p>
    <w:p>
      <w:pPr>
        <w:spacing w:after="80" w:before="80"/>
        <w:jc w:val="left"/>
      </w:pPr>
      <w:r>
        <w:rPr>
          <w:rFonts w:ascii="Arial" w:cs="Arial" w:eastAsia="Arial" w:hAnsi="Arial"/>
          <w:b w:val="false"/>
          <w:bCs w:val="false"/>
          <w:color w:val="000000"/>
          <w:sz w:val="20"/>
          <w:szCs w:val="20"/>
        </w:rPr>
        <w:t xml:space="preserve">ISO 27001:2022 Clause 6.1.3(c) requires the organisation to compare controls determined through risk treatment with those in Annex A to verify no necessary controls have been omitted. Clause 6.1.3(d) requires a Statement of Applicability (SoA).</w:t>
      </w:r>
    </w:p>
    <w:p>
      <w:pPr>
        <w:spacing w:after="60" w:before="60"/>
      </w:pPr>
    </w:p>
    <w:p>
      <w:pPr>
        <w:spacing w:after="80" w:before="80"/>
        <w:jc w:val="left"/>
      </w:pPr>
      <w:r>
        <w:rPr>
          <w:rFonts w:ascii="Arial" w:cs="Arial" w:eastAsia="Arial" w:hAnsi="Arial"/>
          <w:b w:val="false"/>
          <w:bCs w:val="false"/>
          <w:color w:val="000000"/>
          <w:sz w:val="20"/>
          <w:szCs w:val="20"/>
        </w:rPr>
        <w:t xml:space="preserve">The full Statement of Applicability for Apex Managed Services Ltd is maintained as a separate document (ISMS-SoA-001), covering all 93 controls across the four Annex A themes. The table below provides a summary of Annex A control theme applicability as determined by this risk assessment and treatment process:</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800"/>
        <w:gridCol w:w="800"/>
        <w:gridCol w:w="800"/>
        <w:gridCol w:w="3860"/>
      </w:tblGrid>
      <w:tr>
        <w:trPr>
          <w:tblHeader/>
        </w:trPr>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Theme</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Annex A Control Category</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Controls</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Included</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Excluded</w:t>
            </w:r>
          </w:p>
        </w:tc>
        <w:tc>
          <w:tcPr>
            <w:tcW w:type="dxa" w:w="38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Primary Exclusion Justifications</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5</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Organisational Controls</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37</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34</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3</w:t>
            </w:r>
          </w:p>
        </w:tc>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Controls related to physically separate secure facilities (A.5.23 applicability limited) and controls not applicable to organisation's service model. See ISMS-SoA-001 for full justifications.</w:t>
            </w:r>
          </w:p>
        </w:tc>
      </w:tr>
      <w:tr>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6</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People Controls</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8</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People Controls are applicable given the organisation's reliance on personnel as a key control domain.</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7</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Physical Controls</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14</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8</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6</w:t>
            </w:r>
          </w:p>
        </w:tc>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Organisation does not operate a data centre or dedicated secure facility. Controls relating to physical perimeter security (A.7.1–A.7.3) and physical access logs are partially excluded or scoped to home/client-site working. See ISMS-SoA-001.</w:t>
            </w:r>
          </w:p>
        </w:tc>
      </w:tr>
      <w:tr>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8</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Technological Controls</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34</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32</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2</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Two controls relating to industrial control system security are excluded as not applicable to IT managed services delivery. See ISMS-SoA-001.</w:t>
            </w:r>
          </w:p>
        </w:tc>
      </w:tr>
      <w:tr>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Total</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93</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82</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11</w:t>
            </w:r>
          </w:p>
        </w:tc>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Full justifications for all 11 excluded controls are documented in ISMS-SoA-001.</w:t>
            </w:r>
          </w:p>
        </w:tc>
      </w:tr>
    </w:tbl>
    <w:p>
      <w:pPr>
        <w:spacing w:after="60" w:before="60"/>
      </w:pPr>
    </w:p>
    <w:p>
      <w:pPr>
        <w:spacing w:after="80" w:before="80"/>
        <w:jc w:val="left"/>
      </w:pPr>
      <w:r>
        <w:rPr>
          <w:rFonts w:ascii="Arial" w:cs="Arial" w:eastAsia="Arial" w:hAnsi="Arial"/>
          <w:b/>
          <w:bCs/>
          <w:color w:val="C00000"/>
          <w:sz w:val="18"/>
          <w:szCs w:val="18"/>
        </w:rPr>
        <w:t xml:space="preserve">IMPORTANT: The Statement of Applicability (ISMS-SoA-001) is the primary document for Clause 6.1.3(d) compliance and must be maintained in parallel with this risk assessment. Any change to the risk register that adds or removes controls must be reflected in ISMS-SoA-001 within 10 working days.</w:t>
      </w:r>
    </w:p>
    <w:p>
      <w:pPr>
        <w:spacing w:after="120" w:before="120"/>
      </w:pPr>
    </w:p>
    <w:p>
      <w:pPr>
        <w:pStyle w:val="Heading2"/>
        <w:spacing w:after="80" w:before="240"/>
      </w:pPr>
      <w:r>
        <w:rPr>
          <w:rFonts w:ascii="Arial" w:cs="Arial" w:eastAsia="Arial" w:hAnsi="Arial"/>
          <w:b/>
          <w:bCs/>
          <w:color w:val="2E75B6"/>
          <w:sz w:val="26"/>
          <w:szCs w:val="26"/>
        </w:rPr>
        <w:t xml:space="preserve">4.3 Risk Treatment Plan</w:t>
      </w:r>
    </w:p>
    <w:p>
      <w:pPr>
        <w:spacing w:after="80" w:before="80"/>
        <w:jc w:val="left"/>
      </w:pPr>
      <w:r>
        <w:rPr>
          <w:rFonts w:ascii="Arial" w:cs="Arial" w:eastAsia="Arial" w:hAnsi="Arial"/>
          <w:b w:val="false"/>
          <w:bCs w:val="false"/>
          <w:color w:val="000000"/>
          <w:sz w:val="20"/>
          <w:szCs w:val="20"/>
        </w:rPr>
        <w:t xml:space="preserve">The risk treatment plan below consolidates the treatment actions from the detailed risk assessments in Section 3.5, providing a consolidated view of planned controls, owners, and target dates for management review and progress tracking.</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80"/>
        <w:gridCol w:w="1800"/>
        <w:gridCol w:w="700"/>
        <w:gridCol w:w="2480"/>
        <w:gridCol w:w="1400"/>
        <w:gridCol w:w="1400"/>
        <w:gridCol w:w="800"/>
      </w:tblGrid>
      <w:tr>
        <w:trPr>
          <w:tblHeader/>
        </w:trPr>
        <w:tc>
          <w:tcPr>
            <w:tcW w:type="dxa" w:w="6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 ID</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 Title</w:t>
            </w:r>
          </w:p>
        </w:tc>
        <w:tc>
          <w:tcPr>
            <w:tcW w:type="dxa" w:w="7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Treatment</w:t>
            </w:r>
          </w:p>
        </w:tc>
        <w:tc>
          <w:tcPr>
            <w:tcW w:type="dxa" w:w="24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Controls / Actions</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ISK-001</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Ransomware attack via compromised privileged credentials</w:t>
            </w:r>
          </w:p>
        </w:tc>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Modify</w:t>
            </w:r>
          </w:p>
        </w:tc>
        <w:tc>
          <w:tcPr>
            <w:tcW w:type="dxa" w:w="24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A.5.15, A.5.16, A.5.17, A.8.5, A.8.13, A.8.22, A.5.24–A.5.26</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 / HoT</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Q2 2026</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ISK-002</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Credential theft and account takeover via phishing</w:t>
            </w:r>
          </w:p>
        </w:tc>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Modify</w:t>
            </w:r>
          </w:p>
        </w:tc>
        <w:tc>
          <w:tcPr>
            <w:tcW w:type="dxa" w:w="2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A.5.15, A.5.17, A.6.3, A.8.16, A.8.23</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Q2 2026</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ISK-003</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Compromise via third-party software or tooling (supply cha…</w:t>
            </w:r>
          </w:p>
        </w:tc>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Modify</w:t>
            </w:r>
          </w:p>
        </w:tc>
        <w:tc>
          <w:tcPr>
            <w:tcW w:type="dxa" w:w="24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A.5.19, A.5.20, A.5.21, A.5.22, A.8.7, A.8.8, A.8.32</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HoT</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Q3 2026</w:t>
            </w:r>
          </w:p>
        </w:tc>
        <w:tc>
          <w:tcPr>
            <w:tcW w:type="dxa" w:w="8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Planned</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ISK-004</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Unauthorised disclosure of client data (confidentiality br…</w:t>
            </w:r>
          </w:p>
        </w:tc>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Modify</w:t>
            </w:r>
          </w:p>
        </w:tc>
        <w:tc>
          <w:tcPr>
            <w:tcW w:type="dxa" w:w="2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A.5.12, A.5.13, A.5.15, A.5.34, A.8.11, A.8.24</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 / Data Protection Lead</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Q2 2026</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ISK-005</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Prolonged service outage due to cloud platform failure or …</w:t>
            </w:r>
          </w:p>
        </w:tc>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Modify</w:t>
            </w:r>
          </w:p>
        </w:tc>
        <w:tc>
          <w:tcPr>
            <w:tcW w:type="dxa" w:w="24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A.5.29, A.5.30, A.8.13, A.8.14</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HoT / MD</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Q3 2026</w:t>
            </w:r>
          </w:p>
        </w:tc>
        <w:tc>
          <w:tcPr>
            <w:tcW w:type="dxa" w:w="8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Planned</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ISK-006</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Key person dependency — loss of critical ISMS or technical…</w:t>
            </w:r>
          </w:p>
        </w:tc>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Modify</w:t>
            </w:r>
          </w:p>
        </w:tc>
        <w:tc>
          <w:tcPr>
            <w:tcW w:type="dxa" w:w="2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A.5.37, A.6.1, A.6.5</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MD</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Q3 2026</w:t>
            </w:r>
          </w:p>
        </w:tc>
        <w:tc>
          <w:tcPr>
            <w:tcW w:type="dxa" w:w="8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Planned</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ISK-007</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Insider threat — malicious or negligent misuse of privileg…</w:t>
            </w:r>
          </w:p>
        </w:tc>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Modify</w:t>
            </w:r>
          </w:p>
        </w:tc>
        <w:tc>
          <w:tcPr>
            <w:tcW w:type="dxa" w:w="24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A.5.3, A.5.15, A.6.1, A.6.5, A.8.16</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Q2 2026</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ISK-008</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UK GDPR / DPA 2018 non-compliance resulting in regulatory …</w:t>
            </w:r>
          </w:p>
        </w:tc>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Modify</w:t>
            </w:r>
          </w:p>
        </w:tc>
        <w:tc>
          <w:tcPr>
            <w:tcW w:type="dxa" w:w="2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A.5.34, A.6.3, A.5.24</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Data Protection Lead</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Q2 2026</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ISK-009</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Exploitation of unpatched vulnerability in managed infrast…</w:t>
            </w:r>
          </w:p>
        </w:tc>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Modify</w:t>
            </w:r>
          </w:p>
        </w:tc>
        <w:tc>
          <w:tcPr>
            <w:tcW w:type="dxa" w:w="24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A.8.8, A.8.9, A.8.19</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HoT</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Q2 2026</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ISK-010</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Loss or theft of device containing sensitive information</w:t>
            </w:r>
          </w:p>
        </w:tc>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Modify</w:t>
            </w:r>
          </w:p>
        </w:tc>
        <w:tc>
          <w:tcPr>
            <w:tcW w:type="dxa" w:w="2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A.7.9, A.7.10, A.8.24</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HoT</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Q2 2026</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ISK-011</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Inadequate incident detection and response capability</w:t>
            </w:r>
          </w:p>
        </w:tc>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Modify</w:t>
            </w:r>
          </w:p>
        </w:tc>
        <w:tc>
          <w:tcPr>
            <w:tcW w:type="dxa" w:w="24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A.5.24, A.5.25, A.5.26, A.5.27, A.5.28</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Q3 2026</w:t>
            </w:r>
          </w:p>
        </w:tc>
        <w:tc>
          <w:tcPr>
            <w:tcW w:type="dxa" w:w="8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Planned</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ISK-012</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Inadequate security controls at a critical supplier causin…</w:t>
            </w:r>
          </w:p>
        </w:tc>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Modify</w:t>
            </w:r>
          </w:p>
        </w:tc>
        <w:tc>
          <w:tcPr>
            <w:tcW w:type="dxa" w:w="2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A.5.19, A.5.20, A.5.21, A.5.22</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Q3 2026</w:t>
            </w:r>
          </w:p>
        </w:tc>
        <w:tc>
          <w:tcPr>
            <w:tcW w:type="dxa" w:w="8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Planned</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ISK-013</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Failure to achieve or maintain ISO 27001:2022 certification</w:t>
            </w:r>
          </w:p>
        </w:tc>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Modify</w:t>
            </w:r>
          </w:p>
        </w:tc>
        <w:tc>
          <w:tcPr>
            <w:tcW w:type="dxa" w:w="24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All clauses</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 / MD</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Q4 2026</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ISK-014</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Cloud misconfiguration exposing data or enabling unauthori…</w:t>
            </w:r>
          </w:p>
        </w:tc>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Modify</w:t>
            </w:r>
          </w:p>
        </w:tc>
        <w:tc>
          <w:tcPr>
            <w:tcW w:type="dxa" w:w="2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A.5.18, A.8.9, A.8.16, A.8.32</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HoT</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Q2 2026</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ISK-015</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Insufficient security awareness resulting in human error o…</w:t>
            </w:r>
          </w:p>
        </w:tc>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Modify</w:t>
            </w:r>
          </w:p>
        </w:tc>
        <w:tc>
          <w:tcPr>
            <w:tcW w:type="dxa" w:w="24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A.5.10, A.6.3</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Q2 2026</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r>
    </w:tbl>
    <w:p>
      <w:pPr>
        <w:spacing w:after="120" w:before="120"/>
      </w:pPr>
    </w:p>
    <w:p>
      <w:pPr>
        <w:pStyle w:val="Heading2"/>
        <w:spacing w:after="80" w:before="240"/>
      </w:pPr>
      <w:r>
        <w:rPr>
          <w:rFonts w:ascii="Arial" w:cs="Arial" w:eastAsia="Arial" w:hAnsi="Arial"/>
          <w:b/>
          <w:bCs/>
          <w:color w:val="2E75B6"/>
          <w:sz w:val="26"/>
          <w:szCs w:val="26"/>
        </w:rPr>
        <w:t xml:space="preserve">4.4 Risk Owner Acceptance</w:t>
      </w:r>
    </w:p>
    <w:p>
      <w:pPr>
        <w:spacing w:after="80" w:before="80"/>
        <w:jc w:val="left"/>
      </w:pPr>
      <w:r>
        <w:rPr>
          <w:rFonts w:ascii="Arial" w:cs="Arial" w:eastAsia="Arial" w:hAnsi="Arial"/>
          <w:b w:val="false"/>
          <w:bCs w:val="false"/>
          <w:color w:val="000000"/>
          <w:sz w:val="20"/>
          <w:szCs w:val="20"/>
        </w:rPr>
        <w:t xml:space="preserve">In accordance with ISO 27001:2022 Clause 6.1.3(f), risk owners are required to formally approve the risk treatment plan and accept the residual information security risks assigned to them. The table below records this acceptance:</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400"/>
        <w:gridCol w:w="1400"/>
        <w:gridCol w:w="1460"/>
      </w:tblGrid>
      <w:tr>
        <w:trPr>
          <w:tblHeader/>
        </w:trP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 Owner Role</w:t>
            </w:r>
          </w:p>
        </w:tc>
        <w:tc>
          <w:tcPr>
            <w:tcW w:type="dxa" w:w="2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Risks Owned</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Residual Risk Level(s)</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Acceptance Date</w:t>
            </w:r>
          </w:p>
        </w:tc>
        <w:tc>
          <w:tcPr>
            <w:tcW w:type="dxa" w:w="14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Signature</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Managing Director</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ISK-005, ISK-006, ISK-013 (joint), ISK-015 (final authority)</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Medium, Medium, Low</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Information Security Manager</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ISK-002, ISK-004, ISK-007, ISK-008, ISK-011, ISK-012, ISK-013 (joint)</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Medium, Medium, Medium, Low, Medium, Medium, Low</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4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Head of Technology</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ISK-003, ISK-005 (joint), ISK-009, ISK-010, ISK-014</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Medium, Medium, Medium, Low, Medium</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Data Protection Lead</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ISK-008 (primary owner), ISK-004 (joint)</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Low, Medium</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4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C00000"/>
                <w:sz w:val="18"/>
                <w:szCs w:val="18"/>
              </w:rPr>
              <w:t xml:space="preserve">Managing Director (ISK-001 — top risk)</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ISK-001 — Ransomware via privileged credentials (residual: HIGH — requires MD acceptance)</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C00000"/>
                <w:sz w:val="18"/>
                <w:szCs w:val="18"/>
              </w:rPr>
              <w:t xml:space="preserve">HIGH</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5. Clause 6.2 — Information Security Objectives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7860"/>
      </w:tblGrid>
      <w:tr>
        <w:tc>
          <w:tcPr>
            <w:tcW w:type="dxa" w:w="140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6.2</w:t>
            </w:r>
          </w:p>
          <w:p>
            <w:pPr>
              <w:jc w:val="center"/>
            </w:pPr>
            <w:r>
              <w:rPr>
                <w:rFonts w:ascii="Arial" w:cs="Arial" w:eastAsia="Arial" w:hAnsi="Arial"/>
                <w:color w:val="D6E4F0"/>
                <w:sz w:val="14"/>
                <w:szCs w:val="14"/>
              </w:rPr>
              <w:t xml:space="preserve">Objectives</w:t>
            </w:r>
          </w:p>
        </w:tc>
        <w:tc>
          <w:tcPr>
            <w:tcW w:type="dxa" w:w="78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1F3864"/>
                <w:sz w:val="18"/>
                <w:szCs w:val="18"/>
              </w:rPr>
              <w:t xml:space="preserve">The organisation shall establish information security objectives that are consistent with the policy, measurable, informed by requirements and risk assessment, monitored, communicated, updated, and available as documented information. Planning shall determine what, resources, responsible party, deadline, and evaluation method.</w:t>
            </w:r>
          </w:p>
        </w:tc>
      </w:tr>
    </w:tbl>
    <w:p>
      <w:pPr>
        <w:spacing w:after="120" w:before="120"/>
      </w:pPr>
    </w:p>
    <w:p>
      <w:pPr>
        <w:spacing w:after="80" w:before="80"/>
        <w:jc w:val="left"/>
      </w:pPr>
      <w:r>
        <w:rPr>
          <w:rFonts w:ascii="Arial" w:cs="Arial" w:eastAsia="Arial" w:hAnsi="Arial"/>
          <w:b w:val="false"/>
          <w:bCs w:val="false"/>
          <w:color w:val="000000"/>
          <w:sz w:val="20"/>
          <w:szCs w:val="20"/>
        </w:rPr>
        <w:t xml:space="preserve">Information security objectives for Apex Managed Services Ltd are established at the organisational level, consistent with the Information Security Policy (ISMS-LDR-001 §4.1). Objectives are informed by the results of the risk assessment in Section 3 and the interested party requirements identified in ISMS-CTX-001. Objectives are communicated to all staff through the security awareness programme and reviewed at each management review cycle.</w:t>
      </w:r>
    </w:p>
    <w:p>
      <w:pPr>
        <w:spacing w:after="120" w:before="120"/>
      </w:pPr>
    </w:p>
    <w:p>
      <w:pPr>
        <w:pStyle w:val="Heading2"/>
        <w:spacing w:after="80" w:before="240"/>
      </w:pPr>
      <w:r>
        <w:rPr>
          <w:rFonts w:ascii="Arial" w:cs="Arial" w:eastAsia="Arial" w:hAnsi="Arial"/>
          <w:b/>
          <w:bCs/>
          <w:color w:val="2E75B6"/>
          <w:sz w:val="26"/>
          <w:szCs w:val="26"/>
        </w:rPr>
        <w:t xml:space="preserve">5.1 Objectives Summary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800"/>
        <w:gridCol w:w="1400"/>
        <w:gridCol w:w="1600"/>
        <w:gridCol w:w="1260"/>
      </w:tblGrid>
      <w:tr>
        <w:trPr>
          <w:tblHeader/>
        </w:trPr>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Ref</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Objective</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Measure / KPI</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Responsible</w:t>
            </w:r>
          </w:p>
        </w:tc>
        <w:tc>
          <w:tcPr>
            <w:tcW w:type="dxa" w:w="1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OBJ-001</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Achieve and maintain ISO 27001:2022 certification</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Certification achieved; zero major nonconformities at surveillance audit</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Initial certification by Q4 2026; zero majors at Year 1 surveillance</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 / MD</w:t>
            </w:r>
          </w:p>
        </w:tc>
        <w:tc>
          <w:tcPr>
            <w:tcW w:type="dxa" w:w="126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On Track</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OBJ-002</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Enforce MFA across 100% of privileged access and external-facing accounts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accounts with MFA enforced (target: 100%); phishing-resistant MFA adoption rate</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100% MFA coverage by end Q2 2026; phishing-resistant MFA for privileged accounts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HoT / ISM</w:t>
            </w:r>
          </w:p>
        </w:tc>
        <w:tc>
          <w:tcPr>
            <w:tcW w:type="dxa" w:w="126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On Track</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OBJ-003</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Implement and exercise a documented Incident Response Plan</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IR plan documented and approved; at least one tabletop exercise completed per year</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IR plan approved Q2 2026; tabletop exercise completed Q3 2026</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w:t>
            </w:r>
          </w:p>
        </w:tc>
        <w:tc>
          <w:tcPr>
            <w:tcW w:type="dxa" w:w="12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At Risk</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OBJ-004</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Achieve 100% staff completion of annual security awareness training</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staff completing mandatory annual awareness training; simulated phishing click rate ≤10%</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100% completion within 30 days of programme launch; phishing click rate ≤10% within 6 months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w:t>
            </w:r>
          </w:p>
        </w:tc>
        <w:tc>
          <w:tcPr>
            <w:tcW w:type="dxa" w:w="126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On Track</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OBJ-005</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Establish and maintain a vulnerability management programme with defined SLAs</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Critical vulnerabilities remediated ≤24h; High ≤7d; Medium ≤30d; scan coverage 100% of corporate endpoints</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Programme operational Q2 2026; SLA compliance ≥95% by Q3 2026</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HoT</w:t>
            </w:r>
          </w:p>
        </w:tc>
        <w:tc>
          <w:tcPr>
            <w:tcW w:type="dxa" w:w="126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On Track</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OBJ-006</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Document and test Business Continuity and Disaster Recovery procedures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BCP/DRP documented; RTO/RPO defined per client SLA; at least one BCP test completed annually</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BCP/DRP documentation approved Q3 2026; first test Q4 2026</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HoT / MD</w:t>
            </w:r>
          </w:p>
        </w:tc>
        <w:tc>
          <w:tcPr>
            <w:tcW w:type="dxa" w:w="12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At Risk</w:t>
            </w:r>
          </w:p>
        </w:tc>
      </w:tr>
    </w:tbl>
    <w:p>
      <w:pPr>
        <w:spacing w:after="120" w:before="120"/>
      </w:pPr>
    </w:p>
    <w:p>
      <w:pPr>
        <w:pStyle w:val="Heading2"/>
        <w:spacing w:after="80" w:before="240"/>
      </w:pPr>
      <w:r>
        <w:rPr>
          <w:rFonts w:ascii="Arial" w:cs="Arial" w:eastAsia="Arial" w:hAnsi="Arial"/>
          <w:b/>
          <w:bCs/>
          <w:color w:val="2E75B6"/>
          <w:sz w:val="26"/>
          <w:szCs w:val="26"/>
        </w:rPr>
        <w:t xml:space="preserve">5.2 Detailed Objective Plans</w:t>
      </w:r>
    </w:p>
    <w:p>
      <w:pPr>
        <w:spacing w:after="80" w:before="80"/>
        <w:jc w:val="left"/>
      </w:pPr>
      <w:r>
        <w:rPr>
          <w:rFonts w:ascii="Arial" w:cs="Arial" w:eastAsia="Arial" w:hAnsi="Arial"/>
          <w:b w:val="false"/>
          <w:bCs w:val="false"/>
          <w:color w:val="000000"/>
          <w:sz w:val="20"/>
          <w:szCs w:val="20"/>
        </w:rPr>
        <w:t xml:space="preserve">The following detail cards document each objective's full planning requirements per Clause 6.2(h)–(l): what, resources, responsible, deadline, and evaluation method.</w:t>
      </w:r>
    </w:p>
    <w:p>
      <w:pPr>
        <w:spacing w:after="120" w:before="12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tcW w:type="dxa" w:w="92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D6E4F0"/>
                <w:sz w:val="20"/>
                <w:szCs w:val="20"/>
              </w:rPr>
              <w:t xml:space="preserve">OBJ-001  |  </w:t>
            </w:r>
            <w:r>
              <w:rPr>
                <w:rFonts w:ascii="Arial" w:cs="Arial" w:eastAsia="Arial" w:hAnsi="Arial"/>
                <w:b/>
                <w:bCs/>
                <w:color w:val="FFFFFF"/>
                <w:sz w:val="20"/>
                <w:szCs w:val="20"/>
              </w:rPr>
              <w:t xml:space="preserve">Achieve and maintain ISO 27001:2022 certification</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Alignment to Policy</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commitments</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Measure / KPI (6.2(b))</w:t>
            </w:r>
          </w:p>
        </w:tc>
        <w:tc>
          <w:tcPr>
            <w:tcW w:type="dxa" w:w="7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Certification achieved; zero major nonconformities at surveillance audit</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(6.2(d))</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Initial certification by Q4 2026; zero majors at Year 1 surveillance</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Actions Required (6.2(h))</w:t>
            </w:r>
          </w:p>
        </w:tc>
        <w:tc>
          <w:tcPr>
            <w:tcW w:type="dxa" w:w="7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Complete ISMS documentation programme; conduct internal audit; address findings; engage certification body.</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Resources Required (6.2(i))</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 time; certification body fees; external consultant support</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Responsible (6.2(j))</w:t>
            </w:r>
          </w:p>
        </w:tc>
        <w:tc>
          <w:tcPr>
            <w:tcW w:type="dxa" w:w="7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 / MD</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Completion Deadline (6.2(k))</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Q4 2026</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Evaluation Method (6.2(l))</w:t>
            </w:r>
          </w:p>
        </w:tc>
        <w:tc>
          <w:tcPr>
            <w:tcW w:type="dxa" w:w="7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Certification body audit outcome; internal audit report</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Current Status</w:t>
            </w:r>
          </w:p>
        </w:tc>
        <w:tc>
          <w:tcPr>
            <w:tcW w:type="dxa" w:w="7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In Progress</w:t>
            </w:r>
          </w:p>
        </w:tc>
      </w:tr>
    </w:tbl>
    <w:p>
      <w:pPr>
        <w:spacing w:after="80" w:before="8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tcW w:type="dxa" w:w="92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D6E4F0"/>
                <w:sz w:val="20"/>
                <w:szCs w:val="20"/>
              </w:rPr>
              <w:t xml:space="preserve">OBJ-002  |  </w:t>
            </w:r>
            <w:r>
              <w:rPr>
                <w:rFonts w:ascii="Arial" w:cs="Arial" w:eastAsia="Arial" w:hAnsi="Arial"/>
                <w:b/>
                <w:bCs/>
                <w:color w:val="FFFFFF"/>
                <w:sz w:val="20"/>
                <w:szCs w:val="20"/>
              </w:rPr>
              <w:t xml:space="preserve">Enforce MFA across 100% of privileged access and external-facing accounts</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Alignment to Policy</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Confidentiality, Integrity commitment</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Measure / KPI (6.2(b))</w:t>
            </w:r>
          </w:p>
        </w:tc>
        <w:tc>
          <w:tcPr>
            <w:tcW w:type="dxa" w:w="7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accounts with MFA enforced (target: 100%); phishing-resistant MFA adoption rate</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(6.2(d))</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 MFA coverage by end Q2 2026; phishing-resistant MFA for privileged accounts</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Actions Required (6.2(h))</w:t>
            </w:r>
          </w:p>
        </w:tc>
        <w:tc>
          <w:tcPr>
            <w:tcW w:type="dxa" w:w="7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Conditional access policy rollout; hardware key procurement for privileged users; Entra ID MFA status reporting.</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Resources Required (6.2(i))</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HoT time; hardware key budget; Entra ID P2 licensing</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Responsible (6.2(j))</w:t>
            </w:r>
          </w:p>
        </w:tc>
        <w:tc>
          <w:tcPr>
            <w:tcW w:type="dxa" w:w="7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HoT / ISM</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Completion Deadline (6.2(k))</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Q2 2026</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Evaluation Method (6.2(l))</w:t>
            </w:r>
          </w:p>
        </w:tc>
        <w:tc>
          <w:tcPr>
            <w:tcW w:type="dxa" w:w="7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Entra ID MFA coverage report; conditional access policy audit</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Current Status</w:t>
            </w:r>
          </w:p>
        </w:tc>
        <w:tc>
          <w:tcPr>
            <w:tcW w:type="dxa" w:w="7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In Progress</w:t>
            </w:r>
          </w:p>
        </w:tc>
      </w:tr>
    </w:tbl>
    <w:p>
      <w:pPr>
        <w:spacing w:after="80" w:before="8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tcW w:type="dxa" w:w="92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D6E4F0"/>
                <w:sz w:val="20"/>
                <w:szCs w:val="20"/>
              </w:rPr>
              <w:t xml:space="preserve">OBJ-003  |  </w:t>
            </w:r>
            <w:r>
              <w:rPr>
                <w:rFonts w:ascii="Arial" w:cs="Arial" w:eastAsia="Arial" w:hAnsi="Arial"/>
                <w:b/>
                <w:bCs/>
                <w:color w:val="FFFFFF"/>
                <w:sz w:val="20"/>
                <w:szCs w:val="20"/>
              </w:rPr>
              <w:t xml:space="preserve">Implement and exercise a documented Incident Response Plan</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Alignment to Policy</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Availability, Compliance commitment</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Measure / KPI (6.2(b))</w:t>
            </w:r>
          </w:p>
        </w:tc>
        <w:tc>
          <w:tcPr>
            <w:tcW w:type="dxa" w:w="7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IR plan documented and approved; at least one tabletop exercise completed per year</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(6.2(d))</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IR plan approved Q2 2026; tabletop exercise completed Q3 2026</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Actions Required (6.2(h))</w:t>
            </w:r>
          </w:p>
        </w:tc>
        <w:tc>
          <w:tcPr>
            <w:tcW w:type="dxa" w:w="7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Draft IR plan and playbooks (ransomware, BEC, data breach); obtain MD approval; schedule and run tabletop; capture lessons learned.</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Resources Required (6.2(i))</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 time; external IR consultant (optional); 0.5 day staff time for tabletop</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Responsible (6.2(j))</w:t>
            </w:r>
          </w:p>
        </w:tc>
        <w:tc>
          <w:tcPr>
            <w:tcW w:type="dxa" w:w="7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Completion Deadline (6.2(k))</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Q3 2026</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Evaluation Method (6.2(l))</w:t>
            </w:r>
          </w:p>
        </w:tc>
        <w:tc>
          <w:tcPr>
            <w:tcW w:type="dxa" w:w="7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IR plan document approval record; tabletop exercise report and lessons learned log</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Current Status</w:t>
            </w:r>
          </w:p>
        </w:tc>
        <w:tc>
          <w:tcPr>
            <w:tcW w:type="dxa" w:w="7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Planned</w:t>
            </w:r>
          </w:p>
        </w:tc>
      </w:tr>
    </w:tbl>
    <w:p>
      <w:pPr>
        <w:spacing w:after="80" w:before="8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tcW w:type="dxa" w:w="92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D6E4F0"/>
                <w:sz w:val="20"/>
                <w:szCs w:val="20"/>
              </w:rPr>
              <w:t xml:space="preserve">OBJ-004  |  </w:t>
            </w:r>
            <w:r>
              <w:rPr>
                <w:rFonts w:ascii="Arial" w:cs="Arial" w:eastAsia="Arial" w:hAnsi="Arial"/>
                <w:b/>
                <w:bCs/>
                <w:color w:val="FFFFFF"/>
                <w:sz w:val="20"/>
                <w:szCs w:val="20"/>
              </w:rPr>
              <w:t xml:space="preserve">Achieve 100% staff completion of annual security awareness training</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Alignment to Policy</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commitments — people</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Measure / KPI (6.2(b))</w:t>
            </w:r>
          </w:p>
        </w:tc>
        <w:tc>
          <w:tcPr>
            <w:tcW w:type="dxa" w:w="7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staff completing mandatory annual awareness training; simulated phishing click rate ≤10%</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(6.2(d))</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 completion within 30 days of programme launch; phishing click rate ≤10% within 6 months</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Actions Required (6.2(h))</w:t>
            </w:r>
          </w:p>
        </w:tc>
        <w:tc>
          <w:tcPr>
            <w:tcW w:type="dxa" w:w="7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and deploy awareness training platform; build training curriculum; configure simulated phishing; track completion; report to management review.</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Resources Required (6.2(i))</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 time; training platform subscription</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Responsible (6.2(j))</w:t>
            </w:r>
          </w:p>
        </w:tc>
        <w:tc>
          <w:tcPr>
            <w:tcW w:type="dxa" w:w="7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Completion Deadline (6.2(k))</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Q2 2026</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Evaluation Method (6.2(l))</w:t>
            </w:r>
          </w:p>
        </w:tc>
        <w:tc>
          <w:tcPr>
            <w:tcW w:type="dxa" w:w="7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Training completion report; simulated phishing metrics dashboard</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Current Status</w:t>
            </w:r>
          </w:p>
        </w:tc>
        <w:tc>
          <w:tcPr>
            <w:tcW w:type="dxa" w:w="7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In Progress</w:t>
            </w:r>
          </w:p>
        </w:tc>
      </w:tr>
    </w:tbl>
    <w:p>
      <w:pPr>
        <w:spacing w:after="80" w:before="8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tcW w:type="dxa" w:w="92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D6E4F0"/>
                <w:sz w:val="20"/>
                <w:szCs w:val="20"/>
              </w:rPr>
              <w:t xml:space="preserve">OBJ-005  |  </w:t>
            </w:r>
            <w:r>
              <w:rPr>
                <w:rFonts w:ascii="Arial" w:cs="Arial" w:eastAsia="Arial" w:hAnsi="Arial"/>
                <w:b/>
                <w:bCs/>
                <w:color w:val="FFFFFF"/>
                <w:sz w:val="20"/>
                <w:szCs w:val="20"/>
              </w:rPr>
              <w:t xml:space="preserve">Establish and maintain a vulnerability management programme with defined SLAs</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Alignment to Policy</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Integrity, Availability commitment</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Measure / KPI (6.2(b))</w:t>
            </w:r>
          </w:p>
        </w:tc>
        <w:tc>
          <w:tcPr>
            <w:tcW w:type="dxa" w:w="7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Critical vulnerabilities remediated ≤24h; High ≤7d; Medium ≤30d; scan coverage 100% of corporate endpoints</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(6.2(d))</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Programme operational Q2 2026; SLA compliance ≥95% by Q3 2026</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Actions Required (6.2(h))</w:t>
            </w:r>
          </w:p>
        </w:tc>
        <w:tc>
          <w:tcPr>
            <w:tcW w:type="dxa" w:w="7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Deploy vulnerability scanner; define remediation SLAs; integrate with Defender for Endpoint; report SLA performance monthly.</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Resources Required (6.2(i))</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HoT time; vulnerability scanner tooling (Defender Vulnerability Management or equivalent)</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Responsible (6.2(j))</w:t>
            </w:r>
          </w:p>
        </w:tc>
        <w:tc>
          <w:tcPr>
            <w:tcW w:type="dxa" w:w="7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HoT</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Completion Deadline (6.2(k))</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Q3 2026</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Evaluation Method (6.2(l))</w:t>
            </w:r>
          </w:p>
        </w:tc>
        <w:tc>
          <w:tcPr>
            <w:tcW w:type="dxa" w:w="7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Monthly vulnerability SLA compliance report; Defender VM dashboard</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Current Status</w:t>
            </w:r>
          </w:p>
        </w:tc>
        <w:tc>
          <w:tcPr>
            <w:tcW w:type="dxa" w:w="7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In Progress</w:t>
            </w:r>
          </w:p>
        </w:tc>
      </w:tr>
    </w:tbl>
    <w:p>
      <w:pPr>
        <w:spacing w:after="80" w:before="8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tcW w:type="dxa" w:w="92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D6E4F0"/>
                <w:sz w:val="20"/>
                <w:szCs w:val="20"/>
              </w:rPr>
              <w:t xml:space="preserve">OBJ-006  |  </w:t>
            </w:r>
            <w:r>
              <w:rPr>
                <w:rFonts w:ascii="Arial" w:cs="Arial" w:eastAsia="Arial" w:hAnsi="Arial"/>
                <w:b/>
                <w:bCs/>
                <w:color w:val="FFFFFF"/>
                <w:sz w:val="20"/>
                <w:szCs w:val="20"/>
              </w:rPr>
              <w:t xml:space="preserve">Document and test Business Continuity and Disaster Recovery procedures</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Alignment to Policy</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Availability commitment</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Measure / KPI (6.2(b))</w:t>
            </w:r>
          </w:p>
        </w:tc>
        <w:tc>
          <w:tcPr>
            <w:tcW w:type="dxa" w:w="7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BCP/DRP documented; RTO/RPO defined per client SLA; at least one BCP test completed annually</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(6.2(d))</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BCP/DRP documentation approved Q3 2026; first test Q4 2026</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Actions Required (6.2(h))</w:t>
            </w:r>
          </w:p>
        </w:tc>
        <w:tc>
          <w:tcPr>
            <w:tcW w:type="dxa" w:w="7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Document BCP and DRP; define RTO/RPO; validate backup restoration; schedule and execute BCP test; report outcome to management review.</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Resources Required (6.2(i))</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 / HoT time; cloud backup tooling costs</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Responsible (6.2(j))</w:t>
            </w:r>
          </w:p>
        </w:tc>
        <w:tc>
          <w:tcPr>
            <w:tcW w:type="dxa" w:w="7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HoT / MD</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Completion Deadline (6.2(k))</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Q4 2026</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Evaluation Method (6.2(l))</w:t>
            </w:r>
          </w:p>
        </w:tc>
        <w:tc>
          <w:tcPr>
            <w:tcW w:type="dxa" w:w="7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BCP/DRP document approval; test report; backup restoration evidence</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Current Status</w:t>
            </w:r>
          </w:p>
        </w:tc>
        <w:tc>
          <w:tcPr>
            <w:tcW w:type="dxa" w:w="7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Planned</w:t>
            </w:r>
          </w:p>
        </w:tc>
      </w:tr>
    </w:tbl>
    <w:p>
      <w:pPr>
        <w:spacing w:after="80" w:before="80"/>
      </w:pPr>
    </w:p>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6. Clause 6.3 — Planning of Changes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7860"/>
      </w:tblGrid>
      <w:tr>
        <w:tc>
          <w:tcPr>
            <w:tcW w:type="dxa" w:w="140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6.3</w:t>
            </w:r>
          </w:p>
          <w:p>
            <w:pPr>
              <w:jc w:val="center"/>
            </w:pPr>
            <w:r>
              <w:rPr>
                <w:rFonts w:ascii="Arial" w:cs="Arial" w:eastAsia="Arial" w:hAnsi="Arial"/>
                <w:color w:val="D6E4F0"/>
                <w:sz w:val="14"/>
                <w:szCs w:val="14"/>
              </w:rPr>
              <w:t xml:space="preserve">Change Planning</w:t>
            </w:r>
          </w:p>
        </w:tc>
        <w:tc>
          <w:tcPr>
            <w:tcW w:type="dxa" w:w="78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1F3864"/>
                <w:sz w:val="18"/>
                <w:szCs w:val="18"/>
              </w:rPr>
              <w:t xml:space="preserve">When the organisation determines the need for changes to the ISMS, the changes shall be carried out in a planned manner.</w:t>
            </w:r>
          </w:p>
        </w:tc>
      </w:tr>
    </w:tbl>
    <w:p>
      <w:pPr>
        <w:spacing w:after="120" w:before="120"/>
      </w:pPr>
    </w:p>
    <w:p>
      <w:pPr>
        <w:spacing w:after="80" w:before="80"/>
        <w:jc w:val="left"/>
      </w:pPr>
      <w:r>
        <w:rPr>
          <w:rFonts w:ascii="Arial" w:cs="Arial" w:eastAsia="Arial" w:hAnsi="Arial"/>
          <w:b w:val="false"/>
          <w:bCs w:val="false"/>
          <w:color w:val="000000"/>
          <w:sz w:val="20"/>
          <w:szCs w:val="20"/>
        </w:rPr>
        <w:t xml:space="preserve">ISO 27001:2022 Clause 6.3 requires that changes to the ISMS are planned and managed in a controlled manner. Unplanned or reactive changes to ISMS processes, scope, policies, or controls can introduce gaps in the risk treatment framework, create nonconformities, or undermine the effectiveness of implemented controls.</w:t>
      </w:r>
    </w:p>
    <w:p>
      <w:pPr>
        <w:spacing w:after="60" w:before="60"/>
      </w:pPr>
    </w:p>
    <w:p>
      <w:pPr>
        <w:spacing w:after="80" w:before="80"/>
        <w:jc w:val="left"/>
      </w:pPr>
      <w:r>
        <w:rPr>
          <w:rFonts w:ascii="Arial" w:cs="Arial" w:eastAsia="Arial" w:hAnsi="Arial"/>
          <w:b w:val="false"/>
          <w:bCs w:val="false"/>
          <w:color w:val="000000"/>
          <w:sz w:val="20"/>
          <w:szCs w:val="20"/>
        </w:rPr>
        <w:t xml:space="preserve">The following procedure applies to all material changes to the ISMS:</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5060"/>
        <w:gridCol w:w="1400"/>
      </w:tblGrid>
      <w:tr>
        <w:trPr>
          <w:tblHeader/>
        </w:trPr>
        <w:tc>
          <w:tcPr>
            <w:tcW w:type="dxa" w:w="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Activity</w:t>
            </w:r>
          </w:p>
        </w:tc>
        <w:tc>
          <w:tcPr>
            <w:tcW w:type="dxa" w:w="50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Change Identification</w:t>
            </w:r>
          </w:p>
        </w:tc>
        <w:tc>
          <w:tcPr>
            <w:tcW w:type="dxa" w:w="5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Any personnel may identify a required change to the ISMS. Changes may be triggered by: risk assessment outcomes; audit findings; management review decisions; regulatory changes; significant incidents; technology or operational changes; or new client requirements.</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staff</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2</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Change Assessment</w:t>
            </w:r>
          </w:p>
        </w:tc>
        <w:tc>
          <w:tcPr>
            <w:tcW w:type="dxa" w:w="5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The Information Security Manager assesses the proposed change against: purpose and rationale; impact on ISMS scope, risk register, or SoA; resource implications; impact on interested party requirements; and certification body notification requirements (for scope changes).</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3</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Change Approval</w:t>
            </w:r>
          </w:p>
        </w:tc>
        <w:tc>
          <w:tcPr>
            <w:tcW w:type="dxa" w:w="5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Changes affecting ISMS scope, policy, or risk acceptance criteria require Managing Director approval. Changes to operational procedures require ISM approval. Emergency changes may be implemented immediately with retrospective approval within 5 working days.</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MD / ISM</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4</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Implementation</w:t>
            </w:r>
          </w:p>
        </w:tc>
        <w:tc>
          <w:tcPr>
            <w:tcW w:type="dxa" w:w="5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Approved changes are implemented with a documented implementation plan including: tasks and timelines; responsible parties; resources required; and communication plan for affected personnel.</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 / HoT</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5</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Documentation Update</w:t>
            </w:r>
          </w:p>
        </w:tc>
        <w:tc>
          <w:tcPr>
            <w:tcW w:type="dxa" w:w="5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ISMS documents affected by the change (this document, SoA, policies, procedures) are updated within 10 working days of implementation. Updated documents undergo the standard review and approval process per ISMS-DIC-001.</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w:t>
            </w:r>
          </w:p>
        </w:tc>
      </w:tr>
      <w:tr>
        <w:tc>
          <w:tcPr>
            <w:tcW w:type="dxa" w:w="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6</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Effectiveness Evaluation</w:t>
            </w:r>
          </w:p>
        </w:tc>
        <w:tc>
          <w:tcPr>
            <w:tcW w:type="dxa" w:w="5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The effectiveness of the implemented change is evaluated within 30 days of implementation and reported at the next management review. Where a change was triggered by an audit finding, effectiveness is verified during the next internal audit cycle.</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7</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Certification Body Notification</w:t>
            </w:r>
          </w:p>
        </w:tc>
        <w:tc>
          <w:tcPr>
            <w:tcW w:type="dxa" w:w="5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Changes that materially affect the ISMS scope (Clause 4.3) must be notified to the certification body in accordance with the certification agreement. The ISM is responsible for assessing whether notification is required and for making the notification within the required timeframe.</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w:t>
            </w:r>
          </w:p>
        </w:tc>
      </w:tr>
    </w:tbl>
    <w:p>
      <w:pPr>
        <w:spacing w:after="60" w:before="60"/>
      </w:pPr>
    </w:p>
    <w:p>
      <w:pPr>
        <w:pStyle w:val="Heading3"/>
        <w:spacing w:after="60" w:before="160"/>
      </w:pPr>
      <w:r>
        <w:rPr>
          <w:rFonts w:ascii="Arial" w:cs="Arial" w:eastAsia="Arial" w:hAnsi="Arial"/>
          <w:b/>
          <w:bCs/>
          <w:color w:val="404040"/>
          <w:sz w:val="22"/>
          <w:szCs w:val="22"/>
        </w:rPr>
        <w:t xml:space="preserve">Change Log</w:t>
      </w:r>
    </w:p>
    <w:p>
      <w:pPr>
        <w:spacing w:after="80" w:before="80"/>
        <w:jc w:val="left"/>
      </w:pPr>
      <w:r>
        <w:rPr>
          <w:rFonts w:ascii="Arial" w:cs="Arial" w:eastAsia="Arial" w:hAnsi="Arial"/>
          <w:b w:val="false"/>
          <w:bCs w:val="false"/>
          <w:color w:val="000000"/>
          <w:sz w:val="20"/>
          <w:szCs w:val="20"/>
        </w:rPr>
        <w:t xml:space="preserve">A change log is maintained as Annex A to this document and updated each time a planned ISMS change is initiated. The change log records: change reference, description, trigger, assessment outcome, approval date, approver, implementation date, and effectiveness evaluation outcome.</w:t>
      </w:r>
    </w:p>
    <w:p>
      <w:pPr>
        <w:spacing w:after="120" w:before="12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1400"/>
        <w:gridCol w:w="1200"/>
        <w:gridCol w:w="1200"/>
        <w:gridCol w:w="1260"/>
      </w:tblGrid>
      <w:tr>
        <w:trPr>
          <w:tblHeader/>
        </w:trPr>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CHG-Ref</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Change Description</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Trigger</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Approved By</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Approval Date</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Impl. Date</w:t>
            </w:r>
          </w:p>
        </w:tc>
        <w:tc>
          <w:tcPr>
            <w:tcW w:type="dxa" w:w="1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Effective?</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CHG-001</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Initial ISMS establishment and documentation programme</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ISO 27001 certification objective</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Managing Director</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02 April 2026</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Ongoing</w:t>
            </w:r>
          </w:p>
        </w:tc>
        <w:tc>
          <w:tcPr>
            <w:tcW w:type="dxa" w:w="1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Pending</w:t>
            </w:r>
          </w:p>
        </w:tc>
      </w:tr>
      <w:tr>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AAAAAA"/>
                <w:sz w:val="18"/>
                <w:szCs w:val="18"/>
              </w:rPr>
              <w:t xml:space="preserve">[Future changes recorded here]</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7. Linkage to Other ISMS Documents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460"/>
        <w:gridCol w:w="380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w:t>
            </w:r>
          </w:p>
        </w:tc>
        <w:tc>
          <w:tcPr>
            <w:tcW w:type="dxa" w:w="34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Title</w:t>
            </w:r>
          </w:p>
        </w:tc>
        <w:tc>
          <w:tcPr>
            <w:tcW w:type="dxa" w:w="3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Relationship to Clause 6</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ISMS-CTX-001</w:t>
            </w:r>
          </w:p>
        </w:tc>
        <w:tc>
          <w:tcPr>
            <w:tcW w:type="dxa" w:w="3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Context Document (Clauses 4.1–4.4)</w:t>
            </w:r>
          </w:p>
        </w:tc>
        <w:tc>
          <w:tcPr>
            <w:tcW w:type="dxa" w:w="3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Primary input: external/internal issues and interested party requirements drive risk identification.</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ISMS-LDR-001</w:t>
            </w:r>
          </w:p>
        </w:tc>
        <w:tc>
          <w:tcPr>
            <w:tcW w:type="dxa" w:w="34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Leadership, Policy and Roles (Clause 5)</w:t>
            </w:r>
          </w:p>
        </w:tc>
        <w:tc>
          <w:tcPr>
            <w:tcW w:type="dxa" w:w="3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Policy provides framework for objectives (6.2(a)); MD role provides risk acceptance authority (6.1.3(f)).</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ISMS-SoA-001</w:t>
            </w:r>
          </w:p>
        </w:tc>
        <w:tc>
          <w:tcPr>
            <w:tcW w:type="dxa" w:w="3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Statement of Applicability</w:t>
            </w:r>
          </w:p>
        </w:tc>
        <w:tc>
          <w:tcPr>
            <w:tcW w:type="dxa" w:w="3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Required output of Clause 6.1.3(d). Must be maintained in parallel with this document. Annex A control inclusion/exclusion documented therein.</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ISMS-OBJ-001</w:t>
            </w:r>
          </w:p>
        </w:tc>
        <w:tc>
          <w:tcPr>
            <w:tcW w:type="dxa" w:w="34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Information Security Objectives (standalone)</w:t>
            </w:r>
          </w:p>
        </w:tc>
        <w:tc>
          <w:tcPr>
            <w:tcW w:type="dxa" w:w="3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Standalone objectives register for distribution; derived from Section 5 of this document.</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ISMS-CAR-001</w:t>
            </w:r>
          </w:p>
        </w:tc>
        <w:tc>
          <w:tcPr>
            <w:tcW w:type="dxa" w:w="3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Corrective Action and Nonconformity</w:t>
            </w:r>
          </w:p>
        </w:tc>
        <w:tc>
          <w:tcPr>
            <w:tcW w:type="dxa" w:w="3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Mechanism for addressing residual risks and newly identified opportunities on an ongoing basis.</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ISMS-IAP-001</w:t>
            </w:r>
          </w:p>
        </w:tc>
        <w:tc>
          <w:tcPr>
            <w:tcW w:type="dxa" w:w="34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Internal Audit Programme</w:t>
            </w:r>
          </w:p>
        </w:tc>
        <w:tc>
          <w:tcPr>
            <w:tcW w:type="dxa" w:w="3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Internal audit verifies risk treatment control implementation and effectiveness as required by 6.1.1.</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ISMS-MR-001</w:t>
            </w:r>
          </w:p>
        </w:tc>
        <w:tc>
          <w:tcPr>
            <w:tcW w:type="dxa" w:w="3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Management Review</w:t>
            </w:r>
          </w:p>
        </w:tc>
        <w:tc>
          <w:tcPr>
            <w:tcW w:type="dxa" w:w="3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Risk register, treatment plan, and objectives reviewed and approved at management review.</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ISMS-DIC-001</w:t>
            </w:r>
          </w:p>
        </w:tc>
        <w:tc>
          <w:tcPr>
            <w:tcW w:type="dxa" w:w="34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Documented Information Control</w:t>
            </w:r>
          </w:p>
        </w:tc>
        <w:tc>
          <w:tcPr>
            <w:tcW w:type="dxa" w:w="3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Controls document version management for this risk register (Clause 6.1.2 requires retained documented information).</w:t>
            </w:r>
          </w:p>
        </w:tc>
      </w:tr>
    </w:tbl>
    <w:p>
      <w:pPr>
        <w:spacing w:after="120" w:before="120"/>
      </w:pPr>
    </w:p>
    <w:p>
      <w:pPr>
        <w:pStyle w:val="Heading1"/>
        <w:pBdr>
          <w:bottom w:val="single" w:color="2E75B6" w:sz="8" w:space="4"/>
        </w:pBdr>
        <w:spacing w:after="120" w:before="360"/>
      </w:pPr>
      <w:r>
        <w:rPr>
          <w:rFonts w:ascii="Arial" w:cs="Arial" w:eastAsia="Arial" w:hAnsi="Arial"/>
          <w:b/>
          <w:bCs/>
          <w:color w:val="1F3864"/>
          <w:sz w:val="34"/>
          <w:szCs w:val="34"/>
        </w:rPr>
        <w:t xml:space="preserve">8. Review and Maintenance</w:t>
      </w:r>
    </w:p>
    <w:p>
      <w:pPr>
        <w:spacing w:after="80" w:before="80"/>
        <w:jc w:val="left"/>
      </w:pPr>
      <w:r>
        <w:rPr>
          <w:rFonts w:ascii="Arial" w:cs="Arial" w:eastAsia="Arial" w:hAnsi="Arial"/>
          <w:b w:val="false"/>
          <w:bCs w:val="false"/>
          <w:color w:val="000000"/>
          <w:sz w:val="20"/>
          <w:szCs w:val="20"/>
        </w:rPr>
        <w:t xml:space="preserve">This document shall be reviewed and updated under the following conditions:</w:t>
      </w:r>
    </w:p>
    <w:p>
      <w:pPr>
        <w:spacing w:after="60" w:before="60"/>
      </w:pPr>
    </w:p>
    <w:p>
      <w:pPr>
        <w:pStyle w:val="ListParagraph"/>
        <w:numPr>
          <w:ilvl w:val="0"/>
          <w:numId w:val="2"/>
        </w:numPr>
        <w:spacing w:after="40" w:before="40"/>
      </w:pPr>
      <w:r>
        <w:rPr>
          <w:rFonts w:ascii="Arial" w:cs="Arial" w:eastAsia="Arial" w:hAnsi="Arial"/>
          <w:sz w:val="20"/>
          <w:szCs w:val="20"/>
        </w:rPr>
        <w:t xml:space="preserve">Annually as a mandatory trigger — risk assessment repeated in full; results presented at management review</w:t>
      </w:r>
    </w:p>
    <w:p>
      <w:pPr>
        <w:pStyle w:val="ListParagraph"/>
        <w:numPr>
          <w:ilvl w:val="0"/>
          <w:numId w:val="2"/>
        </w:numPr>
        <w:spacing w:after="40" w:before="40"/>
      </w:pPr>
      <w:r>
        <w:rPr>
          <w:rFonts w:ascii="Arial" w:cs="Arial" w:eastAsia="Arial" w:hAnsi="Arial"/>
          <w:sz w:val="20"/>
          <w:szCs w:val="20"/>
        </w:rPr>
        <w:t xml:space="preserve">Following any significant change to the organisation's context (external or internal issues)</w:t>
      </w:r>
    </w:p>
    <w:p>
      <w:pPr>
        <w:pStyle w:val="ListParagraph"/>
        <w:numPr>
          <w:ilvl w:val="0"/>
          <w:numId w:val="2"/>
        </w:numPr>
        <w:spacing w:after="40" w:before="40"/>
      </w:pPr>
      <w:r>
        <w:rPr>
          <w:rFonts w:ascii="Arial" w:cs="Arial" w:eastAsia="Arial" w:hAnsi="Arial"/>
          <w:sz w:val="20"/>
          <w:szCs w:val="20"/>
        </w:rPr>
        <w:t xml:space="preserve">Following a significant security incident that reveals a previously unidentified or underestimated risk</w:t>
      </w:r>
    </w:p>
    <w:p>
      <w:pPr>
        <w:pStyle w:val="ListParagraph"/>
        <w:numPr>
          <w:ilvl w:val="0"/>
          <w:numId w:val="2"/>
        </w:numPr>
        <w:spacing w:after="40" w:before="40"/>
      </w:pPr>
      <w:r>
        <w:rPr>
          <w:rFonts w:ascii="Arial" w:cs="Arial" w:eastAsia="Arial" w:hAnsi="Arial"/>
          <w:sz w:val="20"/>
          <w:szCs w:val="20"/>
        </w:rPr>
        <w:t xml:space="preserve">Following introduction of a new significant asset, service, or process within the ISMS scope</w:t>
      </w:r>
    </w:p>
    <w:p>
      <w:pPr>
        <w:pStyle w:val="ListParagraph"/>
        <w:numPr>
          <w:ilvl w:val="0"/>
          <w:numId w:val="2"/>
        </w:numPr>
        <w:spacing w:after="40" w:before="40"/>
      </w:pPr>
      <w:r>
        <w:rPr>
          <w:rFonts w:ascii="Arial" w:cs="Arial" w:eastAsia="Arial" w:hAnsi="Arial"/>
          <w:sz w:val="20"/>
          <w:szCs w:val="20"/>
        </w:rPr>
        <w:t xml:space="preserve">Following a material regulatory change affecting the organisation's compliance obligations</w:t>
      </w:r>
    </w:p>
    <w:p>
      <w:pPr>
        <w:pStyle w:val="ListParagraph"/>
        <w:numPr>
          <w:ilvl w:val="0"/>
          <w:numId w:val="2"/>
        </w:numPr>
        <w:spacing w:after="40" w:before="40"/>
      </w:pPr>
      <w:r>
        <w:rPr>
          <w:rFonts w:ascii="Arial" w:cs="Arial" w:eastAsia="Arial" w:hAnsi="Arial"/>
          <w:sz w:val="20"/>
          <w:szCs w:val="20"/>
        </w:rPr>
        <w:t xml:space="preserve">Following completion of risk treatment actions — residual risk re-scored and acceptance re-confirmed</w:t>
      </w:r>
    </w:p>
    <w:p>
      <w:pPr>
        <w:pStyle w:val="ListParagraph"/>
        <w:numPr>
          <w:ilvl w:val="0"/>
          <w:numId w:val="2"/>
        </w:numPr>
        <w:spacing w:after="40" w:before="40"/>
      </w:pPr>
      <w:r>
        <w:rPr>
          <w:rFonts w:ascii="Arial" w:cs="Arial" w:eastAsia="Arial" w:hAnsi="Arial"/>
          <w:sz w:val="20"/>
          <w:szCs w:val="20"/>
        </w:rPr>
        <w:t xml:space="preserve">At the discretion of the Information Security Manager</w:t>
      </w:r>
    </w:p>
    <w:p>
      <w:pPr>
        <w:spacing w:after="60" w:before="60"/>
      </w:pPr>
    </w:p>
    <w:p>
      <w:pPr>
        <w:spacing w:after="80" w:before="80"/>
        <w:jc w:val="left"/>
      </w:pPr>
      <w:r>
        <w:rPr>
          <w:rFonts w:ascii="Arial" w:cs="Arial" w:eastAsia="Arial" w:hAnsi="Arial"/>
          <w:b w:val="false"/>
          <w:bCs w:val="false"/>
          <w:color w:val="000000"/>
          <w:sz w:val="20"/>
          <w:szCs w:val="20"/>
        </w:rPr>
        <w:t xml:space="preserve">Changes to risk ratings, treatment plans, or acceptance decisions require approval per the authority matrix in ISMS-LDR-001. Risk owner signatures in Section 4.4 must be refreshed on each annual review cycle.</w:t>
      </w:r>
    </w:p>
    <w:p>
      <w:pPr>
        <w:spacing w:after="120" w:before="120"/>
      </w:pPr>
    </w:p>
    <w:p>
      <w:pPr>
        <w:pStyle w:val="Heading1"/>
        <w:pBdr>
          <w:bottom w:val="single" w:color="2E75B6" w:sz="8" w:space="4"/>
        </w:pBdr>
        <w:spacing w:after="120" w:before="360"/>
      </w:pPr>
      <w:r>
        <w:rPr>
          <w:rFonts w:ascii="Arial" w:cs="Arial" w:eastAsia="Arial" w:hAnsi="Arial"/>
          <w:b/>
          <w:bCs/>
          <w:color w:val="1F3864"/>
          <w:sz w:val="34"/>
          <w:szCs w:val="34"/>
        </w:rPr>
        <w:t xml:space="preserve">9. References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6860"/>
      </w:tblGrid>
      <w:tr>
        <w:trPr>
          <w:tblHeader/>
        </w:trP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Reference</w:t>
            </w:r>
          </w:p>
        </w:tc>
        <w:tc>
          <w:tcPr>
            <w:tcW w:type="dxa" w:w="68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 Standard</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ISO/IEC 27001:2022</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Clauses 6.1.1, 6.1.2, 6.1.3, 6.2, 6.3 — Planning.</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ISO 31000:2018</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Risk management — Guidelines. Principles, framework, and process aligned with ISO 27001:2022 Clause 6.1.2 methodology.</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ISO/IEC 27005:2022</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Information security, cybersecurity and privacy protection — Guidance on managing information security risks.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ISMS-CTX-001</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ISMS Context Document — primary input to risk identification.</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ISMS-LDR-001</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Leadership, Policy and Roles — policy framework and risk acceptance authority.</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ISMS-SoA-001</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Statement of Applicability — Annex A control inclusion/exclusion with justifications.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ISMS-IAP-001</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Internal Audit Programme — verifies control effectiveness.</w:t>
            </w:r>
          </w:p>
        </w:tc>
      </w:tr>
    </w:tbl>
    <w:p>
      <w:pPr>
        <w:spacing w:after="0" w:before="240"/>
      </w:pPr>
    </w:p>
    <w:p>
      <w:pPr>
        <w:spacing w:after="0" w:before="240"/>
      </w:pPr>
      <w:r>
        <w:rPr>
          <w:rFonts w:ascii="Arial" w:cs="Arial" w:eastAsia="Arial" w:hAnsi="Arial"/>
          <w:color w:val="AAAAAA"/>
          <w:sz w:val="16"/>
          <w:szCs w:val="16"/>
        </w:rPr>
        <w:t xml:space="preserve">END OF DOCUMENT — ISMS-PLN-001 v1.0  |  CONFIDENTIAL</w:t>
      </w:r>
    </w:p>
    <w:sectPr>
      <w:headerReference w:type="default" r:id="rId7"/>
      <w:footerReference w:type="default" r:id="rId8"/>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center" w:pos="4680"/>
        <w:tab w:val="right" w:pos="9026"/>
      </w:tabs>
      <w:spacing w:before="120"/>
    </w:pPr>
    <w:r>
      <w:rPr>
        <w:rFonts w:ascii="Arial" w:cs="Arial" w:eastAsia="Arial" w:hAnsi="Arial"/>
        <w:b/>
        <w:bCs/>
        <w:color w:val="C00000"/>
        <w:sz w:val="16"/>
        <w:szCs w:val="16"/>
      </w:rPr>
      <w:t xml:space="preserve">CONFIDENTIAL</w:t>
    </w:r>
    <w:r>
      <w:rPr>
        <w:rFonts w:ascii="Arial" w:cs="Arial" w:eastAsia="Arial" w:hAnsi="Arial"/>
        <w:color w:val="888888"/>
        <w:sz w:val="16"/>
        <w:szCs w:val="16"/>
      </w:rPr>
      <w:t xml:space="preserve">	Page </w:t>
    </w:r>
    <w:fldSimple w:instr="PAGE">
      <w:r>
        <w:rPr>
          <w:rFonts w:ascii="Arial" w:cs="Arial" w:eastAsia="Arial" w:hAnsi="Arial"/>
          <w:color w:val="888888"/>
          <w:sz w:val="16"/>
          <w:szCs w:val="16"/>
        </w:rPr>
      </w:r>
    </w:fldSimple>
    <w:r>
      <w:rPr>
        <w:rFonts w:ascii="Arial" w:cs="Arial" w:eastAsia="Arial" w:hAnsi="Arial"/>
        <w:color w:val="888888"/>
        <w:sz w:val="16"/>
        <w:szCs w:val="16"/>
      </w:rPr>
      <w:t xml:space="preserve">	02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120"/>
    </w:pPr>
    <w:r>
      <w:rPr>
        <w:rFonts w:ascii="Arial" w:cs="Arial" w:eastAsia="Arial" w:hAnsi="Arial"/>
        <w:b/>
        <w:bCs/>
        <w:color w:val="1F3864"/>
        <w:sz w:val="18"/>
        <w:szCs w:val="18"/>
      </w:rPr>
      <w:t xml:space="preserve">Apex Managed Services Ltd — ISMS Planning: Risk, Objectives &amp; Change</w:t>
    </w:r>
    <w:r>
      <w:rPr>
        <w:rFonts w:ascii="Arial" w:cs="Arial" w:eastAsia="Arial" w:hAnsi="Arial"/>
        <w:b/>
        <w:bCs/>
        <w:color w:val="C00000"/>
        <w:sz w:val="16"/>
        <w:szCs w:val="16"/>
      </w:rPr>
      <w:t xml:space="preserve">	ISMS-PLN-001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4"/>
      <w:szCs w:val="34"/>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2026-04-02T18:45:11.179Z</dcterms:created>
  <dcterms:modified xsi:type="dcterms:W3CDTF">2026-04-02T18:45:11.180Z</dcterms:modified>
</cp:coreProperties>
</file>

<file path=docProps/custom.xml><?xml version="1.0" encoding="utf-8"?>
<Properties xmlns="http://schemas.openxmlformats.org/officeDocument/2006/custom-properties" xmlns:vt="http://schemas.openxmlformats.org/officeDocument/2006/docPropsVTypes"/>
</file>