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APEX MANAGED SERVICES LTD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INFORMATION SECURITY POLICY SUMMARY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99BB"/>
                <w:sz w:val="14"/>
                <w:szCs w:val="14"/>
              </w:rPr>
              <w:t xml:space="preserve">ISO/IEC 27001:2022  |  Available to all staff, clients, and interested parties  |  02 April 2026</w:t>
            </w:r>
          </w:p>
        </w:tc>
      </w:tr>
    </w:tbl>
    <w:p>
      <w:pPr>
        <w:pBdr>
          <w:left w:val="single" w:color="2E75B6" w:sz="24" w:space="12"/>
        </w:pBdr>
        <w:spacing w:after="60" w:before="160"/>
        <w:ind w:left="20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Apex Managed Services Ltd is committed to protecting the </w:t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confidentiality, integrity, and availability</w:t>
      </w:r>
      <w:r>
        <w:rPr>
          <w:rFonts w:ascii="Arial" w:cs="Arial" w:eastAsia="Arial" w:hAnsi="Arial"/>
          <w:color w:val="1F3864"/>
          <w:sz w:val="21"/>
          <w:szCs w:val="21"/>
        </w:rPr>
        <w:t xml:space="preserve"> of all information entrusted to us — by our clients, our partners, and the individuals whose data we handle.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We operate an Information Security Management System (ISMS) certified to ISO/IEC 27001:2022 as evidence of our commitment to this obligation.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Respond to incidents promptly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We maintain tested incident response capability. Personal data breaches are notified to the ICO within 72 hours. Affected clients are notified as soon as confirmed.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👥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Ensure everyone understands their role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All personnel receive security awareness training at onboarding and annually. Compliance with our security policies is a condition of employment and engagement.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📈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Continually improve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We review our ISMS performance through regular KPI monitoring, internal audits, and management reviews — and we act on what we find.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4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Manage risk systematically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We identify, assess, and treat information security risks proportionate to their potential impact, applying controls aligned to ISO/IEC 27001:2022 Annex A.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📋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Comply with all applicable laws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We meet our obligations under UK GDPR, the Data Protection Act 2018, the Network and Information Systems Regulations 2018, and all applicable client contractual security requirements.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Respond to incidents promptly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95959"/>
                      <w:sz w:val="18"/>
                      <w:szCs w:val="18"/>
                    </w:rPr>
                    <w:t xml:space="preserve">We maintain tested incident response capability. Personal data breaches are notified to the ICO within 72 hours. Affected clients are notified as soon as confirmed.</w:t>
                  </w:r>
                </w:p>
              </w:tc>
            </w:tr>
          </w:tbl>
          <w:p/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Scope: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This policy applies to all employees and contractors of Apex Managed Services Ltd; to all information assets and cloud systems used in our service delivery (Microsoft Azure, M365, Defender, Sentinel, Entra ID); and to all client environments managed under formal service agreements. Our full scope statement is available in ISMS-SCO-001.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AUTHORISED BY TOP MANAGEMENT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This summary reflects the Information Security Policy of Apex Managed Services Ltd (ISMS-POL-001 v1.0, dated 02 April 2026).</w:t>
            </w:r>
          </w:p>
          <w:p>
            <w:pPr>
              <w:tabs>
                <w:tab w:val="center" w:pos="4680"/>
              </w:tabs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Signed: _______________________________________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Date: _______________________________</w:t>
            </w:r>
          </w:p>
          <w:p>
            <w:pPr>
              <w:tabs>
                <w:tab w:val="center" w:pos="4680"/>
              </w:tabs>
              <w:spacing w:after="6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Name: _________________________________________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	Role: Managing Director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The full Information Security Policy (ISMS-POL-001) is available to all personnel and to interested parties on request.  </w:t>
            </w: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Security enquiries: ism@apexmanagedservicesltd.co.uk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Policy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Clause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ISMS-POL-001-SUM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 April 2026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PUBLIC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ISMS-POL-001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5.2(g)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center" w:pos="4680"/>
        <w:tab w:val="right" w:pos="9026"/>
      </w:tabs>
      <w:spacing w:before="80"/>
    </w:pPr>
    <w:r>
      <w:rPr>
        <w:rFonts w:ascii="Arial" w:cs="Arial" w:eastAsia="Arial" w:hAnsi="Arial"/>
        <w:color w:val="AAAAAA"/>
        <w:sz w:val="13"/>
        <w:szCs w:val="13"/>
      </w:rPr>
      <w:t xml:space="preserve">ISO/IEC 27001:2022 Certified ISMS  |  Clause 5.2(g)</w:t>
    </w:r>
    <w:r>
      <w:rPr>
        <w:rFonts w:ascii="Arial" w:cs="Arial" w:eastAsia="Arial" w:hAnsi="Arial"/>
        <w:color w:val="AAAAAA"/>
        <w:sz w:val="13"/>
        <w:szCs w:val="13"/>
      </w:rPr>
      <w:t xml:space="preserve">	v1.0  |  02 April 2026</w:t>
    </w:r>
    <w:r>
      <w:rPr>
        <w:rFonts w:ascii="Arial" w:cs="Arial" w:eastAsia="Arial" w:hAnsi="Arial"/>
        <w:color w:val="AAAAAA"/>
        <w:sz w:val="13"/>
        <w:szCs w:val="13"/>
      </w:rPr>
      <w:t xml:space="preserve">	Full policy: ISMS-POL-001  (available on request)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Apex Managed Services Ltd  —  Information Security Policy Summary</w:t>
    </w:r>
    <w:r>
      <w:rPr>
        <w:rFonts w:ascii="Arial" w:cs="Arial" w:eastAsia="Arial" w:hAnsi="Arial"/>
        <w:b/>
        <w:bCs/>
        <w:color w:val="2E75B6"/>
        <w:sz w:val="14"/>
        <w:szCs w:val="14"/>
      </w:rPr>
      <w:t xml:space="preserve">	ISMS-POL-001-SUM  |  PUBLIC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2026-04-03T09:35:46.166Z</dcterms:created>
  <dcterms:modified xsi:type="dcterms:W3CDTF">2026-04-03T09:35:46.167Z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