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260"/>
        <w:tblBorders>
          <w:top w:val="single" w:color="auto" w:sz="4"/>
          <w:left w:val="single" w:color="auto" w:sz="4"/>
          <w:bottom w:val="single" w:color="auto" w:sz="4"/>
          <w:right w:val="single" w:color="auto" w:sz="4"/>
          <w:insideH w:val="single" w:color="auto" w:sz="4"/>
          <w:insideV w:val="single" w:color="auto" w:sz="4"/>
        </w:tblBorders>
      </w:tblPr>
      <w:tblGrid>
        <w:gridCol w:w="2200"/>
        <w:gridCol w:w="3360"/>
        <w:gridCol w:w="1800"/>
        <w:gridCol w:w="1900"/>
      </w:tblGrid>
      <w:tr>
        <w:tc>
          <w:tcPr>
            <w:tcW w:type="dxa" w:w="2200"/>
            <w:gridSpan w:val="1"/>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Document Reference</w:t>
            </w:r>
          </w:p>
        </w:tc>
        <w:tc>
          <w:tcPr>
            <w:tcW w:type="dxa" w:w="336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ISMS-SCO-001</w:t>
            </w:r>
          </w:p>
        </w:tc>
        <w:tc>
          <w:tcPr>
            <w:tcW w:type="dxa" w:w="1800"/>
            <w:gridSpan w:val="1"/>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Version</w:t>
            </w:r>
          </w:p>
        </w:tc>
        <w:tc>
          <w:tcPr>
            <w:tcW w:type="dxa" w:w="19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1.0</w:t>
            </w:r>
          </w:p>
        </w:tc>
      </w:tr>
      <w:tr>
        <w:tc>
          <w:tcPr>
            <w:tcW w:type="dxa" w:w="2200"/>
            <w:gridSpan w:val="1"/>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Document Title</w:t>
            </w:r>
          </w:p>
        </w:tc>
        <w:tc>
          <w:tcPr>
            <w:tcW w:type="dxa" w:w="336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ISMS Scope Statement</w:t>
            </w:r>
          </w:p>
        </w:tc>
        <w:tc>
          <w:tcPr>
            <w:tcW w:type="dxa" w:w="1800"/>
            <w:gridSpan w:val="1"/>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Date</w:t>
            </w:r>
          </w:p>
        </w:tc>
        <w:tc>
          <w:tcPr>
            <w:tcW w:type="dxa" w:w="19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02 April 2026</w:t>
            </w:r>
          </w:p>
        </w:tc>
      </w:tr>
      <w:tr>
        <w:tc>
          <w:tcPr>
            <w:tcW w:type="dxa" w:w="2200"/>
            <w:gridSpan w:val="1"/>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Organisation</w:t>
            </w:r>
          </w:p>
        </w:tc>
        <w:tc>
          <w:tcPr>
            <w:tcW w:type="dxa" w:w="336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Apex Managed Services Ltd</w:t>
            </w:r>
          </w:p>
        </w:tc>
        <w:tc>
          <w:tcPr>
            <w:tcW w:type="dxa" w:w="1800"/>
            <w:gridSpan w:val="1"/>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Classification</w:t>
            </w:r>
          </w:p>
        </w:tc>
        <w:tc>
          <w:tcPr>
            <w:tcW w:type="dxa" w:w="1900"/>
            <w:gridSpan w:val="1"/>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INTERNAL</w:t>
            </w:r>
          </w:p>
        </w:tc>
      </w:tr>
      <w:tr>
        <w:tc>
          <w:tcPr>
            <w:tcW w:type="dxa" w:w="2200"/>
            <w:gridSpan w:val="1"/>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Document Owner</w:t>
            </w:r>
          </w:p>
        </w:tc>
        <w:tc>
          <w:tcPr>
            <w:tcW w:type="dxa" w:w="336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Information Security Manager</w:t>
            </w:r>
          </w:p>
        </w:tc>
        <w:tc>
          <w:tcPr>
            <w:tcW w:type="dxa" w:w="1800"/>
            <w:gridSpan w:val="1"/>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ISO 27001:2022 Clause</w:t>
            </w:r>
          </w:p>
        </w:tc>
        <w:tc>
          <w:tcPr>
            <w:tcW w:type="dxa" w:w="19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4.3</w:t>
            </w:r>
          </w:p>
        </w:tc>
      </w:tr>
      <w:tr>
        <w:tc>
          <w:tcPr>
            <w:tcW w:type="dxa" w:w="2200"/>
            <w:gridSpan w:val="1"/>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Approved By</w:t>
            </w:r>
          </w:p>
        </w:tc>
        <w:tc>
          <w:tcPr>
            <w:tcW w:type="dxa" w:w="336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Managing Director — [Name]  |  Signature: ____________________  |  Date: ____________________</w:t>
            </w:r>
          </w:p>
        </w:tc>
        <w:tc>
          <w:tcPr>
            <w:tcW w:type="dxa" w:w="1800"/>
            <w:gridSpan w:val="1"/>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Status</w:t>
            </w:r>
          </w:p>
        </w:tc>
        <w:tc>
          <w:tcPr>
            <w:tcW w:type="dxa" w:w="1900"/>
            <w:gridSpan w:val="1"/>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Approved</w:t>
            </w:r>
          </w:p>
        </w:tc>
      </w:tr>
    </w:tbl>
    <w:p>
      <w:pPr>
        <w:spacing w:after="160" w:before="80"/>
      </w:pPr>
    </w:p>
    <w:tbl>
      <w:tblPr>
        <w:tblW w:type="dxa" w:w="9260"/>
        <w:tblBorders>
          <w:top w:val="single" w:color="auto" w:sz="4"/>
          <w:left w:val="single" w:color="auto" w:sz="4"/>
          <w:bottom w:val="single" w:color="auto" w:sz="4"/>
          <w:right w:val="single" w:color="auto" w:sz="4"/>
          <w:insideH w:val="single" w:color="auto" w:sz="4"/>
          <w:insideV w:val="single" w:color="auto" w:sz="4"/>
        </w:tblBorders>
      </w:tblPr>
      <w:tblGrid>
        <w:gridCol w:w="9260"/>
      </w:tblGrid>
      <w:tr>
        <w:tc>
          <w:tcPr>
            <w:tcBorders>
              <w:top w:val="single" w:color="2E75B6" w:sz="6"/>
              <w:left w:val="single" w:color="2E75B6" w:sz="6"/>
              <w:bottom w:val="single" w:color="2E75B6" w:sz="6"/>
              <w:right w:val="single" w:color="2E75B6" w:sz="6"/>
            </w:tcBorders>
            <w:shd w:fill="1F3864" w:val="clear"/>
            <w:tcMar>
              <w:top w:type="dxa" w:w="140"/>
              <w:left w:type="dxa" w:w="240"/>
              <w:bottom w:type="dxa" w:w="140"/>
              <w:right w:type="dxa" w:w="240"/>
            </w:tcMar>
          </w:tcPr>
          <w:p>
            <w:pPr>
              <w:spacing w:after="80" w:before="0"/>
              <w:jc w:val="center"/>
            </w:pPr>
            <w:r>
              <w:rPr>
                <w:rFonts w:ascii="Arial" w:cs="Arial" w:eastAsia="Arial" w:hAnsi="Arial"/>
                <w:b/>
                <w:bCs/>
                <w:color w:val="FFFFFF"/>
                <w:sz w:val="26"/>
                <w:szCs w:val="26"/>
              </w:rPr>
              <w:t xml:space="preserve">ISMS SCOPE STATEMENT</w:t>
            </w:r>
          </w:p>
          <w:p>
            <w:pPr>
              <w:spacing w:after="0" w:before="0"/>
              <w:jc w:val="center"/>
            </w:pPr>
            <w:r>
              <w:rPr>
                <w:rFonts w:ascii="Arial" w:cs="Arial" w:eastAsia="Arial" w:hAnsi="Arial"/>
                <w:color w:val="D6E4F0"/>
                <w:sz w:val="16"/>
                <w:szCs w:val="16"/>
              </w:rPr>
              <w:t xml:space="preserve">ISO/IEC 27001:2022 — Clause 4.3  |  Documented Information</w:t>
            </w:r>
          </w:p>
        </w:tc>
      </w:tr>
      <w:tr>
        <w:tc>
          <w:tcPr>
            <w:tcBorders>
              <w:top w:val="single" w:color="2E75B6" w:sz="6"/>
              <w:left w:val="single" w:color="2E75B6" w:sz="6"/>
              <w:bottom w:val="single" w:color="2E75B6" w:sz="6"/>
              <w:right w:val="single" w:color="2E75B6" w:sz="6"/>
            </w:tcBorders>
            <w:shd w:fill="D6E4F0" w:val="clear"/>
            <w:tcMar>
              <w:top w:type="dxa" w:w="180"/>
              <w:left w:type="dxa" w:w="240"/>
              <w:bottom w:type="dxa" w:w="180"/>
              <w:right w:type="dxa" w:w="240"/>
            </w:tcMar>
          </w:tcPr>
          <w:p>
            <w:pPr>
              <w:spacing w:after="120" w:before="0"/>
            </w:pPr>
            <w:r>
              <w:rPr>
                <w:rFonts w:ascii="Arial" w:cs="Arial" w:eastAsia="Arial" w:hAnsi="Arial"/>
                <w:color w:val="1F3864"/>
                <w:sz w:val="22"/>
                <w:szCs w:val="22"/>
              </w:rPr>
              <w:t xml:space="preserve">The Information Security Management System (ISMS) of  </w:t>
            </w:r>
            <w:r>
              <w:rPr>
                <w:rFonts w:ascii="Arial" w:cs="Arial" w:eastAsia="Arial" w:hAnsi="Arial"/>
                <w:b/>
                <w:bCs/>
                <w:color w:val="1F3864"/>
                <w:sz w:val="22"/>
                <w:szCs w:val="22"/>
              </w:rPr>
              <w:t xml:space="preserve">Apex Managed Services Ltd</w:t>
            </w:r>
            <w:r>
              <w:rPr>
                <w:rFonts w:ascii="Arial" w:cs="Arial" w:eastAsia="Arial" w:hAnsi="Arial"/>
                <w:color w:val="1F3864"/>
                <w:sz w:val="22"/>
                <w:szCs w:val="22"/>
              </w:rPr>
              <w:t xml:space="preserve">  encompasses the:</w:t>
            </w:r>
          </w:p>
          <w:p>
            <w:pPr>
              <w:spacing w:after="60" w:before="60"/>
            </w:pPr>
            <w:r>
              <w:rPr>
                <w:rFonts w:ascii="Arial" w:cs="Arial" w:eastAsia="Arial" w:hAnsi="Arial"/>
                <w:color w:val="2E75B6"/>
                <w:sz w:val="22"/>
                <w:szCs w:val="22"/>
              </w:rPr>
              <w:t xml:space="preserve">—  </w:t>
            </w:r>
            <w:r>
              <w:rPr>
                <w:rFonts w:ascii="Arial" w:cs="Arial" w:eastAsia="Arial" w:hAnsi="Arial"/>
                <w:b/>
                <w:bCs/>
                <w:color w:val="1F3864"/>
                <w:sz w:val="22"/>
                <w:szCs w:val="22"/>
              </w:rPr>
              <w:t xml:space="preserve">provision of IT managed services, cyber security advisory, and infrastructure support</w:t>
            </w:r>
            <w:r>
              <w:rPr>
                <w:rFonts w:ascii="Arial" w:cs="Arial" w:eastAsia="Arial" w:hAnsi="Arial"/>
                <w:color w:val="1F3864"/>
                <w:sz w:val="22"/>
                <w:szCs w:val="22"/>
              </w:rPr>
              <w:t xml:space="preserve"> to clients located in the </w:t>
            </w:r>
            <w:r>
              <w:rPr>
                <w:rFonts w:ascii="Arial" w:cs="Arial" w:eastAsia="Arial" w:hAnsi="Arial"/>
                <w:b/>
                <w:bCs/>
                <w:color w:val="1F3864"/>
                <w:sz w:val="22"/>
                <w:szCs w:val="22"/>
              </w:rPr>
              <w:t xml:space="preserve">United Kingdom and European Union</w:t>
            </w:r>
            <w:r>
              <w:rPr>
                <w:rFonts w:ascii="Arial" w:cs="Arial" w:eastAsia="Arial" w:hAnsi="Arial"/>
                <w:color w:val="1F3864"/>
                <w:sz w:val="22"/>
                <w:szCs w:val="22"/>
              </w:rPr>
              <w:t xml:space="preserve">;</w:t>
            </w:r>
          </w:p>
          <w:p>
            <w:pPr>
              <w:spacing w:after="60" w:before="60"/>
            </w:pPr>
            <w:r>
              <w:rPr>
                <w:rFonts w:ascii="Arial" w:cs="Arial" w:eastAsia="Arial" w:hAnsi="Arial"/>
                <w:color w:val="1F3864"/>
                <w:sz w:val="22"/>
                <w:szCs w:val="22"/>
              </w:rPr>
              <w:t xml:space="preserve">—  delivered by </w:t>
            </w:r>
            <w:r>
              <w:rPr>
                <w:rFonts w:ascii="Arial" w:cs="Arial" w:eastAsia="Arial" w:hAnsi="Arial"/>
                <w:b/>
                <w:bCs/>
                <w:color w:val="1F3864"/>
                <w:sz w:val="22"/>
                <w:szCs w:val="22"/>
              </w:rPr>
              <w:t xml:space="preserve">all personnel (employees and contractors)</w:t>
            </w:r>
            <w:r>
              <w:rPr>
                <w:rFonts w:ascii="Arial" w:cs="Arial" w:eastAsia="Arial" w:hAnsi="Arial"/>
                <w:color w:val="1F3864"/>
                <w:sz w:val="22"/>
                <w:szCs w:val="22"/>
              </w:rPr>
              <w:t xml:space="preserve"> operating from </w:t>
            </w:r>
            <w:r>
              <w:rPr>
                <w:rFonts w:ascii="Arial" w:cs="Arial" w:eastAsia="Arial" w:hAnsi="Arial"/>
                <w:b/>
                <w:bCs/>
                <w:color w:val="1F3864"/>
                <w:sz w:val="22"/>
                <w:szCs w:val="22"/>
              </w:rPr>
              <w:t xml:space="preserve">remote UK-based working environments and client sites</w:t>
            </w:r>
            <w:r>
              <w:rPr>
                <w:rFonts w:ascii="Arial" w:cs="Arial" w:eastAsia="Arial" w:hAnsi="Arial"/>
                <w:color w:val="1F3864"/>
                <w:sz w:val="22"/>
                <w:szCs w:val="22"/>
              </w:rPr>
              <w:t xml:space="preserve"> across the United Kingdom and European Union;</w:t>
            </w:r>
          </w:p>
          <w:p>
            <w:pPr>
              <w:spacing w:after="60" w:before="60"/>
            </w:pPr>
            <w:r>
              <w:rPr>
                <w:rFonts w:ascii="Arial" w:cs="Arial" w:eastAsia="Arial" w:hAnsi="Arial"/>
                <w:color w:val="1F3864"/>
                <w:sz w:val="22"/>
                <w:szCs w:val="22"/>
              </w:rPr>
              <w:t xml:space="preserve">—  utilising </w:t>
            </w:r>
            <w:r>
              <w:rPr>
                <w:rFonts w:ascii="Arial" w:cs="Arial" w:eastAsia="Arial" w:hAnsi="Arial"/>
                <w:b/>
                <w:bCs/>
                <w:color w:val="1F3864"/>
                <w:sz w:val="22"/>
                <w:szCs w:val="22"/>
              </w:rPr>
              <w:t xml:space="preserve">cloud-hosted infrastructure and SaaS platforms</w:t>
            </w:r>
            <w:r>
              <w:rPr>
                <w:rFonts w:ascii="Arial" w:cs="Arial" w:eastAsia="Arial" w:hAnsi="Arial"/>
                <w:color w:val="1F3864"/>
                <w:sz w:val="22"/>
                <w:szCs w:val="22"/>
              </w:rPr>
              <w:t xml:space="preserve"> including Microsoft Azure, Microsoft 365, Microsoft Defender for Endpoint, Microsoft Defender for Cloud, Microsoft Sentinel, and Microsoft Entra ID.</w:t>
            </w:r>
          </w:p>
          <w:p>
            <w:pPr>
              <w:spacing w:after="80" w:before="60"/>
            </w:pPr>
          </w:p>
          <w:p>
            <w:pPr>
              <w:spacing w:after="0" w:before="0"/>
            </w:pPr>
            <w:r>
              <w:rPr>
                <w:rFonts w:ascii="Arial" w:cs="Arial" w:eastAsia="Arial" w:hAnsi="Arial"/>
                <w:b/>
                <w:bCs/>
                <w:color w:val="C00000"/>
                <w:sz w:val="22"/>
                <w:szCs w:val="22"/>
              </w:rPr>
              <w:t xml:space="preserve">Explicitly excluded from scope:  </w:t>
            </w:r>
            <w:r>
              <w:rPr>
                <w:rFonts w:ascii="Arial" w:cs="Arial" w:eastAsia="Arial" w:hAnsi="Arial"/>
                <w:color w:val="404040"/>
                <w:sz w:val="22"/>
                <w:szCs w:val="22"/>
              </w:rPr>
              <w:t xml:space="preserve">client-owned and client-operated systems not subject to a formal managed service agreement with the organisation; physical premises and perimeter security (the organisation does not operate dedicated offices or data centres); and personal devices not enrolled under the organisation's MDM policy.</w:t>
            </w:r>
          </w:p>
        </w:tc>
      </w:tr>
    </w:tbl>
    <w:p>
      <w:pPr>
        <w:spacing w:after="120" w:before="120"/>
      </w:pPr>
    </w:p>
    <w:p>
      <w:pPr>
        <w:pStyle w:val="Heading1"/>
        <w:pBdr>
          <w:bottom w:val="single" w:color="2E75B6" w:sz="8" w:space="4"/>
        </w:pBdr>
        <w:spacing w:after="120" w:before="300"/>
      </w:pPr>
      <w:r>
        <w:rPr>
          <w:rFonts w:ascii="Arial" w:cs="Arial" w:eastAsia="Arial" w:hAnsi="Arial"/>
          <w:b/>
          <w:bCs/>
          <w:color w:val="1F3864"/>
          <w:sz w:val="30"/>
          <w:szCs w:val="30"/>
        </w:rPr>
        <w:t xml:space="preserve">1. Purpose of This Document</w:t>
      </w:r>
    </w:p>
    <w:p>
      <w:pPr>
        <w:spacing w:after="80" w:before="80"/>
        <w:jc w:val="left"/>
      </w:pPr>
      <w:r>
        <w:rPr>
          <w:rFonts w:ascii="Arial" w:cs="Arial" w:eastAsia="Arial" w:hAnsi="Arial"/>
          <w:b w:val="false"/>
          <w:bCs w:val="false"/>
          <w:color w:val="000000"/>
          <w:sz w:val="20"/>
          <w:szCs w:val="20"/>
        </w:rPr>
        <w:t xml:space="preserve">This document constitutes the standalone ISMS Scope Statement for Apex Managed Services Ltd as required by ISO/IEC 27001:2022 Clause 4.3. Clause 4.3 requires that the scope of the ISMS shall be available as documented information. This document serves that purpose.</w:t>
      </w:r>
    </w:p>
    <w:p>
      <w:pPr>
        <w:spacing w:after="60" w:before="60"/>
      </w:pPr>
    </w:p>
    <w:p>
      <w:pPr>
        <w:spacing w:after="80" w:before="80"/>
        <w:jc w:val="left"/>
      </w:pPr>
      <w:r>
        <w:rPr>
          <w:rFonts w:ascii="Arial" w:cs="Arial" w:eastAsia="Arial" w:hAnsi="Arial"/>
          <w:b w:val="false"/>
          <w:bCs w:val="false"/>
          <w:color w:val="000000"/>
          <w:sz w:val="20"/>
          <w:szCs w:val="20"/>
        </w:rPr>
        <w:t xml:space="preserve">The scope has been determined taking into account: the external and internal issues identified in ISMS-CTX-001 §3.3 and §3.4 (Clause 4.3(a)); the requirements of interested parties identified in ISMS-CTX-001 §4 (Clause 4.3(b)); and the interfaces and dependencies between activities performed by the organisation and those performed by other organisations, documented in ISMS-CTX-001 §5.3 and Section 4 of this document (Clause 4.3(c)).</w:t>
      </w:r>
    </w:p>
    <w:p>
      <w:pPr>
        <w:spacing w:after="60" w:before="60"/>
      </w:pPr>
    </w:p>
    <w:p>
      <w:pPr>
        <w:spacing w:after="80" w:before="80"/>
        <w:jc w:val="left"/>
      </w:pPr>
      <w:r>
        <w:rPr>
          <w:rFonts w:ascii="Arial" w:cs="Arial" w:eastAsia="Arial" w:hAnsi="Arial"/>
          <w:b w:val="false"/>
          <w:bCs w:val="false"/>
          <w:color w:val="000000"/>
          <w:sz w:val="20"/>
          <w:szCs w:val="20"/>
        </w:rPr>
        <w:t xml:space="preserve">This document is the authoritative scope statement for use by the certification body, internal auditors, and interested parties. It is reviewed at minimum annually as part of the ISMS management review cycle and whenever a material change to the organisation's operations, services, or context may affect scope boundaries.</w:t>
      </w:r>
    </w:p>
    <w:p>
      <w:pPr>
        <w:spacing w:after="80" w:before="100"/>
      </w:pPr>
    </w:p>
    <w:p>
      <w:pPr>
        <w:pStyle w:val="Heading1"/>
        <w:pBdr>
          <w:bottom w:val="single" w:color="2E75B6" w:sz="8" w:space="4"/>
        </w:pBdr>
        <w:spacing w:after="120" w:before="300"/>
      </w:pPr>
      <w:r>
        <w:rPr>
          <w:rFonts w:ascii="Arial" w:cs="Arial" w:eastAsia="Arial" w:hAnsi="Arial"/>
          <w:b/>
          <w:bCs/>
          <w:color w:val="1F3864"/>
          <w:sz w:val="30"/>
          <w:szCs w:val="30"/>
        </w:rPr>
        <w:t xml:space="preserve">2. Organisational Context</w:t>
      </w:r>
    </w:p>
    <w:tbl>
      <w:tblPr>
        <w:tblW w:type="dxa" w:w="9260"/>
        <w:tblBorders>
          <w:top w:val="single" w:color="auto" w:sz="4"/>
          <w:left w:val="single" w:color="auto" w:sz="4"/>
          <w:bottom w:val="single" w:color="auto" w:sz="4"/>
          <w:right w:val="single" w:color="auto" w:sz="4"/>
          <w:insideH w:val="single" w:color="auto" w:sz="4"/>
          <w:insideV w:val="single" w:color="auto" w:sz="4"/>
        </w:tblBorders>
      </w:tblPr>
      <w:tblGrid>
        <w:gridCol w:w="2600"/>
        <w:gridCol w:w="6660"/>
      </w:tblGrid>
      <w:tr>
        <w:tc>
          <w:tcPr>
            <w:tcW w:type="dxa" w:w="2600"/>
            <w:gridSpan w:val="1"/>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Attribute</w:t>
            </w:r>
          </w:p>
        </w:tc>
        <w:tc>
          <w:tcPr>
            <w:tcW w:type="dxa" w:w="6660"/>
            <w:gridSpan w:val="1"/>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Detail</w:t>
            </w:r>
          </w:p>
        </w:tc>
      </w:tr>
      <w:tr>
        <w:tc>
          <w:tcPr>
            <w:tcW w:type="dxa" w:w="26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bCs/>
                <w:color w:val="000000"/>
                <w:sz w:val="18"/>
                <w:szCs w:val="18"/>
              </w:rPr>
              <w:t xml:space="preserve">Legal Name</w:t>
            </w:r>
          </w:p>
        </w:tc>
        <w:tc>
          <w:tcPr>
            <w:tcW w:type="dxa" w:w="666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Apex Managed Services Ltd</w:t>
            </w:r>
          </w:p>
        </w:tc>
      </w:tr>
      <w:tr>
        <w:tc>
          <w:tcPr>
            <w:tcW w:type="dxa" w:w="26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000000"/>
                <w:sz w:val="18"/>
                <w:szCs w:val="18"/>
              </w:rPr>
              <w:t xml:space="preserve">Primary Business Activity</w:t>
            </w:r>
          </w:p>
        </w:tc>
        <w:tc>
          <w:tcPr>
            <w:tcW w:type="dxa" w:w="666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Provision of IT managed services, cyber security advisory and consultancy, and infrastructure support services.</w:t>
            </w:r>
          </w:p>
        </w:tc>
      </w:tr>
      <w:tr>
        <w:tc>
          <w:tcPr>
            <w:tcW w:type="dxa" w:w="26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bCs/>
                <w:color w:val="000000"/>
                <w:sz w:val="18"/>
                <w:szCs w:val="18"/>
              </w:rPr>
              <w:t xml:space="preserve">Organisation Size</w:t>
            </w:r>
          </w:p>
        </w:tc>
        <w:tc>
          <w:tcPr>
            <w:tcW w:type="dxa" w:w="666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1–10 employees and contractors (micro-organisation). All personnel are within scope.</w:t>
            </w:r>
          </w:p>
        </w:tc>
      </w:tr>
      <w:tr>
        <w:tc>
          <w:tcPr>
            <w:tcW w:type="dxa" w:w="26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000000"/>
                <w:sz w:val="18"/>
                <w:szCs w:val="18"/>
              </w:rPr>
              <w:t xml:space="preserve">Primary Jurisdiction</w:t>
            </w:r>
          </w:p>
        </w:tc>
        <w:tc>
          <w:tcPr>
            <w:tcW w:type="dxa" w:w="666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England and Wales. Subject to UK GDPR, Data Protection Act 2018, and NIS Regulations 2018.</w:t>
            </w:r>
          </w:p>
        </w:tc>
      </w:tr>
      <w:tr>
        <w:tc>
          <w:tcPr>
            <w:tcW w:type="dxa" w:w="26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bCs/>
                <w:color w:val="000000"/>
                <w:sz w:val="18"/>
                <w:szCs w:val="18"/>
              </w:rPr>
              <w:t xml:space="preserve">Client Geography</w:t>
            </w:r>
          </w:p>
        </w:tc>
        <w:tc>
          <w:tcPr>
            <w:tcW w:type="dxa" w:w="666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United Kingdom (primary client base); European Union (EU-based clients and data subjects subject to EU GDPR 2016/679 where applicable).</w:t>
            </w:r>
          </w:p>
        </w:tc>
      </w:tr>
      <w:tr>
        <w:tc>
          <w:tcPr>
            <w:tcW w:type="dxa" w:w="26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000000"/>
                <w:sz w:val="18"/>
                <w:szCs w:val="18"/>
              </w:rPr>
              <w:t xml:space="preserve">Client Sectors</w:t>
            </w:r>
          </w:p>
        </w:tc>
        <w:tc>
          <w:tcPr>
            <w:tcW w:type="dxa" w:w="666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Commercial organisations; public sector and government-adjacent; critical national infrastructure-adjacent organisations.</w:t>
            </w:r>
          </w:p>
        </w:tc>
      </w:tr>
      <w:tr>
        <w:tc>
          <w:tcPr>
            <w:tcW w:type="dxa" w:w="26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bCs/>
                <w:color w:val="000000"/>
                <w:sz w:val="18"/>
                <w:szCs w:val="18"/>
              </w:rPr>
              <w:t xml:space="preserve">Delivery Model</w:t>
            </w:r>
          </w:p>
        </w:tc>
        <w:tc>
          <w:tcPr>
            <w:tcW w:type="dxa" w:w="666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Remote-first (all personnel work from UK home locations or client sites); cloud-native service delivery via Microsoft Azure and M365 ecosystem; no dedicated physical office premises.</w:t>
            </w:r>
          </w:p>
        </w:tc>
      </w:tr>
      <w:tr>
        <w:tc>
          <w:tcPr>
            <w:tcW w:type="dxa" w:w="26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000000"/>
                <w:sz w:val="18"/>
                <w:szCs w:val="18"/>
              </w:rPr>
              <w:t xml:space="preserve">Certification Standard</w:t>
            </w:r>
          </w:p>
        </w:tc>
        <w:tc>
          <w:tcPr>
            <w:tcW w:type="dxa" w:w="666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ISO/IEC 27001:2022 — Information security, cybersecurity and privacy protection — Information security management systems — Requirements.</w:t>
            </w:r>
          </w:p>
        </w:tc>
      </w:tr>
      <w:tr>
        <w:tc>
          <w:tcPr>
            <w:tcW w:type="dxa" w:w="26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bCs/>
                <w:color w:val="000000"/>
                <w:sz w:val="18"/>
                <w:szCs w:val="18"/>
              </w:rPr>
              <w:t xml:space="preserve">Certification Stage</w:t>
            </w:r>
          </w:p>
        </w:tc>
        <w:tc>
          <w:tcPr>
            <w:tcW w:type="dxa" w:w="666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Initial certification — target date Q4 2026. Stage 1 (document review) and Stage 2 (site audit) to be conducted by UKAS-accredited certification body.</w:t>
            </w:r>
          </w:p>
        </w:tc>
      </w:tr>
    </w:tbl>
    <w:p>
      <w:pPr>
        <w:spacing w:after="80" w:before="100"/>
      </w:pPr>
    </w:p>
    <w:p>
      <w:pPr>
        <w:pStyle w:val="Heading1"/>
        <w:pBdr>
          <w:bottom w:val="single" w:color="2E75B6" w:sz="8" w:space="4"/>
        </w:pBdr>
        <w:spacing w:after="120" w:before="300"/>
      </w:pPr>
      <w:r>
        <w:rPr>
          <w:rFonts w:ascii="Arial" w:cs="Arial" w:eastAsia="Arial" w:hAnsi="Arial"/>
          <w:b/>
          <w:bCs/>
          <w:color w:val="1F3864"/>
          <w:sz w:val="30"/>
          <w:szCs w:val="30"/>
        </w:rPr>
        <w:t xml:space="preserve">3. Scope Boundaries and Applicability</w:t>
      </w:r>
    </w:p>
    <w:p>
      <w:pPr>
        <w:spacing w:after="80" w:before="80"/>
        <w:jc w:val="left"/>
      </w:pPr>
      <w:r>
        <w:rPr>
          <w:rFonts w:ascii="Arial" w:cs="Arial" w:eastAsia="Arial" w:hAnsi="Arial"/>
          <w:b w:val="false"/>
          <w:bCs w:val="false"/>
          <w:color w:val="000000"/>
          <w:sz w:val="20"/>
          <w:szCs w:val="20"/>
        </w:rPr>
        <w:t xml:space="preserve">The following table defines the boundaries of the ISMS scope across all relevant dimensions. Each dimension specifies what is included, what is excluded, and the basis for that determination. Inclusions and exclusions are informed by the external and internal context analysis in ISMS-CTX-001, interested party requirements, and the interfaces and dependencies assessed during scope determination.</w:t>
      </w:r>
    </w:p>
    <w:p>
      <w:pPr>
        <w:spacing w:after="60" w:before="60"/>
      </w:pPr>
    </w:p>
    <w:tbl>
      <w:tblPr>
        <w:tblW w:type="dxa" w:w="9260"/>
        <w:tblBorders>
          <w:top w:val="single" w:color="auto" w:sz="4"/>
          <w:left w:val="single" w:color="auto" w:sz="4"/>
          <w:bottom w:val="single" w:color="auto" w:sz="4"/>
          <w:right w:val="single" w:color="auto" w:sz="4"/>
          <w:insideH w:val="single" w:color="auto" w:sz="4"/>
          <w:insideV w:val="single" w:color="auto" w:sz="4"/>
        </w:tblBorders>
      </w:tblPr>
      <w:tblGrid>
        <w:gridCol w:w="1800"/>
        <w:gridCol w:w="3500"/>
        <w:gridCol w:w="2660"/>
        <w:gridCol w:w="1300"/>
      </w:tblGrid>
      <w:tr>
        <w:trPr>
          <w:tblHeader/>
        </w:trPr>
        <w:tc>
          <w:tcPr>
            <w:tcW w:type="dxa" w:w="1800"/>
            <w:gridSpan w:val="1"/>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Scope Dimension</w:t>
            </w:r>
          </w:p>
        </w:tc>
        <w:tc>
          <w:tcPr>
            <w:tcW w:type="dxa" w:w="3500"/>
            <w:gridSpan w:val="1"/>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Included</w:t>
            </w:r>
          </w:p>
        </w:tc>
        <w:tc>
          <w:tcPr>
            <w:tcW w:type="dxa" w:w="2660"/>
            <w:gridSpan w:val="1"/>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Excluded / Boundary Note</w:t>
            </w:r>
          </w:p>
        </w:tc>
        <w:tc>
          <w:tcPr>
            <w:tcW w:type="dxa" w:w="1300"/>
            <w:gridSpan w:val="1"/>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Status</w:t>
            </w:r>
          </w:p>
        </w:tc>
      </w:tr>
      <w:tr>
        <w:tc>
          <w:tcPr>
            <w:tcW w:type="dxa" w:w="18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jc w:val="left"/>
            </w:pPr>
            <w:r>
              <w:rPr>
                <w:rFonts w:ascii="Arial" w:cs="Arial" w:eastAsia="Arial" w:hAnsi="Arial"/>
                <w:b/>
                <w:bCs/>
                <w:color w:val="000000"/>
                <w:sz w:val="17"/>
                <w:szCs w:val="17"/>
              </w:rPr>
              <w:t xml:space="preserve">Service Activities</w:t>
            </w:r>
          </w:p>
        </w:tc>
        <w:tc>
          <w:tcPr>
            <w:tcW w:type="dxa" w:w="35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jc w:val="left"/>
            </w:pPr>
            <w:r>
              <w:rPr>
                <w:rFonts w:ascii="Arial" w:cs="Arial" w:eastAsia="Arial" w:hAnsi="Arial"/>
                <w:b w:val="false"/>
                <w:bCs w:val="false"/>
                <w:color w:val="000000"/>
                <w:sz w:val="16"/>
                <w:szCs w:val="16"/>
              </w:rPr>
              <w:t xml:space="preserve">Provision of IT managed services, cyber security advisory, security operations (Microsoft Defender, Sentinel, Entra ID), and infrastructure support to UK and EU-based clients.</w:t>
            </w:r>
          </w:p>
        </w:tc>
        <w:tc>
          <w:tcPr>
            <w:tcW w:type="dxa" w:w="266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jc w:val="left"/>
            </w:pPr>
            <w:r>
              <w:rPr>
                <w:rFonts w:ascii="Arial" w:cs="Arial" w:eastAsia="Arial" w:hAnsi="Arial"/>
                <w:b w:val="false"/>
                <w:bCs w:val="false"/>
                <w:color w:val="404040"/>
                <w:sz w:val="16"/>
                <w:szCs w:val="16"/>
              </w:rPr>
              <w:t xml:space="preserve">Advisory or consulting engagements conducted outside a formal managed service or security services agreement.</w:t>
            </w:r>
          </w:p>
        </w:tc>
        <w:tc>
          <w:tcPr>
            <w:tcW w:type="dxa" w:w="1300"/>
            <w:tcBorders>
              <w:top w:val="single" w:color="CCCCCC" w:sz="1"/>
              <w:left w:val="single" w:color="CCCCCC" w:sz="1"/>
              <w:bottom w:val="single" w:color="CCCCCC" w:sz="1"/>
              <w:right w:val="single" w:color="CCCCCC" w:sz="1"/>
            </w:tcBorders>
            <w:shd w:fill="70AD47" w:val="clear"/>
            <w:tcMar>
              <w:top w:type="dxa" w:w="80"/>
              <w:left w:type="dxa" w:w="80"/>
              <w:bottom w:type="dxa" w:w="80"/>
              <w:right w:type="dxa" w:w="80"/>
            </w:tcMar>
            <w:vAlign w:val="center"/>
          </w:tcPr>
          <w:p>
            <w:pPr>
              <w:jc w:val="center"/>
            </w:pPr>
            <w:r>
              <w:rPr>
                <w:rFonts w:ascii="Arial" w:cs="Arial" w:eastAsia="Arial" w:hAnsi="Arial"/>
                <w:b/>
                <w:bCs/>
                <w:color w:val="FFFFFF"/>
                <w:sz w:val="17"/>
                <w:szCs w:val="17"/>
              </w:rPr>
              <w:t xml:space="preserve">Included</w:t>
            </w:r>
          </w:p>
        </w:tc>
      </w:tr>
      <w:tr>
        <w:tc>
          <w:tcPr>
            <w:tcW w:type="dxa" w:w="18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bCs/>
                <w:color w:val="000000"/>
                <w:sz w:val="17"/>
                <w:szCs w:val="17"/>
              </w:rPr>
              <w:t xml:space="preserve">Organisational Units</w:t>
            </w:r>
          </w:p>
        </w:tc>
        <w:tc>
          <w:tcPr>
            <w:tcW w:type="dxa" w:w="35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6"/>
                <w:szCs w:val="16"/>
              </w:rPr>
              <w:t xml:space="preserve">All functions of Apex Managed Services Ltd that support or interact with the delivery of in-scope services, including technical delivery, commercial, and administrative functions.</w:t>
            </w:r>
          </w:p>
        </w:tc>
        <w:tc>
          <w:tcPr>
            <w:tcW w:type="dxa" w:w="26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404040"/>
                <w:sz w:val="16"/>
                <w:szCs w:val="16"/>
              </w:rPr>
              <w:t xml:space="preserve">No organisational units are excluded. The entire organisation falls within ISMS scope due to its small size and integrated operations.</w:t>
            </w:r>
          </w:p>
        </w:tc>
        <w:tc>
          <w:tcPr>
            <w:tcW w:type="dxa" w:w="1300"/>
            <w:tcBorders>
              <w:top w:val="single" w:color="CCCCCC" w:sz="1"/>
              <w:left w:val="single" w:color="CCCCCC" w:sz="1"/>
              <w:bottom w:val="single" w:color="CCCCCC" w:sz="1"/>
              <w:right w:val="single" w:color="CCCCCC" w:sz="1"/>
            </w:tcBorders>
            <w:shd w:fill="70AD47" w:val="clear"/>
            <w:tcMar>
              <w:top w:type="dxa" w:w="80"/>
              <w:left w:type="dxa" w:w="80"/>
              <w:bottom w:type="dxa" w:w="80"/>
              <w:right w:type="dxa" w:w="80"/>
            </w:tcMar>
            <w:vAlign w:val="center"/>
          </w:tcPr>
          <w:p>
            <w:pPr>
              <w:jc w:val="center"/>
            </w:pPr>
            <w:r>
              <w:rPr>
                <w:rFonts w:ascii="Arial" w:cs="Arial" w:eastAsia="Arial" w:hAnsi="Arial"/>
                <w:b/>
                <w:bCs/>
                <w:color w:val="FFFFFF"/>
                <w:sz w:val="17"/>
                <w:szCs w:val="17"/>
              </w:rPr>
              <w:t xml:space="preserve">Included</w:t>
            </w:r>
          </w:p>
        </w:tc>
      </w:tr>
      <w:tr>
        <w:tc>
          <w:tcPr>
            <w:tcW w:type="dxa" w:w="18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jc w:val="left"/>
            </w:pPr>
            <w:r>
              <w:rPr>
                <w:rFonts w:ascii="Arial" w:cs="Arial" w:eastAsia="Arial" w:hAnsi="Arial"/>
                <w:b/>
                <w:bCs/>
                <w:color w:val="000000"/>
                <w:sz w:val="17"/>
                <w:szCs w:val="17"/>
              </w:rPr>
              <w:t xml:space="preserve">Personnel</w:t>
            </w:r>
          </w:p>
        </w:tc>
        <w:tc>
          <w:tcPr>
            <w:tcW w:type="dxa" w:w="35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jc w:val="left"/>
            </w:pPr>
            <w:r>
              <w:rPr>
                <w:rFonts w:ascii="Arial" w:cs="Arial" w:eastAsia="Arial" w:hAnsi="Arial"/>
                <w:b w:val="false"/>
                <w:bCs w:val="false"/>
                <w:color w:val="000000"/>
                <w:sz w:val="16"/>
                <w:szCs w:val="16"/>
              </w:rPr>
              <w:t xml:space="preserve">All employees and contractors engaged by Apex Managed Services Ltd with access to in-scope information assets, systems, or client environments — including remote workers and client-site workers.</w:t>
            </w:r>
          </w:p>
        </w:tc>
        <w:tc>
          <w:tcPr>
            <w:tcW w:type="dxa" w:w="266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jc w:val="left"/>
            </w:pPr>
            <w:r>
              <w:rPr>
                <w:rFonts w:ascii="Arial" w:cs="Arial" w:eastAsia="Arial" w:hAnsi="Arial"/>
                <w:b w:val="false"/>
                <w:bCs w:val="false"/>
                <w:color w:val="404040"/>
                <w:sz w:val="16"/>
                <w:szCs w:val="16"/>
              </w:rPr>
              <w:t xml:space="preserve">Personal activities of personnel that do not involve organisational information assets or systems.</w:t>
            </w:r>
          </w:p>
        </w:tc>
        <w:tc>
          <w:tcPr>
            <w:tcW w:type="dxa" w:w="1300"/>
            <w:tcBorders>
              <w:top w:val="single" w:color="CCCCCC" w:sz="1"/>
              <w:left w:val="single" w:color="CCCCCC" w:sz="1"/>
              <w:bottom w:val="single" w:color="CCCCCC" w:sz="1"/>
              <w:right w:val="single" w:color="CCCCCC" w:sz="1"/>
            </w:tcBorders>
            <w:shd w:fill="70AD47" w:val="clear"/>
            <w:tcMar>
              <w:top w:type="dxa" w:w="80"/>
              <w:left w:type="dxa" w:w="80"/>
              <w:bottom w:type="dxa" w:w="80"/>
              <w:right w:type="dxa" w:w="80"/>
            </w:tcMar>
            <w:vAlign w:val="center"/>
          </w:tcPr>
          <w:p>
            <w:pPr>
              <w:jc w:val="center"/>
            </w:pPr>
            <w:r>
              <w:rPr>
                <w:rFonts w:ascii="Arial" w:cs="Arial" w:eastAsia="Arial" w:hAnsi="Arial"/>
                <w:b/>
                <w:bCs/>
                <w:color w:val="FFFFFF"/>
                <w:sz w:val="17"/>
                <w:szCs w:val="17"/>
              </w:rPr>
              <w:t xml:space="preserve">Included</w:t>
            </w:r>
          </w:p>
        </w:tc>
      </w:tr>
      <w:tr>
        <w:tc>
          <w:tcPr>
            <w:tcW w:type="dxa" w:w="18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bCs/>
                <w:color w:val="000000"/>
                <w:sz w:val="17"/>
                <w:szCs w:val="17"/>
              </w:rPr>
              <w:t xml:space="preserve">Locations — Remote Working</w:t>
            </w:r>
          </w:p>
        </w:tc>
        <w:tc>
          <w:tcPr>
            <w:tcW w:type="dxa" w:w="35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6"/>
                <w:szCs w:val="16"/>
              </w:rPr>
              <w:t xml:space="preserve">All UK-based remote working environments from which organisational or client systems are accessed. Security controls are applied to the device and logical access layer; the physical premises are not controlled by the organisation.</w:t>
            </w:r>
          </w:p>
        </w:tc>
        <w:tc>
          <w:tcPr>
            <w:tcW w:type="dxa" w:w="26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404040"/>
                <w:sz w:val="16"/>
                <w:szCs w:val="16"/>
              </w:rPr>
              <w:t xml:space="preserve">The physical security of remote working premises (private residences) is not within scope. Physical controls are addressed through endpoint security, clear screen/desk policy, and the remote working policy.</w:t>
            </w:r>
          </w:p>
        </w:tc>
        <w:tc>
          <w:tcPr>
            <w:tcW w:type="dxa" w:w="1300"/>
            <w:tcBorders>
              <w:top w:val="single" w:color="CCCCCC" w:sz="1"/>
              <w:left w:val="single" w:color="CCCCCC" w:sz="1"/>
              <w:bottom w:val="single" w:color="CCCCCC" w:sz="1"/>
              <w:right w:val="single" w:color="CCCCCC" w:sz="1"/>
            </w:tcBorders>
            <w:shd w:fill="70AD47" w:val="clear"/>
            <w:tcMar>
              <w:top w:type="dxa" w:w="80"/>
              <w:left w:type="dxa" w:w="80"/>
              <w:bottom w:type="dxa" w:w="80"/>
              <w:right w:type="dxa" w:w="80"/>
            </w:tcMar>
            <w:vAlign w:val="center"/>
          </w:tcPr>
          <w:p>
            <w:pPr>
              <w:jc w:val="center"/>
            </w:pPr>
            <w:r>
              <w:rPr>
                <w:rFonts w:ascii="Arial" w:cs="Arial" w:eastAsia="Arial" w:hAnsi="Arial"/>
                <w:b/>
                <w:bCs/>
                <w:color w:val="FFFFFF"/>
                <w:sz w:val="17"/>
                <w:szCs w:val="17"/>
              </w:rPr>
              <w:t xml:space="preserve">Included</w:t>
            </w:r>
          </w:p>
        </w:tc>
      </w:tr>
      <w:tr>
        <w:tc>
          <w:tcPr>
            <w:tcW w:type="dxa" w:w="18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jc w:val="left"/>
            </w:pPr>
            <w:r>
              <w:rPr>
                <w:rFonts w:ascii="Arial" w:cs="Arial" w:eastAsia="Arial" w:hAnsi="Arial"/>
                <w:b/>
                <w:bCs/>
                <w:color w:val="000000"/>
                <w:sz w:val="17"/>
                <w:szCs w:val="17"/>
              </w:rPr>
              <w:t xml:space="preserve">Locations — Client Sites</w:t>
            </w:r>
          </w:p>
        </w:tc>
        <w:tc>
          <w:tcPr>
            <w:tcW w:type="dxa" w:w="35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jc w:val="left"/>
            </w:pPr>
            <w:r>
              <w:rPr>
                <w:rFonts w:ascii="Arial" w:cs="Arial" w:eastAsia="Arial" w:hAnsi="Arial"/>
                <w:b w:val="false"/>
                <w:bCs w:val="false"/>
                <w:color w:val="000000"/>
                <w:sz w:val="16"/>
                <w:szCs w:val="16"/>
              </w:rPr>
              <w:t xml:space="preserve">Client sites in the United Kingdom and European Union where organisational personnel provide on-site managed services or security support.</w:t>
            </w:r>
          </w:p>
        </w:tc>
        <w:tc>
          <w:tcPr>
            <w:tcW w:type="dxa" w:w="266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jc w:val="left"/>
            </w:pPr>
            <w:r>
              <w:rPr>
                <w:rFonts w:ascii="Arial" w:cs="Arial" w:eastAsia="Arial" w:hAnsi="Arial"/>
                <w:b w:val="false"/>
                <w:bCs w:val="false"/>
                <w:color w:val="404040"/>
                <w:sz w:val="16"/>
                <w:szCs w:val="16"/>
              </w:rPr>
              <w:t xml:space="preserve">The physical security of client sites is the client's responsibility. Organisational obligations at client sites are governed by contractual arrangements.</w:t>
            </w:r>
          </w:p>
        </w:tc>
        <w:tc>
          <w:tcPr>
            <w:tcW w:type="dxa" w:w="1300"/>
            <w:tcBorders>
              <w:top w:val="single" w:color="CCCCCC" w:sz="1"/>
              <w:left w:val="single" w:color="CCCCCC" w:sz="1"/>
              <w:bottom w:val="single" w:color="CCCCCC" w:sz="1"/>
              <w:right w:val="single" w:color="CCCCCC" w:sz="1"/>
            </w:tcBorders>
            <w:shd w:fill="70AD47" w:val="clear"/>
            <w:tcMar>
              <w:top w:type="dxa" w:w="80"/>
              <w:left w:type="dxa" w:w="80"/>
              <w:bottom w:type="dxa" w:w="80"/>
              <w:right w:type="dxa" w:w="80"/>
            </w:tcMar>
            <w:vAlign w:val="center"/>
          </w:tcPr>
          <w:p>
            <w:pPr>
              <w:jc w:val="center"/>
            </w:pPr>
            <w:r>
              <w:rPr>
                <w:rFonts w:ascii="Arial" w:cs="Arial" w:eastAsia="Arial" w:hAnsi="Arial"/>
                <w:b/>
                <w:bCs/>
                <w:color w:val="FFFFFF"/>
                <w:sz w:val="17"/>
                <w:szCs w:val="17"/>
              </w:rPr>
              <w:t xml:space="preserve">Included</w:t>
            </w:r>
          </w:p>
        </w:tc>
      </w:tr>
      <w:tr>
        <w:tc>
          <w:tcPr>
            <w:tcW w:type="dxa" w:w="18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bCs/>
                <w:color w:val="000000"/>
                <w:sz w:val="17"/>
                <w:szCs w:val="17"/>
              </w:rPr>
              <w:t xml:space="preserve">Cloud Infrastructure — Organisational</w:t>
            </w:r>
          </w:p>
        </w:tc>
        <w:tc>
          <w:tcPr>
            <w:tcW w:type="dxa" w:w="35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6"/>
                <w:szCs w:val="16"/>
              </w:rPr>
              <w:t xml:space="preserve">Microsoft Azure tenants, Microsoft 365 (M365), Microsoft Entra ID, Microsoft Defender for Endpoint, Microsoft Defender for Cloud, and Microsoft Sentinel instances operated and administered by the organisation for its own ISMS and service delivery.</w:t>
            </w:r>
          </w:p>
        </w:tc>
        <w:tc>
          <w:tcPr>
            <w:tcW w:type="dxa" w:w="26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404040"/>
                <w:sz w:val="16"/>
                <w:szCs w:val="16"/>
              </w:rPr>
              <w:t xml:space="preserve">Cloud infrastructure owned or operated by clients that is not managed under a formal service agreement with the organisation.</w:t>
            </w:r>
          </w:p>
        </w:tc>
        <w:tc>
          <w:tcPr>
            <w:tcW w:type="dxa" w:w="1300"/>
            <w:tcBorders>
              <w:top w:val="single" w:color="CCCCCC" w:sz="1"/>
              <w:left w:val="single" w:color="CCCCCC" w:sz="1"/>
              <w:bottom w:val="single" w:color="CCCCCC" w:sz="1"/>
              <w:right w:val="single" w:color="CCCCCC" w:sz="1"/>
            </w:tcBorders>
            <w:shd w:fill="70AD47" w:val="clear"/>
            <w:tcMar>
              <w:top w:type="dxa" w:w="80"/>
              <w:left w:type="dxa" w:w="80"/>
              <w:bottom w:type="dxa" w:w="80"/>
              <w:right w:type="dxa" w:w="80"/>
            </w:tcMar>
            <w:vAlign w:val="center"/>
          </w:tcPr>
          <w:p>
            <w:pPr>
              <w:jc w:val="center"/>
            </w:pPr>
            <w:r>
              <w:rPr>
                <w:rFonts w:ascii="Arial" w:cs="Arial" w:eastAsia="Arial" w:hAnsi="Arial"/>
                <w:b/>
                <w:bCs/>
                <w:color w:val="FFFFFF"/>
                <w:sz w:val="17"/>
                <w:szCs w:val="17"/>
              </w:rPr>
              <w:t xml:space="preserve">Included</w:t>
            </w:r>
          </w:p>
        </w:tc>
      </w:tr>
      <w:tr>
        <w:tc>
          <w:tcPr>
            <w:tcW w:type="dxa" w:w="18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jc w:val="left"/>
            </w:pPr>
            <w:r>
              <w:rPr>
                <w:rFonts w:ascii="Arial" w:cs="Arial" w:eastAsia="Arial" w:hAnsi="Arial"/>
                <w:b/>
                <w:bCs/>
                <w:color w:val="000000"/>
                <w:sz w:val="17"/>
                <w:szCs w:val="17"/>
              </w:rPr>
              <w:t xml:space="preserve">Information Assets</w:t>
            </w:r>
          </w:p>
        </w:tc>
        <w:tc>
          <w:tcPr>
            <w:tcW w:type="dxa" w:w="35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jc w:val="left"/>
            </w:pPr>
            <w:r>
              <w:rPr>
                <w:rFonts w:ascii="Arial" w:cs="Arial" w:eastAsia="Arial" w:hAnsi="Arial"/>
                <w:b w:val="false"/>
                <w:bCs w:val="false"/>
                <w:color w:val="000000"/>
                <w:sz w:val="16"/>
                <w:szCs w:val="16"/>
              </w:rPr>
              <w:t xml:space="preserve">All information assets used in the delivery of in-scope services: client configuration data, managed service credentials, threat intelligence, security monitoring data, internal ISMS documentation, commercial and contractual records, and personal data processed on behalf of clients.</w:t>
            </w:r>
          </w:p>
        </w:tc>
        <w:tc>
          <w:tcPr>
            <w:tcW w:type="dxa" w:w="266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jc w:val="left"/>
            </w:pPr>
            <w:r>
              <w:rPr>
                <w:rFonts w:ascii="Arial" w:cs="Arial" w:eastAsia="Arial" w:hAnsi="Arial"/>
                <w:b w:val="false"/>
                <w:bCs w:val="false"/>
                <w:color w:val="404040"/>
                <w:sz w:val="16"/>
                <w:szCs w:val="16"/>
              </w:rPr>
              <w:t xml:space="preserve">Information assets owned exclusively by clients and not accessed or processed by the organisation as part of service delivery.</w:t>
            </w:r>
          </w:p>
        </w:tc>
        <w:tc>
          <w:tcPr>
            <w:tcW w:type="dxa" w:w="1300"/>
            <w:tcBorders>
              <w:top w:val="single" w:color="CCCCCC" w:sz="1"/>
              <w:left w:val="single" w:color="CCCCCC" w:sz="1"/>
              <w:bottom w:val="single" w:color="CCCCCC" w:sz="1"/>
              <w:right w:val="single" w:color="CCCCCC" w:sz="1"/>
            </w:tcBorders>
            <w:shd w:fill="70AD47" w:val="clear"/>
            <w:tcMar>
              <w:top w:type="dxa" w:w="80"/>
              <w:left w:type="dxa" w:w="80"/>
              <w:bottom w:type="dxa" w:w="80"/>
              <w:right w:type="dxa" w:w="80"/>
            </w:tcMar>
            <w:vAlign w:val="center"/>
          </w:tcPr>
          <w:p>
            <w:pPr>
              <w:jc w:val="center"/>
            </w:pPr>
            <w:r>
              <w:rPr>
                <w:rFonts w:ascii="Arial" w:cs="Arial" w:eastAsia="Arial" w:hAnsi="Arial"/>
                <w:b/>
                <w:bCs/>
                <w:color w:val="FFFFFF"/>
                <w:sz w:val="17"/>
                <w:szCs w:val="17"/>
              </w:rPr>
              <w:t xml:space="preserve">Included</w:t>
            </w:r>
          </w:p>
        </w:tc>
      </w:tr>
      <w:tr>
        <w:tc>
          <w:tcPr>
            <w:tcW w:type="dxa" w:w="18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bCs/>
                <w:color w:val="000000"/>
                <w:sz w:val="17"/>
                <w:szCs w:val="17"/>
              </w:rPr>
              <w:t xml:space="preserve">Technology Assets</w:t>
            </w:r>
          </w:p>
        </w:tc>
        <w:tc>
          <w:tcPr>
            <w:tcW w:type="dxa" w:w="35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6"/>
                <w:szCs w:val="16"/>
              </w:rPr>
              <w:t xml:space="preserve">Endpoint devices (laptops and mobile devices) issued or enrolled under the organisation's MDM policy; cloud subscriptions; SaaS platforms used for service delivery; privileged access management tooling; and security tooling.</w:t>
            </w:r>
          </w:p>
        </w:tc>
        <w:tc>
          <w:tcPr>
            <w:tcW w:type="dxa" w:w="26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404040"/>
                <w:sz w:val="16"/>
                <w:szCs w:val="16"/>
              </w:rPr>
              <w:t xml:space="preserve">Personal devices (BYOD) not enrolled in the organisation's MDM policy. Devices enrolled under a BYOD policy are subject to the minimum security baseline defined in the remote working and BYOD policies.</w:t>
            </w:r>
          </w:p>
        </w:tc>
        <w:tc>
          <w:tcPr>
            <w:tcW w:type="dxa" w:w="1300"/>
            <w:tcBorders>
              <w:top w:val="single" w:color="CCCCCC" w:sz="1"/>
              <w:left w:val="single" w:color="CCCCCC" w:sz="1"/>
              <w:bottom w:val="single" w:color="CCCCCC" w:sz="1"/>
              <w:right w:val="single" w:color="CCCCCC" w:sz="1"/>
            </w:tcBorders>
            <w:shd w:fill="70AD47" w:val="clear"/>
            <w:tcMar>
              <w:top w:type="dxa" w:w="80"/>
              <w:left w:type="dxa" w:w="80"/>
              <w:bottom w:type="dxa" w:w="80"/>
              <w:right w:type="dxa" w:w="80"/>
            </w:tcMar>
            <w:vAlign w:val="center"/>
          </w:tcPr>
          <w:p>
            <w:pPr>
              <w:jc w:val="center"/>
            </w:pPr>
            <w:r>
              <w:rPr>
                <w:rFonts w:ascii="Arial" w:cs="Arial" w:eastAsia="Arial" w:hAnsi="Arial"/>
                <w:b/>
                <w:bCs/>
                <w:color w:val="FFFFFF"/>
                <w:sz w:val="17"/>
                <w:szCs w:val="17"/>
              </w:rPr>
              <w:t xml:space="preserve">Included</w:t>
            </w:r>
          </w:p>
        </w:tc>
      </w:tr>
      <w:tr>
        <w:tc>
          <w:tcPr>
            <w:tcW w:type="dxa" w:w="18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jc w:val="left"/>
            </w:pPr>
            <w:r>
              <w:rPr>
                <w:rFonts w:ascii="Arial" w:cs="Arial" w:eastAsia="Arial" w:hAnsi="Arial"/>
                <w:b/>
                <w:bCs/>
                <w:color w:val="000000"/>
                <w:sz w:val="17"/>
                <w:szCs w:val="17"/>
              </w:rPr>
              <w:t xml:space="preserve">Client-Owned Systems</w:t>
            </w:r>
          </w:p>
        </w:tc>
        <w:tc>
          <w:tcPr>
            <w:tcW w:type="dxa" w:w="35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jc w:val="left"/>
            </w:pPr>
            <w:r>
              <w:rPr>
                <w:rFonts w:ascii="Arial" w:cs="Arial" w:eastAsia="Arial" w:hAnsi="Arial"/>
                <w:b w:val="false"/>
                <w:bCs w:val="false"/>
                <w:color w:val="000000"/>
                <w:sz w:val="16"/>
                <w:szCs w:val="16"/>
              </w:rPr>
              <w:t xml:space="preserve">Client systems, networks, and applications managed under a formal managed service agreement are in scope to the extent that the organisation's controls govern how it accesses and handles those systems.</w:t>
            </w:r>
          </w:p>
        </w:tc>
        <w:tc>
          <w:tcPr>
            <w:tcW w:type="dxa" w:w="266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jc w:val="left"/>
            </w:pPr>
            <w:r>
              <w:rPr>
                <w:rFonts w:ascii="Arial" w:cs="Arial" w:eastAsia="Arial" w:hAnsi="Arial"/>
                <w:b w:val="false"/>
                <w:bCs w:val="false"/>
                <w:color w:val="404040"/>
                <w:sz w:val="16"/>
                <w:szCs w:val="16"/>
              </w:rPr>
              <w:t xml:space="preserve">Client-owned systems that are not subject to a formal managed service agreement are explicitly excluded from scope. The organisation has no control obligations over client systems it does not manage.</w:t>
            </w:r>
          </w:p>
        </w:tc>
        <w:tc>
          <w:tcPr>
            <w:tcW w:type="dxa" w:w="1300"/>
            <w:tcBorders>
              <w:top w:val="single" w:color="CCCCCC" w:sz="1"/>
              <w:left w:val="single" w:color="CCCCCC" w:sz="1"/>
              <w:bottom w:val="single" w:color="CCCCCC" w:sz="1"/>
              <w:right w:val="single" w:color="CCCCCC" w:sz="1"/>
            </w:tcBorders>
            <w:shd w:fill="C00000" w:val="clear"/>
            <w:tcMar>
              <w:top w:type="dxa" w:w="80"/>
              <w:left w:type="dxa" w:w="80"/>
              <w:bottom w:type="dxa" w:w="80"/>
              <w:right w:type="dxa" w:w="80"/>
            </w:tcMar>
            <w:vAlign w:val="center"/>
          </w:tcPr>
          <w:p>
            <w:pPr>
              <w:jc w:val="center"/>
            </w:pPr>
            <w:r>
              <w:rPr>
                <w:rFonts w:ascii="Arial" w:cs="Arial" w:eastAsia="Arial" w:hAnsi="Arial"/>
                <w:b/>
                <w:bCs/>
                <w:color w:val="FFFFFF"/>
                <w:sz w:val="17"/>
                <w:szCs w:val="17"/>
              </w:rPr>
              <w:t xml:space="preserve">Excluded</w:t>
            </w:r>
          </w:p>
        </w:tc>
      </w:tr>
      <w:tr>
        <w:tc>
          <w:tcPr>
            <w:tcW w:type="dxa" w:w="18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bCs/>
                <w:color w:val="000000"/>
                <w:sz w:val="17"/>
                <w:szCs w:val="17"/>
              </w:rPr>
              <w:t xml:space="preserve">Physical Premises</w:t>
            </w:r>
          </w:p>
        </w:tc>
        <w:tc>
          <w:tcPr>
            <w:tcW w:type="dxa" w:w="35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6"/>
                <w:szCs w:val="16"/>
              </w:rPr>
              <w:t xml:space="preserve">Not applicable — the organisation does not operate dedicated office premises, data centres, or secure facilities. Physical security is addressed through device-level controls and remote working policy.</w:t>
            </w:r>
          </w:p>
        </w:tc>
        <w:tc>
          <w:tcPr>
            <w:tcW w:type="dxa" w:w="26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404040"/>
                <w:sz w:val="16"/>
                <w:szCs w:val="16"/>
              </w:rPr>
              <w:t xml:space="preserve">Physical perimeter security, physical entry controls, and physical security monitoring are excluded from scope for the same reason. See ISMS-SoA-001 Annex A exclusions (A.7.1–A.7.4, A.7.6, A.7.12).</w:t>
            </w:r>
          </w:p>
        </w:tc>
        <w:tc>
          <w:tcPr>
            <w:tcW w:type="dxa" w:w="1300"/>
            <w:tcBorders>
              <w:top w:val="single" w:color="CCCCCC" w:sz="1"/>
              <w:left w:val="single" w:color="CCCCCC" w:sz="1"/>
              <w:bottom w:val="single" w:color="CCCCCC" w:sz="1"/>
              <w:right w:val="single" w:color="CCCCCC" w:sz="1"/>
            </w:tcBorders>
            <w:shd w:fill="C00000" w:val="clear"/>
            <w:tcMar>
              <w:top w:type="dxa" w:w="80"/>
              <w:left w:type="dxa" w:w="80"/>
              <w:bottom w:type="dxa" w:w="80"/>
              <w:right w:type="dxa" w:w="80"/>
            </w:tcMar>
            <w:vAlign w:val="center"/>
          </w:tcPr>
          <w:p>
            <w:pPr>
              <w:jc w:val="center"/>
            </w:pPr>
            <w:r>
              <w:rPr>
                <w:rFonts w:ascii="Arial" w:cs="Arial" w:eastAsia="Arial" w:hAnsi="Arial"/>
                <w:b/>
                <w:bCs/>
                <w:color w:val="FFFFFF"/>
                <w:sz w:val="17"/>
                <w:szCs w:val="17"/>
              </w:rPr>
              <w:t xml:space="preserve">Excluded</w:t>
            </w:r>
          </w:p>
        </w:tc>
      </w:tr>
      <w:tr>
        <w:tc>
          <w:tcPr>
            <w:tcW w:type="dxa" w:w="18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jc w:val="left"/>
            </w:pPr>
            <w:r>
              <w:rPr>
                <w:rFonts w:ascii="Arial" w:cs="Arial" w:eastAsia="Arial" w:hAnsi="Arial"/>
                <w:b/>
                <w:bCs/>
                <w:color w:val="000000"/>
                <w:sz w:val="17"/>
                <w:szCs w:val="17"/>
              </w:rPr>
              <w:t xml:space="preserve">Third-Party Hosted Systems</w:t>
            </w:r>
          </w:p>
        </w:tc>
        <w:tc>
          <w:tcPr>
            <w:tcW w:type="dxa" w:w="35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jc w:val="left"/>
            </w:pPr>
            <w:r>
              <w:rPr>
                <w:rFonts w:ascii="Arial" w:cs="Arial" w:eastAsia="Arial" w:hAnsi="Arial"/>
                <w:b w:val="false"/>
                <w:bCs w:val="false"/>
                <w:color w:val="000000"/>
                <w:sz w:val="16"/>
                <w:szCs w:val="16"/>
              </w:rPr>
              <w:t xml:space="preserve">Cloud platforms (Azure, M365) and SaaS services operated by third parties under a shared responsibility model are in scope to the extent that the organisation's configuration and usage obligations are applicable. The organisation's responsibilities under the shared responsibility model are documented in ISMS-OPS-001.</w:t>
            </w:r>
          </w:p>
        </w:tc>
        <w:tc>
          <w:tcPr>
            <w:tcW w:type="dxa" w:w="266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jc w:val="left"/>
            </w:pPr>
            <w:r>
              <w:rPr>
                <w:rFonts w:ascii="Arial" w:cs="Arial" w:eastAsia="Arial" w:hAnsi="Arial"/>
                <w:b w:val="false"/>
                <w:bCs w:val="false"/>
                <w:color w:val="404040"/>
                <w:sz w:val="16"/>
                <w:szCs w:val="16"/>
              </w:rPr>
              <w:t xml:space="preserve">The third-party provider's own infrastructure, data centres, and platform controls are excluded from scope — these are subject to the provider's own certifications and the shared responsibility model.</w:t>
            </w:r>
          </w:p>
        </w:tc>
        <w:tc>
          <w:tcPr>
            <w:tcW w:type="dxa" w:w="1300"/>
            <w:tcBorders>
              <w:top w:val="single" w:color="CCCCCC" w:sz="1"/>
              <w:left w:val="single" w:color="CCCCCC" w:sz="1"/>
              <w:bottom w:val="single" w:color="CCCCCC" w:sz="1"/>
              <w:right w:val="single" w:color="CCCCCC" w:sz="1"/>
            </w:tcBorders>
            <w:shd w:fill="70AD47" w:val="clear"/>
            <w:tcMar>
              <w:top w:type="dxa" w:w="80"/>
              <w:left w:type="dxa" w:w="80"/>
              <w:bottom w:type="dxa" w:w="80"/>
              <w:right w:type="dxa" w:w="80"/>
            </w:tcMar>
            <w:vAlign w:val="center"/>
          </w:tcPr>
          <w:p>
            <w:pPr>
              <w:jc w:val="center"/>
            </w:pPr>
            <w:r>
              <w:rPr>
                <w:rFonts w:ascii="Arial" w:cs="Arial" w:eastAsia="Arial" w:hAnsi="Arial"/>
                <w:b/>
                <w:bCs/>
                <w:color w:val="FFFFFF"/>
                <w:sz w:val="17"/>
                <w:szCs w:val="17"/>
              </w:rPr>
              <w:t xml:space="preserve">Included</w:t>
            </w:r>
          </w:p>
        </w:tc>
      </w:tr>
    </w:tbl>
    <w:p>
      <w:pPr>
        <w:spacing w:after="80" w:before="100"/>
      </w:pPr>
    </w:p>
    <w:p>
      <w:pPr>
        <w:pStyle w:val="Heading1"/>
        <w:pBdr>
          <w:bottom w:val="single" w:color="2E75B6" w:sz="8" w:space="4"/>
        </w:pBdr>
        <w:spacing w:after="120" w:before="300"/>
      </w:pPr>
      <w:r>
        <w:rPr>
          <w:rFonts w:ascii="Arial" w:cs="Arial" w:eastAsia="Arial" w:hAnsi="Arial"/>
          <w:b/>
          <w:bCs/>
          <w:color w:val="1F3864"/>
          <w:sz w:val="30"/>
          <w:szCs w:val="30"/>
        </w:rPr>
        <w:t xml:space="preserve">4. Interfaces and Dependencies with Other Organisations</w:t>
      </w:r>
    </w:p>
    <w:p>
      <w:pPr>
        <w:spacing w:after="80" w:before="80"/>
        <w:jc w:val="left"/>
      </w:pPr>
      <w:r>
        <w:rPr>
          <w:rFonts w:ascii="Arial" w:cs="Arial" w:eastAsia="Arial" w:hAnsi="Arial"/>
          <w:b w:val="false"/>
          <w:bCs w:val="false"/>
          <w:color w:val="000000"/>
          <w:sz w:val="20"/>
          <w:szCs w:val="20"/>
        </w:rPr>
        <w:t xml:space="preserve">In accordance with ISO 27001:2022 Clause 4.3(c), the following interfaces and dependencies between the organisation and external parties have been identified and considered in determining the ISMS scope:</w:t>
      </w:r>
    </w:p>
    <w:p>
      <w:pPr>
        <w:spacing w:after="60" w:before="60"/>
      </w:pPr>
    </w:p>
    <w:tbl>
      <w:tblPr>
        <w:tblW w:type="dxa" w:w="9260"/>
        <w:tblBorders>
          <w:top w:val="single" w:color="auto" w:sz="4"/>
          <w:left w:val="single" w:color="auto" w:sz="4"/>
          <w:bottom w:val="single" w:color="auto" w:sz="4"/>
          <w:right w:val="single" w:color="auto" w:sz="4"/>
          <w:insideH w:val="single" w:color="auto" w:sz="4"/>
          <w:insideV w:val="single" w:color="auto" w:sz="4"/>
        </w:tblBorders>
      </w:tblPr>
      <w:tblGrid>
        <w:gridCol w:w="2000"/>
        <w:gridCol w:w="3760"/>
        <w:gridCol w:w="3500"/>
      </w:tblGrid>
      <w:tr>
        <w:trPr>
          <w:tblHeader/>
        </w:trPr>
        <w:tc>
          <w:tcPr>
            <w:tcW w:type="dxa" w:w="2000"/>
            <w:gridSpan w:val="1"/>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External Organisation</w:t>
            </w:r>
          </w:p>
        </w:tc>
        <w:tc>
          <w:tcPr>
            <w:tcW w:type="dxa" w:w="3760"/>
            <w:gridSpan w:val="1"/>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Nature of Interface / Dependency</w:t>
            </w:r>
          </w:p>
        </w:tc>
        <w:tc>
          <w:tcPr>
            <w:tcW w:type="dxa" w:w="3500"/>
            <w:gridSpan w:val="1"/>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How Managed Within the ISMS</w:t>
            </w:r>
          </w:p>
        </w:tc>
      </w:tr>
      <w:tr>
        <w:tc>
          <w:tcPr>
            <w:tcW w:type="dxa" w:w="20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jc w:val="left"/>
            </w:pPr>
            <w:r>
              <w:rPr>
                <w:rFonts w:ascii="Arial" w:cs="Arial" w:eastAsia="Arial" w:hAnsi="Arial"/>
                <w:b/>
                <w:bCs/>
                <w:color w:val="000000"/>
                <w:sz w:val="17"/>
                <w:szCs w:val="17"/>
              </w:rPr>
              <w:t xml:space="preserve">Clients (UK &amp; EU)</w:t>
            </w:r>
          </w:p>
        </w:tc>
        <w:tc>
          <w:tcPr>
            <w:tcW w:type="dxa" w:w="376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jc w:val="left"/>
            </w:pPr>
            <w:r>
              <w:rPr>
                <w:rFonts w:ascii="Arial" w:cs="Arial" w:eastAsia="Arial" w:hAnsi="Arial"/>
                <w:b w:val="false"/>
                <w:bCs w:val="false"/>
                <w:color w:val="000000"/>
                <w:sz w:val="16"/>
                <w:szCs w:val="16"/>
              </w:rPr>
              <w:t xml:space="preserve">The organisation holds privileged access to client environments under managed service agreements and processes client data as a data processor. Client contractual requirements directly inform ISMS obligations.</w:t>
            </w:r>
          </w:p>
        </w:tc>
        <w:tc>
          <w:tcPr>
            <w:tcW w:type="dxa" w:w="35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jc w:val="left"/>
            </w:pPr>
            <w:r>
              <w:rPr>
                <w:rFonts w:ascii="Arial" w:cs="Arial" w:eastAsia="Arial" w:hAnsi="Arial"/>
                <w:b w:val="false"/>
                <w:bCs w:val="false"/>
                <w:color w:val="404040"/>
                <w:sz w:val="16"/>
                <w:szCs w:val="16"/>
              </w:rPr>
              <w:t xml:space="preserve">Contractual data processing agreements; access limited to in-scope systems per contract; security incident notification obligations per client SLA; UK and EU GDPR data processor obligations.</w:t>
            </w:r>
          </w:p>
        </w:tc>
      </w:tr>
      <w:tr>
        <w:tc>
          <w:tcPr>
            <w:tcW w:type="dxa" w:w="20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bCs/>
                <w:color w:val="000000"/>
                <w:sz w:val="17"/>
                <w:szCs w:val="17"/>
              </w:rPr>
              <w:t xml:space="preserve">Microsoft (Azure / M365 / Defender / Sentinel)</w:t>
            </w:r>
          </w:p>
        </w:tc>
        <w:tc>
          <w:tcPr>
            <w:tcW w:type="dxa" w:w="37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6"/>
                <w:szCs w:val="16"/>
              </w:rPr>
              <w:t xml:space="preserve">Primary cloud platform and security tooling provider. Shared responsibility model applies — Microsoft is responsible for platform security; the organisation is responsible for its configuration, access control, and data.</w:t>
            </w:r>
          </w:p>
        </w:tc>
        <w:tc>
          <w:tcPr>
            <w:tcW w:type="dxa" w:w="35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404040"/>
                <w:sz w:val="16"/>
                <w:szCs w:val="16"/>
              </w:rPr>
              <w:t xml:space="preserve">Microsoft Online Services Agreement and Data Processing Addendum; Defender for Cloud CSPM monitoring; shared responsibility matrix documented in ISMS-OPS-001 OPS-007.</w:t>
            </w:r>
          </w:p>
        </w:tc>
      </w:tr>
      <w:tr>
        <w:tc>
          <w:tcPr>
            <w:tcW w:type="dxa" w:w="20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jc w:val="left"/>
            </w:pPr>
            <w:r>
              <w:rPr>
                <w:rFonts w:ascii="Arial" w:cs="Arial" w:eastAsia="Arial" w:hAnsi="Arial"/>
                <w:b/>
                <w:bCs/>
                <w:color w:val="000000"/>
                <w:sz w:val="17"/>
                <w:szCs w:val="17"/>
              </w:rPr>
              <w:t xml:space="preserve">ISO 27001:2022 Certification Body</w:t>
            </w:r>
          </w:p>
        </w:tc>
        <w:tc>
          <w:tcPr>
            <w:tcW w:type="dxa" w:w="376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jc w:val="left"/>
            </w:pPr>
            <w:r>
              <w:rPr>
                <w:rFonts w:ascii="Arial" w:cs="Arial" w:eastAsia="Arial" w:hAnsi="Arial"/>
                <w:b w:val="false"/>
                <w:bCs w:val="false"/>
                <w:color w:val="000000"/>
                <w:sz w:val="16"/>
                <w:szCs w:val="16"/>
              </w:rPr>
              <w:t xml:space="preserve">External auditor conducting Stage 1 documentation review, Stage 2 site audit, and annual surveillance audits. The CB requires access to ISMS documentation and evidence within the defined scope.</w:t>
            </w:r>
          </w:p>
        </w:tc>
        <w:tc>
          <w:tcPr>
            <w:tcW w:type="dxa" w:w="35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jc w:val="left"/>
            </w:pPr>
            <w:r>
              <w:rPr>
                <w:rFonts w:ascii="Arial" w:cs="Arial" w:eastAsia="Arial" w:hAnsi="Arial"/>
                <w:b w:val="false"/>
                <w:bCs w:val="false"/>
                <w:color w:val="404040"/>
                <w:sz w:val="16"/>
                <w:szCs w:val="16"/>
              </w:rPr>
              <w:t xml:space="preserve">Certification agreement and scope confirmation; NDA in place; read-only access to ISMS evidence during audit windows; audit findings actioned per ISMS-CAR-001.</w:t>
            </w:r>
          </w:p>
        </w:tc>
      </w:tr>
      <w:tr>
        <w:tc>
          <w:tcPr>
            <w:tcW w:type="dxa" w:w="20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bCs/>
                <w:color w:val="000000"/>
                <w:sz w:val="17"/>
                <w:szCs w:val="17"/>
              </w:rPr>
              <w:t xml:space="preserve">IT / Security Subcontractors</w:t>
            </w:r>
          </w:p>
        </w:tc>
        <w:tc>
          <w:tcPr>
            <w:tcW w:type="dxa" w:w="37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6"/>
                <w:szCs w:val="16"/>
              </w:rPr>
              <w:t xml:space="preserve">External technical specialists engaged for specific delivery activities who may access in-scope systems or client environments under supervision.</w:t>
            </w:r>
          </w:p>
        </w:tc>
        <w:tc>
          <w:tcPr>
            <w:tcW w:type="dxa" w:w="35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404040"/>
                <w:sz w:val="16"/>
                <w:szCs w:val="16"/>
              </w:rPr>
              <w:t xml:space="preserve">Contractual security clauses and NDAs; privileged access via PAM with session recording; access revoked immediately on engagement end; supplier risk assessment per ISMS-SUP-001.</w:t>
            </w:r>
          </w:p>
        </w:tc>
      </w:tr>
      <w:tr>
        <w:tc>
          <w:tcPr>
            <w:tcW w:type="dxa" w:w="20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jc w:val="left"/>
            </w:pPr>
            <w:r>
              <w:rPr>
                <w:rFonts w:ascii="Arial" w:cs="Arial" w:eastAsia="Arial" w:hAnsi="Arial"/>
                <w:b/>
                <w:bCs/>
                <w:color w:val="000000"/>
                <w:sz w:val="17"/>
                <w:szCs w:val="17"/>
              </w:rPr>
              <w:t xml:space="preserve">ICO (Information Commissioner's Office)</w:t>
            </w:r>
          </w:p>
        </w:tc>
        <w:tc>
          <w:tcPr>
            <w:tcW w:type="dxa" w:w="376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jc w:val="left"/>
            </w:pPr>
            <w:r>
              <w:rPr>
                <w:rFonts w:ascii="Arial" w:cs="Arial" w:eastAsia="Arial" w:hAnsi="Arial"/>
                <w:b w:val="false"/>
                <w:bCs w:val="false"/>
                <w:color w:val="000000"/>
                <w:sz w:val="16"/>
                <w:szCs w:val="16"/>
              </w:rPr>
              <w:t xml:space="preserve">UK data protection supervisory authority. The organisation is subject to UK GDPR obligations and may be required to notify the ICO of personal data breaches within 72 hours.</w:t>
            </w:r>
          </w:p>
        </w:tc>
        <w:tc>
          <w:tcPr>
            <w:tcW w:type="dxa" w:w="35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jc w:val="left"/>
            </w:pPr>
            <w:r>
              <w:rPr>
                <w:rFonts w:ascii="Arial" w:cs="Arial" w:eastAsia="Arial" w:hAnsi="Arial"/>
                <w:b w:val="false"/>
                <w:bCs w:val="false"/>
                <w:color w:val="404040"/>
                <w:sz w:val="16"/>
                <w:szCs w:val="16"/>
              </w:rPr>
              <w:t xml:space="preserve">72-hour breach notification procedure (ISMS-IRP-001); compliance with ICO investigation requests; RoPA maintained (ISMS-RoPA-001).</w:t>
            </w:r>
          </w:p>
        </w:tc>
      </w:tr>
      <w:tr>
        <w:tc>
          <w:tcPr>
            <w:tcW w:type="dxa" w:w="20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bCs/>
                <w:color w:val="000000"/>
                <w:sz w:val="17"/>
                <w:szCs w:val="17"/>
              </w:rPr>
              <w:t xml:space="preserve">NCSC / Government Bodies</w:t>
            </w:r>
          </w:p>
        </w:tc>
        <w:tc>
          <w:tcPr>
            <w:tcW w:type="dxa" w:w="37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6"/>
                <w:szCs w:val="16"/>
              </w:rPr>
              <w:t xml:space="preserve">The NCSC provides threat intelligence, security guidance, and the Cyber Essentials scheme. Government bodies may impose sector-specific security requirements on clients served by the organisation.</w:t>
            </w:r>
          </w:p>
        </w:tc>
        <w:tc>
          <w:tcPr>
            <w:tcW w:type="dxa" w:w="35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404040"/>
                <w:sz w:val="16"/>
                <w:szCs w:val="16"/>
              </w:rPr>
              <w:t xml:space="preserve">NCSC Early Warning Service enrolment; Cyber Essentials alignment; advisory monitoring and dissemination to relevant staff (ISMS-SPT-001 §5).</w:t>
            </w:r>
          </w:p>
        </w:tc>
      </w:tr>
    </w:tbl>
    <w:p>
      <w:pPr>
        <w:spacing w:after="80" w:before="100"/>
      </w:pPr>
    </w:p>
    <w:p>
      <w:pPr>
        <w:pStyle w:val="Heading1"/>
        <w:pBdr>
          <w:bottom w:val="single" w:color="2E75B6" w:sz="8" w:space="4"/>
        </w:pBdr>
        <w:spacing w:after="120" w:before="300"/>
      </w:pPr>
      <w:r>
        <w:rPr>
          <w:rFonts w:ascii="Arial" w:cs="Arial" w:eastAsia="Arial" w:hAnsi="Arial"/>
          <w:b/>
          <w:bCs/>
          <w:color w:val="1F3864"/>
          <w:sz w:val="30"/>
          <w:szCs w:val="30"/>
        </w:rPr>
        <w:t xml:space="preserve">5. Key Scope Exclusions and Justifications</w:t>
      </w:r>
    </w:p>
    <w:p>
      <w:pPr>
        <w:spacing w:after="80" w:before="80"/>
        <w:jc w:val="left"/>
      </w:pPr>
      <w:r>
        <w:rPr>
          <w:rFonts w:ascii="Arial" w:cs="Arial" w:eastAsia="Arial" w:hAnsi="Arial"/>
          <w:b w:val="false"/>
          <w:bCs w:val="false"/>
          <w:color w:val="000000"/>
          <w:sz w:val="20"/>
          <w:szCs w:val="20"/>
        </w:rPr>
        <w:t xml:space="preserve">The following exclusions are explicitly stated to ensure clarity for the certification body and for internal audit purposes. All exclusions are justified on objective grounds related to the organisation's operating model.</w:t>
      </w:r>
    </w:p>
    <w:p>
      <w:pPr>
        <w:spacing w:after="60" w:before="60"/>
      </w:pPr>
    </w:p>
    <w:tbl>
      <w:tblPr>
        <w:tblW w:type="dxa" w:w="9260"/>
        <w:tblBorders>
          <w:top w:val="single" w:color="auto" w:sz="4"/>
          <w:left w:val="single" w:color="auto" w:sz="4"/>
          <w:bottom w:val="single" w:color="auto" w:sz="4"/>
          <w:right w:val="single" w:color="auto" w:sz="4"/>
          <w:insideH w:val="single" w:color="auto" w:sz="4"/>
          <w:insideV w:val="single" w:color="auto" w:sz="4"/>
        </w:tblBorders>
      </w:tblPr>
      <w:tblGrid>
        <w:gridCol w:w="2400"/>
        <w:gridCol w:w="6860"/>
      </w:tblGrid>
      <w:tr>
        <w:trPr>
          <w:tblHeader/>
        </w:trPr>
        <w:tc>
          <w:tcPr>
            <w:tcW w:type="dxa" w:w="2400"/>
            <w:gridSpan w:val="1"/>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Exclusion</w:t>
            </w:r>
          </w:p>
        </w:tc>
        <w:tc>
          <w:tcPr>
            <w:tcW w:type="dxa" w:w="6860"/>
            <w:gridSpan w:val="1"/>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Justification</w:t>
            </w:r>
          </w:p>
        </w:tc>
      </w:tr>
      <w:tr>
        <w:tc>
          <w:tcPr>
            <w:tcW w:type="dxa" w:w="24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jc w:val="left"/>
            </w:pPr>
            <w:r>
              <w:rPr>
                <w:rFonts w:ascii="Arial" w:cs="Arial" w:eastAsia="Arial" w:hAnsi="Arial"/>
                <w:b/>
                <w:bCs/>
                <w:color w:val="000000"/>
                <w:sz w:val="17"/>
                <w:szCs w:val="17"/>
              </w:rPr>
              <w:t xml:space="preserve">Physical perimeter security, physical entry controls, physical security monitoring, secure areas, and cabling security (Annex A controls A.7.1–A.7.4, A.7.6, A.7.12)</w:t>
            </w:r>
          </w:p>
        </w:tc>
        <w:tc>
          <w:tcPr>
            <w:tcW w:type="dxa" w:w="686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jc w:val="left"/>
            </w:pPr>
            <w:r>
              <w:rPr>
                <w:rFonts w:ascii="Arial" w:cs="Arial" w:eastAsia="Arial" w:hAnsi="Arial"/>
                <w:b w:val="false"/>
                <w:bCs w:val="false"/>
                <w:color w:val="000000"/>
                <w:sz w:val="16"/>
                <w:szCs w:val="16"/>
              </w:rPr>
              <w:t xml:space="preserve">The organisation does not operate any dedicated offices, data centres, or physically controlled secure facilities. All personnel work from remote home environments or client sites. Physical security of those locations is the responsibility of the building owner or client respectively. These Annex A controls are therefore not applicable to the current ISMS scope. Full justification for each excluded control is provided in ISMS-SoA-001 Exclusion Justifications sheet. If the organisation acquires dedicated premises, these controls will be brought into scope at the next scope review.</w:t>
            </w:r>
          </w:p>
        </w:tc>
      </w:tr>
      <w:tr>
        <w:tc>
          <w:tcPr>
            <w:tcW w:type="dxa" w:w="24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bCs/>
                <w:color w:val="000000"/>
                <w:sz w:val="17"/>
                <w:szCs w:val="17"/>
              </w:rPr>
              <w:t xml:space="preserve">Client-owned systems not under managed service agreement</w:t>
            </w:r>
          </w:p>
        </w:tc>
        <w:tc>
          <w:tcPr>
            <w:tcW w:type="dxa" w:w="686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000000"/>
                <w:sz w:val="16"/>
                <w:szCs w:val="16"/>
              </w:rPr>
              <w:t xml:space="preserve">The organisation has no control obligations, access rights, or security responsibilities in respect of client systems that are not managed under a formal service agreement. Including these systems in scope would impose obligations the organisation cannot fulfil and would misrepresent the actual boundary of its information security governance. Where a managed service agreement is entered into for previously unmanaged client systems, those systems are brought into scope through the change management procedure (ISMS-OPS-001 §3.3) and a scope review is triggered.</w:t>
            </w:r>
          </w:p>
        </w:tc>
      </w:tr>
      <w:tr>
        <w:tc>
          <w:tcPr>
            <w:tcW w:type="dxa" w:w="24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jc w:val="left"/>
            </w:pPr>
            <w:r>
              <w:rPr>
                <w:rFonts w:ascii="Arial" w:cs="Arial" w:eastAsia="Arial" w:hAnsi="Arial"/>
                <w:b/>
                <w:bCs/>
                <w:color w:val="000000"/>
                <w:sz w:val="17"/>
                <w:szCs w:val="17"/>
              </w:rPr>
              <w:t xml:space="preserve">Personal devices not enrolled in MDM</w:t>
            </w:r>
          </w:p>
        </w:tc>
        <w:tc>
          <w:tcPr>
            <w:tcW w:type="dxa" w:w="686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jc w:val="left"/>
            </w:pPr>
            <w:r>
              <w:rPr>
                <w:rFonts w:ascii="Arial" w:cs="Arial" w:eastAsia="Arial" w:hAnsi="Arial"/>
                <w:b w:val="false"/>
                <w:bCs w:val="false"/>
                <w:color w:val="000000"/>
                <w:sz w:val="16"/>
                <w:szCs w:val="16"/>
              </w:rPr>
              <w:t xml:space="preserve">Personal devices (BYOD) that have not been enrolled in the organisation's MDM policy (Intune) and are not used for business purposes fall outside the scope of the ISMS. Where a personal device is used for business purposes, enrolment in the MDM policy and compliance with the minimum security baseline is required as a condition of use — this brings the device's business use within scope. Purely personal use of a personal device remains out of scope regardless.</w:t>
            </w:r>
          </w:p>
        </w:tc>
      </w:tr>
    </w:tbl>
    <w:p>
      <w:pPr>
        <w:spacing w:after="80" w:before="100"/>
      </w:pPr>
    </w:p>
    <w:p>
      <w:pPr>
        <w:pStyle w:val="Heading1"/>
        <w:pBdr>
          <w:bottom w:val="single" w:color="2E75B6" w:sz="8" w:space="4"/>
        </w:pBdr>
        <w:spacing w:after="120" w:before="300"/>
      </w:pPr>
      <w:r>
        <w:rPr>
          <w:rFonts w:ascii="Arial" w:cs="Arial" w:eastAsia="Arial" w:hAnsi="Arial"/>
          <w:b/>
          <w:bCs/>
          <w:color w:val="1F3864"/>
          <w:sz w:val="30"/>
          <w:szCs w:val="30"/>
        </w:rPr>
        <w:t xml:space="preserve">6. Formal Scope Statement for Certification</w:t>
      </w:r>
    </w:p>
    <w:p>
      <w:pPr>
        <w:spacing w:after="80" w:before="80"/>
        <w:jc w:val="left"/>
      </w:pPr>
      <w:r>
        <w:rPr>
          <w:rFonts w:ascii="Arial" w:cs="Arial" w:eastAsia="Arial" w:hAnsi="Arial"/>
          <w:b w:val="false"/>
          <w:bCs w:val="false"/>
          <w:color w:val="000000"/>
          <w:sz w:val="20"/>
          <w:szCs w:val="20"/>
        </w:rPr>
        <w:t xml:space="preserve">The following is the formal scope statement as it will appear in the ISO 27001:2022 certification documentation and on any certificate of conformity issued by the certification body. It is derived from and consistent with the detailed scope definition in Sections 3–5 above.</w:t>
      </w:r>
    </w:p>
    <w:p>
      <w:pPr>
        <w:spacing w:after="60" w:before="60"/>
      </w:pPr>
    </w:p>
    <w:tbl>
      <w:tblPr>
        <w:tblW w:type="dxa" w:w="9260"/>
        <w:tblBorders>
          <w:top w:val="single" w:color="auto" w:sz="4"/>
          <w:left w:val="single" w:color="auto" w:sz="4"/>
          <w:bottom w:val="single" w:color="auto" w:sz="4"/>
          <w:right w:val="single" w:color="auto" w:sz="4"/>
          <w:insideH w:val="single" w:color="auto" w:sz="4"/>
          <w:insideV w:val="single" w:color="auto" w:sz="4"/>
        </w:tblBorders>
      </w:tblPr>
      <w:tblGrid>
        <w:gridCol w:w="9260"/>
      </w:tblGrid>
      <w:tr>
        <w:tc>
          <w:tcPr>
            <w:tcBorders>
              <w:top w:val="single" w:color="2E75B6" w:sz="6"/>
              <w:left w:val="single" w:color="2E75B6" w:sz="6"/>
              <w:bottom w:val="single" w:color="2E75B6" w:sz="6"/>
              <w:right w:val="single" w:color="2E75B6" w:sz="6"/>
            </w:tcBorders>
            <w:shd w:fill="1F3864" w:val="clear"/>
            <w:tcMar>
              <w:top w:type="dxa" w:w="100"/>
              <w:left w:type="dxa" w:w="200"/>
              <w:bottom w:type="dxa" w:w="100"/>
              <w:right w:type="dxa" w:w="200"/>
            </w:tcMar>
          </w:tcPr>
          <w:p>
            <w:pPr>
              <w:jc w:val="center"/>
            </w:pPr>
            <w:r>
              <w:rPr>
                <w:rFonts w:ascii="Arial" w:cs="Arial" w:eastAsia="Arial" w:hAnsi="Arial"/>
                <w:b/>
                <w:bCs/>
                <w:color w:val="FFFFFF"/>
                <w:sz w:val="20"/>
                <w:szCs w:val="20"/>
              </w:rPr>
              <w:t xml:space="preserve">SCOPE STATEMENT FOR CERTIFICATION</w:t>
            </w:r>
          </w:p>
        </w:tc>
      </w:tr>
      <w:tr>
        <w:tc>
          <w:tcPr>
            <w:tcBorders>
              <w:top w:val="single" w:color="2E75B6" w:sz="6"/>
              <w:left w:val="single" w:color="2E75B6" w:sz="6"/>
              <w:bottom w:val="single" w:color="2E75B6" w:sz="6"/>
              <w:right w:val="single" w:color="2E75B6" w:sz="6"/>
            </w:tcBorders>
            <w:tcMar>
              <w:top w:type="dxa" w:w="180"/>
              <w:left w:type="dxa" w:w="240"/>
              <w:bottom w:type="dxa" w:w="180"/>
              <w:right w:type="dxa" w:w="240"/>
            </w:tcMar>
          </w:tcPr>
          <w:p>
            <w:pPr>
              <w:spacing w:after="80" w:before="0"/>
            </w:pPr>
            <w:r>
              <w:rPr>
                <w:rFonts w:ascii="Arial" w:cs="Arial" w:eastAsia="Arial" w:hAnsi="Arial"/>
                <w:sz w:val="22"/>
                <w:szCs w:val="22"/>
              </w:rPr>
              <w:t xml:space="preserve">The provision of IT managed services, cyber security advisory, and infrastructure support by </w:t>
            </w:r>
            <w:r>
              <w:rPr>
                <w:rFonts w:ascii="Arial" w:cs="Arial" w:eastAsia="Arial" w:hAnsi="Arial"/>
                <w:b/>
                <w:bCs/>
                <w:sz w:val="22"/>
                <w:szCs w:val="22"/>
              </w:rPr>
              <w:t xml:space="preserve">Apex Managed Services Ltd</w:t>
            </w:r>
            <w:r>
              <w:rPr>
                <w:rFonts w:ascii="Arial" w:cs="Arial" w:eastAsia="Arial" w:hAnsi="Arial"/>
                <w:sz w:val="22"/>
                <w:szCs w:val="22"/>
              </w:rPr>
              <w:t xml:space="preserve">, delivered to UK and EU-based clients by all employees and contractors operating from remote UK locations and client sites, using cloud infrastructure including Microsoft Azure, Microsoft 365, Microsoft Defender, Microsoft Sentinel, and Microsoft Entra ID.</w:t>
            </w:r>
          </w:p>
          <w:p>
            <w:pPr>
              <w:spacing w:after="60" w:before="60"/>
            </w:pPr>
          </w:p>
          <w:p>
            <w:pPr>
              <w:spacing w:after="0" w:before="0"/>
            </w:pPr>
            <w:r>
              <w:rPr>
                <w:rFonts w:ascii="Arial" w:cs="Arial" w:eastAsia="Arial" w:hAnsi="Arial"/>
                <w:b/>
                <w:bCs/>
                <w:sz w:val="22"/>
                <w:szCs w:val="22"/>
              </w:rPr>
              <w:t xml:space="preserve">Exclusions: </w:t>
            </w:r>
            <w:r>
              <w:rPr>
                <w:rFonts w:ascii="Arial" w:cs="Arial" w:eastAsia="Arial" w:hAnsi="Arial"/>
                <w:sz w:val="22"/>
                <w:szCs w:val="22"/>
              </w:rPr>
              <w:t xml:space="preserve">Client-owned systems not under formal managed service agreement; physical premises and perimeter security; personal devices not enrolled under the organisation's MDM policy.</w:t>
            </w:r>
          </w:p>
        </w:tc>
      </w:tr>
    </w:tbl>
    <w:p>
      <w:pPr>
        <w:spacing w:after="80" w:before="100"/>
      </w:pPr>
    </w:p>
    <w:p>
      <w:pPr>
        <w:pStyle w:val="Heading1"/>
        <w:pBdr>
          <w:bottom w:val="single" w:color="2E75B6" w:sz="8" w:space="4"/>
        </w:pBdr>
        <w:spacing w:after="120" w:before="300"/>
      </w:pPr>
      <w:r>
        <w:rPr>
          <w:rFonts w:ascii="Arial" w:cs="Arial" w:eastAsia="Arial" w:hAnsi="Arial"/>
          <w:b/>
          <w:bCs/>
          <w:color w:val="1F3864"/>
          <w:sz w:val="30"/>
          <w:szCs w:val="30"/>
        </w:rPr>
        <w:t xml:space="preserve">7. Scope Review and Maintenance</w:t>
      </w:r>
    </w:p>
    <w:p>
      <w:pPr>
        <w:spacing w:after="80" w:before="80"/>
        <w:jc w:val="left"/>
      </w:pPr>
      <w:r>
        <w:rPr>
          <w:rFonts w:ascii="Arial" w:cs="Arial" w:eastAsia="Arial" w:hAnsi="Arial"/>
          <w:b w:val="false"/>
          <w:bCs w:val="false"/>
          <w:color w:val="000000"/>
          <w:sz w:val="20"/>
          <w:szCs w:val="20"/>
        </w:rPr>
        <w:t xml:space="preserve">This scope statement shall be reviewed and updated under the following conditions:</w:t>
      </w:r>
    </w:p>
    <w:p>
      <w:pPr>
        <w:spacing w:after="60" w:before="60"/>
      </w:pPr>
    </w:p>
    <w:p>
      <w:pPr>
        <w:pStyle w:val="ListParagraph"/>
        <w:numPr>
          <w:ilvl w:val="0"/>
          <w:numId w:val="2"/>
        </w:numPr>
        <w:spacing w:after="40" w:before="40"/>
      </w:pPr>
      <w:r>
        <w:rPr>
          <w:rFonts w:ascii="Arial" w:cs="Arial" w:eastAsia="Arial" w:hAnsi="Arial"/>
          <w:sz w:val="20"/>
          <w:szCs w:val="20"/>
        </w:rPr>
        <w:t xml:space="preserve">Annually as part of the ISMS Management Review cycle (mandatory — Clause 9.3)</w:t>
      </w:r>
    </w:p>
    <w:p>
      <w:pPr>
        <w:pStyle w:val="ListParagraph"/>
        <w:numPr>
          <w:ilvl w:val="0"/>
          <w:numId w:val="2"/>
        </w:numPr>
        <w:spacing w:after="40" w:before="40"/>
      </w:pPr>
      <w:r>
        <w:rPr>
          <w:rFonts w:ascii="Arial" w:cs="Arial" w:eastAsia="Arial" w:hAnsi="Arial"/>
          <w:sz w:val="20"/>
          <w:szCs w:val="20"/>
        </w:rPr>
        <w:t xml:space="preserve">Following any material change to the organisation's services, delivery model, or operating locations that may affect scope boundaries</w:t>
      </w:r>
    </w:p>
    <w:p>
      <w:pPr>
        <w:pStyle w:val="ListParagraph"/>
        <w:numPr>
          <w:ilvl w:val="0"/>
          <w:numId w:val="2"/>
        </w:numPr>
        <w:spacing w:after="40" w:before="40"/>
      </w:pPr>
      <w:r>
        <w:rPr>
          <w:rFonts w:ascii="Arial" w:cs="Arial" w:eastAsia="Arial" w:hAnsi="Arial"/>
          <w:sz w:val="20"/>
          <w:szCs w:val="20"/>
        </w:rPr>
        <w:t xml:space="preserve">Following acquisition of physical premises — which would bring excluded physical controls into scope</w:t>
      </w:r>
    </w:p>
    <w:p>
      <w:pPr>
        <w:pStyle w:val="ListParagraph"/>
        <w:numPr>
          <w:ilvl w:val="0"/>
          <w:numId w:val="2"/>
        </w:numPr>
        <w:spacing w:after="40" w:before="40"/>
      </w:pPr>
      <w:r>
        <w:rPr>
          <w:rFonts w:ascii="Arial" w:cs="Arial" w:eastAsia="Arial" w:hAnsi="Arial"/>
          <w:sz w:val="20"/>
          <w:szCs w:val="20"/>
        </w:rPr>
        <w:t xml:space="preserve">Following entry into a new client sector or geographic market that introduces new regulatory obligations</w:t>
      </w:r>
    </w:p>
    <w:p>
      <w:pPr>
        <w:pStyle w:val="ListParagraph"/>
        <w:numPr>
          <w:ilvl w:val="0"/>
          <w:numId w:val="2"/>
        </w:numPr>
        <w:spacing w:after="40" w:before="40"/>
      </w:pPr>
      <w:r>
        <w:rPr>
          <w:rFonts w:ascii="Arial" w:cs="Arial" w:eastAsia="Arial" w:hAnsi="Arial"/>
          <w:sz w:val="20"/>
          <w:szCs w:val="20"/>
        </w:rPr>
        <w:t xml:space="preserve">Following any change to the organisation's size, ownership, or legal structure</w:t>
      </w:r>
    </w:p>
    <w:p>
      <w:pPr>
        <w:pStyle w:val="ListParagraph"/>
        <w:numPr>
          <w:ilvl w:val="0"/>
          <w:numId w:val="2"/>
        </w:numPr>
        <w:spacing w:after="40" w:before="40"/>
      </w:pPr>
      <w:r>
        <w:rPr>
          <w:rFonts w:ascii="Arial" w:cs="Arial" w:eastAsia="Arial" w:hAnsi="Arial"/>
          <w:sz w:val="20"/>
          <w:szCs w:val="20"/>
        </w:rPr>
        <w:t xml:space="preserve">Where an internal or external audit identifies that the scope does not accurately reflect actual ISMS boundaries</w:t>
      </w:r>
    </w:p>
    <w:p>
      <w:pPr>
        <w:spacing w:after="60" w:before="60"/>
      </w:pPr>
    </w:p>
    <w:p>
      <w:pPr>
        <w:spacing w:after="80" w:before="80"/>
        <w:jc w:val="left"/>
      </w:pPr>
      <w:r>
        <w:rPr>
          <w:rFonts w:ascii="Arial" w:cs="Arial" w:eastAsia="Arial" w:hAnsi="Arial"/>
          <w:b w:val="false"/>
          <w:bCs w:val="false"/>
          <w:color w:val="000000"/>
          <w:sz w:val="20"/>
          <w:szCs w:val="20"/>
        </w:rPr>
        <w:t xml:space="preserve">Material changes to scope must be notified to the certification body in accordance with the certification agreement. The ISM is responsible for assessing whether a change is material and for making the notification. Scope changes are managed through the ISMS change management procedure (ISMS-OPS-001 §3.3) and are logged in the operational change log.</w:t>
      </w:r>
    </w:p>
    <w:p>
      <w:pPr>
        <w:spacing w:after="80" w:before="100"/>
      </w:pPr>
    </w:p>
    <w:p>
      <w:pPr>
        <w:pStyle w:val="Heading1"/>
        <w:pBdr>
          <w:bottom w:val="single" w:color="2E75B6" w:sz="8" w:space="4"/>
        </w:pBdr>
        <w:spacing w:after="120" w:before="300"/>
      </w:pPr>
      <w:r>
        <w:rPr>
          <w:rFonts w:ascii="Arial" w:cs="Arial" w:eastAsia="Arial" w:hAnsi="Arial"/>
          <w:b/>
          <w:bCs/>
          <w:color w:val="1F3864"/>
          <w:sz w:val="30"/>
          <w:szCs w:val="30"/>
        </w:rPr>
        <w:t xml:space="preserve">8. Document Cross-References</w:t>
      </w:r>
    </w:p>
    <w:tbl>
      <w:tblPr>
        <w:tblW w:type="dxa" w:w="9260"/>
        <w:tblBorders>
          <w:top w:val="single" w:color="auto" w:sz="4"/>
          <w:left w:val="single" w:color="auto" w:sz="4"/>
          <w:bottom w:val="single" w:color="auto" w:sz="4"/>
          <w:right w:val="single" w:color="auto" w:sz="4"/>
          <w:insideH w:val="single" w:color="auto" w:sz="4"/>
          <w:insideV w:val="single" w:color="auto" w:sz="4"/>
        </w:tblBorders>
      </w:tblPr>
      <w:tblGrid>
        <w:gridCol w:w="2000"/>
        <w:gridCol w:w="3260"/>
        <w:gridCol w:w="4000"/>
      </w:tblGrid>
      <w:tr>
        <w:trPr>
          <w:tblHeader/>
        </w:trPr>
        <w:tc>
          <w:tcPr>
            <w:tcW w:type="dxa" w:w="2000"/>
            <w:gridSpan w:val="1"/>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Document</w:t>
            </w:r>
          </w:p>
        </w:tc>
        <w:tc>
          <w:tcPr>
            <w:tcW w:type="dxa" w:w="3260"/>
            <w:gridSpan w:val="1"/>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Title</w:t>
            </w:r>
          </w:p>
        </w:tc>
        <w:tc>
          <w:tcPr>
            <w:tcW w:type="dxa" w:w="4000"/>
            <w:gridSpan w:val="1"/>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Relationship</w:t>
            </w:r>
          </w:p>
        </w:tc>
      </w:tr>
      <w:tr>
        <w:tc>
          <w:tcPr>
            <w:tcW w:type="dxa" w:w="20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bCs/>
                <w:color w:val="000000"/>
                <w:sz w:val="18"/>
                <w:szCs w:val="18"/>
              </w:rPr>
              <w:t xml:space="preserve">ISMS-CTX-001</w:t>
            </w:r>
          </w:p>
        </w:tc>
        <w:tc>
          <w:tcPr>
            <w:tcW w:type="dxa" w:w="326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Context Document (Clauses 4.1–4.4)</w:t>
            </w:r>
          </w:p>
        </w:tc>
        <w:tc>
          <w:tcPr>
            <w:tcW w:type="dxa" w:w="40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Contains the detailed context analysis (§3–4), scope definition (§5), and ISMS establishment (§6) from which this scope statement is derived.</w:t>
            </w:r>
          </w:p>
        </w:tc>
      </w:tr>
      <w:tr>
        <w:tc>
          <w:tcPr>
            <w:tcW w:type="dxa" w:w="20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000000"/>
                <w:sz w:val="18"/>
                <w:szCs w:val="18"/>
              </w:rPr>
              <w:t xml:space="preserve">ISMS-SoA-001</w:t>
            </w:r>
          </w:p>
        </w:tc>
        <w:tc>
          <w:tcPr>
            <w:tcW w:type="dxa" w:w="326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Statement of Applicability</w:t>
            </w:r>
          </w:p>
        </w:tc>
        <w:tc>
          <w:tcPr>
            <w:tcW w:type="dxa" w:w="40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Documents Annex A control inclusions and exclusions within this scope. Excluded physical controls (A.7.x) are justified in detail in the SoA exclusion justifications sheet.</w:t>
            </w:r>
          </w:p>
        </w:tc>
      </w:tr>
      <w:tr>
        <w:tc>
          <w:tcPr>
            <w:tcW w:type="dxa" w:w="20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bCs/>
                <w:color w:val="000000"/>
                <w:sz w:val="18"/>
                <w:szCs w:val="18"/>
              </w:rPr>
              <w:t xml:space="preserve">ISMS-LDR-001</w:t>
            </w:r>
          </w:p>
        </w:tc>
        <w:tc>
          <w:tcPr>
            <w:tcW w:type="dxa" w:w="326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Leadership, Policy and Roles</w:t>
            </w:r>
          </w:p>
        </w:tc>
        <w:tc>
          <w:tcPr>
            <w:tcW w:type="dxa" w:w="40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IS Policy applies across this ISMS scope. Role assignments govern all in-scope personnel.</w:t>
            </w:r>
          </w:p>
        </w:tc>
      </w:tr>
      <w:tr>
        <w:tc>
          <w:tcPr>
            <w:tcW w:type="dxa" w:w="20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000000"/>
                <w:sz w:val="18"/>
                <w:szCs w:val="18"/>
              </w:rPr>
              <w:t xml:space="preserve">ISMS-PLN-001</w:t>
            </w:r>
          </w:p>
        </w:tc>
        <w:tc>
          <w:tcPr>
            <w:tcW w:type="dxa" w:w="326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Planning — Risk, Objectives &amp; Change</w:t>
            </w:r>
          </w:p>
        </w:tc>
        <w:tc>
          <w:tcPr>
            <w:tcW w:type="dxa" w:w="40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Risk assessment conducted within this scope. Risk register covers all in-scope assets and processes.</w:t>
            </w:r>
          </w:p>
        </w:tc>
      </w:tr>
      <w:tr>
        <w:tc>
          <w:tcPr>
            <w:tcW w:type="dxa" w:w="20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bCs/>
                <w:color w:val="000000"/>
                <w:sz w:val="18"/>
                <w:szCs w:val="18"/>
              </w:rPr>
              <w:t xml:space="preserve">ISMS-OPS-001</w:t>
            </w:r>
          </w:p>
        </w:tc>
        <w:tc>
          <w:tcPr>
            <w:tcW w:type="dxa" w:w="326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Operation</w:t>
            </w:r>
          </w:p>
        </w:tc>
        <w:tc>
          <w:tcPr>
            <w:tcW w:type="dxa" w:w="40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Operational processes apply within this scope. Change management procedure governs scope changes.</w:t>
            </w:r>
          </w:p>
        </w:tc>
      </w:tr>
      <w:tr>
        <w:tc>
          <w:tcPr>
            <w:tcW w:type="dxa" w:w="20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000000"/>
                <w:sz w:val="18"/>
                <w:szCs w:val="18"/>
              </w:rPr>
              <w:t xml:space="preserve">ISMS-PEV-001</w:t>
            </w:r>
          </w:p>
        </w:tc>
        <w:tc>
          <w:tcPr>
            <w:tcW w:type="dxa" w:w="326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Performance Evaluation</w:t>
            </w:r>
          </w:p>
        </w:tc>
        <w:tc>
          <w:tcPr>
            <w:tcW w:type="dxa" w:w="40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Internal audit programme (ISMS-IAP-001) covers all clauses and controls within this scope.</w:t>
            </w:r>
          </w:p>
        </w:tc>
      </w:tr>
    </w:tbl>
    <w:p>
      <w:pPr>
        <w:spacing w:after="80" w:before="160"/>
      </w:pPr>
    </w:p>
    <w:p>
      <w:pPr>
        <w:spacing w:after="0" w:before="120"/>
        <w:jc w:val="center"/>
      </w:pPr>
      <w:r>
        <w:rPr>
          <w:rFonts w:ascii="Arial" w:cs="Arial" w:eastAsia="Arial" w:hAnsi="Arial"/>
          <w:color w:val="AAAAAA"/>
          <w:sz w:val="15"/>
          <w:szCs w:val="15"/>
        </w:rPr>
        <w:t xml:space="preserve">END OF DOCUMENT — ISMS-SCO-001 v1.0  |  INTERNAL</w:t>
      </w:r>
    </w:p>
    <w:sectPr>
      <w:headerReference w:type="default" r:id="rId7"/>
      <w:footerReference w:type="default" r:id="rId8"/>
      <w:pgSz w:w="11906" w:h="16838" w:orient="portrait"/>
      <w:pgMar w:top="1260" w:right="1134" w:bottom="1260"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6" w:space="4"/>
      </w:pBdr>
      <w:tabs>
        <w:tab w:val="center" w:pos="4680"/>
        <w:tab w:val="right" w:pos="9026"/>
      </w:tabs>
      <w:spacing w:before="100"/>
    </w:pPr>
    <w:r>
      <w:rPr>
        <w:rFonts w:ascii="Arial" w:cs="Arial" w:eastAsia="Arial" w:hAnsi="Arial"/>
        <w:b/>
        <w:bCs/>
        <w:color w:val="2E75B6"/>
        <w:sz w:val="15"/>
        <w:szCs w:val="15"/>
      </w:rPr>
      <w:t xml:space="preserve">INTERNAL</w:t>
    </w:r>
    <w:r>
      <w:rPr>
        <w:rFonts w:ascii="Arial" w:cs="Arial" w:eastAsia="Arial" w:hAnsi="Arial"/>
        <w:color w:val="888888"/>
        <w:sz w:val="15"/>
        <w:szCs w:val="15"/>
      </w:rPr>
      <w:t xml:space="preserve">	Page </w:t>
    </w:r>
    <w:fldSimple w:instr="PAGE">
      <w:r>
        <w:rPr>
          <w:rFonts w:ascii="Arial" w:cs="Arial" w:eastAsia="Arial" w:hAnsi="Arial"/>
          <w:color w:val="888888"/>
          <w:sz w:val="15"/>
          <w:szCs w:val="15"/>
        </w:rPr>
      </w:r>
    </w:fldSimple>
    <w:r>
      <w:rPr>
        <w:rFonts w:ascii="Arial" w:cs="Arial" w:eastAsia="Arial" w:hAnsi="Arial"/>
        <w:color w:val="888888"/>
        <w:sz w:val="15"/>
        <w:szCs w:val="15"/>
      </w:rPr>
      <w:t xml:space="preserve">	02 April 2026</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6" w:space="4"/>
      </w:pBdr>
      <w:tabs>
        <w:tab w:val="right" w:pos="9026"/>
      </w:tabs>
      <w:spacing w:after="100"/>
    </w:pPr>
    <w:r>
      <w:rPr>
        <w:rFonts w:ascii="Arial" w:cs="Arial" w:eastAsia="Arial" w:hAnsi="Arial"/>
        <w:b/>
        <w:bCs/>
        <w:color w:val="1F3864"/>
        <w:sz w:val="17"/>
        <w:szCs w:val="17"/>
      </w:rPr>
      <w:t xml:space="preserve">Apex Managed Services Ltd — ISMS Scope Statement</w:t>
    </w:r>
    <w:r>
      <w:rPr>
        <w:rFonts w:ascii="Arial" w:cs="Arial" w:eastAsia="Arial" w:hAnsi="Arial"/>
        <w:color w:val="888888"/>
        <w:sz w:val="15"/>
        <w:szCs w:val="15"/>
      </w:rPr>
      <w:t xml:space="preserve">	ISMS-SCO-001 v1.0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00"/>
      <w:outlineLvl w:val="0"/>
    </w:pPr>
    <w:rPr>
      <w:rFonts w:ascii="Arial" w:cs="Arial" w:eastAsia="Arial" w:hAnsi="Arial"/>
      <w:b/>
      <w:bCs/>
      <w:color w:val="1F3864"/>
      <w:sz w:val="30"/>
      <w:szCs w:val="30"/>
    </w:rPr>
  </w:style>
  <w:style w:type="paragraph" w:styleId="Heading2">
    <w:name w:val="Heading 2"/>
    <w:basedOn w:val="Normal"/>
    <w:next w:val="Normal"/>
    <w:qFormat/>
    <w:pPr>
      <w:spacing w:after="80" w:before="200"/>
      <w:outlineLvl w:val="1"/>
    </w:pPr>
    <w:rPr>
      <w:rFonts w:ascii="Arial" w:cs="Arial" w:eastAsia="Arial" w:hAnsi="Arial"/>
      <w:b/>
      <w:bCs/>
      <w:color w:val="2E75B6"/>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2026-04-03T07:33:16.288Z</dcterms:created>
  <dcterms:modified xsi:type="dcterms:W3CDTF">2026-04-03T07:33:16.289Z</dcterms:modified>
</cp:coreProperties>
</file>

<file path=docProps/custom.xml><?xml version="1.0" encoding="utf-8"?>
<Properties xmlns="http://schemas.openxmlformats.org/officeDocument/2006/custom-properties" xmlns:vt="http://schemas.openxmlformats.org/officeDocument/2006/docPropsVTypes"/>
</file>