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pBdr>
          <w:bottom w:val="single" w:color="2E75B6" w:sz="18" w:space="4"/>
        </w:pBdr>
        <w:spacing w:after="240" w:before="0"/>
        <w:jc w:val="center"/>
      </w:pPr>
      <w:r>
        <w:rPr>
          <w:rFonts w:ascii="Arial" w:cs="Arial" w:eastAsia="Arial" w:hAnsi="Arial"/>
          <w:b/>
          <w:bCs/>
          <w:color w:val="1F3864"/>
          <w:sz w:val="52"/>
          <w:szCs w:val="52"/>
        </w:rPr>
        <w:t xml:space="preserve">Apex Managed Services Ltd</w:t>
      </w:r>
    </w:p>
    <w:p>
      <w:pPr>
        <w:spacing w:after="120" w:before="240"/>
        <w:jc w:val="center"/>
      </w:pPr>
      <w:r>
        <w:rPr>
          <w:rFonts w:ascii="Arial" w:cs="Arial" w:eastAsia="Arial" w:hAnsi="Arial"/>
          <w:color w:val="404040"/>
          <w:sz w:val="32"/>
          <w:szCs w:val="32"/>
        </w:rPr>
        <w:t xml:space="preserve">Information Security Management System</w:t>
      </w:r>
    </w:p>
    <w:p>
      <w:pPr>
        <w:spacing w:after="120" w:before="0"/>
        <w:jc w:val="center"/>
      </w:pPr>
      <w:r>
        <w:rPr>
          <w:rFonts w:ascii="Arial" w:cs="Arial" w:eastAsia="Arial" w:hAnsi="Arial"/>
          <w:b/>
          <w:bCs/>
          <w:color w:val="2E75B6"/>
          <w:sz w:val="42"/>
          <w:szCs w:val="42"/>
        </w:rPr>
        <w:t xml:space="preserve">Support</w:t>
      </w:r>
    </w:p>
    <w:p>
      <w:pPr>
        <w:spacing w:after="480" w:before="0"/>
        <w:jc w:val="center"/>
      </w:pPr>
      <w:r>
        <w:rPr>
          <w:rFonts w:ascii="Arial" w:cs="Arial" w:eastAsia="Arial" w:hAnsi="Arial"/>
          <w:color w:val="404040"/>
          <w:sz w:val="22"/>
          <w:szCs w:val="22"/>
        </w:rPr>
        <w:t xml:space="preserve">Resources  |  Competence  |  Awareness  |  Communication  |  Documented Information</w:t>
      </w:r>
    </w:p>
    <w:p>
      <w:pPr>
        <w:spacing w:after="80" w:before="0"/>
        <w:jc w:val="center"/>
      </w:pPr>
      <w:r>
        <w:rPr>
          <w:rFonts w:ascii="Arial" w:cs="Arial" w:eastAsia="Arial" w:hAnsi="Arial"/>
          <w:color w:val="404040"/>
          <w:sz w:val="22"/>
          <w:szCs w:val="22"/>
        </w:rPr>
        <w:t xml:space="preserve">ISO/IEC 27001:2022 — Clauses 7.1, 7.2, 7.3, 7.4, 7.5.1, 7.5.2, 7.5.3</w:t>
      </w:r>
    </w:p>
    <w:p>
      <w:pPr>
        <w:spacing w:after="80" w:before="60"/>
        <w:jc w:val="center"/>
      </w:pPr>
      <w:r>
        <w:rPr>
          <w:rFonts w:ascii="Arial" w:cs="Arial" w:eastAsia="Arial" w:hAnsi="Arial"/>
          <w:color w:val="888888"/>
          <w:sz w:val="20"/>
          <w:szCs w:val="20"/>
        </w:rPr>
        <w:t xml:space="preserve">ISMS-SPT-001  |  Version 1.0  |  02 April 2026</w:t>
      </w:r>
    </w:p>
    <w:p>
      <w:pPr>
        <w:spacing w:after="600" w:before="0"/>
        <w:jc w:val="center"/>
      </w:pPr>
      <w:r>
        <w:rPr>
          <w:rFonts w:ascii="Arial" w:cs="Arial" w:eastAsia="Arial" w:hAnsi="Arial"/>
          <w:b/>
          <w:bCs/>
          <w:color w:val="2E75B6"/>
          <w:sz w:val="22"/>
          <w:szCs w:val="22"/>
        </w:rPr>
        <w:t xml:space="preserve">INTERNAL</w:t>
      </w: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Document Control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3860"/>
        <w:gridCol w:w="1800"/>
        <w:gridCol w:w="1200"/>
      </w:tblGrid>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Reference</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ISMS-SPT-001</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Title</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Support — Resources, Competence, Awareness, Communication &amp; Documented Information</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Organisation</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Apex Managed Services Ltd</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1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INTERNAL</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Owner</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 Frequency</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 + triggered</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ISO 27001:2022 Clauses</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7.1, 7.2, 7.3, 7.4, 7.5.1, 7.5.2, 7.5.3</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2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w:t>
            </w:r>
          </w:p>
        </w:tc>
      </w:tr>
    </w:tbl>
    <w:p>
      <w:pPr>
        <w:spacing w:after="120" w:before="120"/>
      </w:pPr>
    </w:p>
    <w:p>
      <w:pPr>
        <w:pStyle w:val="Heading2"/>
        <w:spacing w:after="80" w:before="240"/>
      </w:pPr>
      <w:r>
        <w:rPr>
          <w:rFonts w:ascii="Arial" w:cs="Arial" w:eastAsia="Arial" w:hAnsi="Arial"/>
          <w:b/>
          <w:bCs/>
          <w:color w:val="2E75B6"/>
          <w:sz w:val="26"/>
          <w:szCs w:val="26"/>
        </w:rPr>
        <w:t xml:space="preserve">Document Approval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26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2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Signature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Prepared By</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Reviewed By</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 By</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120" w:before="120"/>
      </w:pPr>
    </w:p>
    <w:p>
      <w:pPr>
        <w:pStyle w:val="Heading2"/>
        <w:spacing w:after="80" w:before="240"/>
      </w:pPr>
      <w:r>
        <w:rPr>
          <w:rFonts w:ascii="Arial" w:cs="Arial" w:eastAsia="Arial" w:hAnsi="Arial"/>
          <w:b/>
          <w:bCs/>
          <w:color w:val="2E75B6"/>
          <w:sz w:val="26"/>
          <w:szCs w:val="26"/>
        </w:rPr>
        <w:t xml:space="preserve">Version History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260"/>
        <w:gridCol w:w="2300"/>
      </w:tblGrid>
      <w:tr>
        <w:trPr>
          <w:tblHeader/>
        </w:trPr>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4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Change Description</w:t>
            </w:r>
          </w:p>
        </w:tc>
        <w:tc>
          <w:tcPr>
            <w:tcW w:type="dxa" w:w="2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c>
          <w:tcPr>
            <w:tcW w:type="dxa" w:w="4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Initial release covering ISO 27001:2022 Clauses 7.1–7.5.3: resource register, competence framework and skills matrix, awareness programme, communications plan, and full ISMS documented information register.</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Manager</w:t>
            </w:r>
          </w:p>
        </w:tc>
      </w:tr>
    </w:tbl>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Contents</w:t>
      </w:r>
    </w:p>
    <w:p>
      <w:pPr>
        <w:spacing w:after="80" w:before="80"/>
        <w:jc w:val="left"/>
      </w:pPr>
      <w:r>
        <w:rPr>
          <w:rFonts w:ascii="Arial" w:cs="Arial" w:eastAsia="Arial" w:hAnsi="Arial"/>
          <w:b w:val="false"/>
          <w:bCs w:val="false"/>
          <w:color w:val="000000"/>
          <w:sz w:val="20"/>
          <w:szCs w:val="20"/>
        </w:rPr>
        <w:t xml:space="preserve">1.  Purpose</w:t>
      </w:r>
    </w:p>
    <w:p>
      <w:pPr>
        <w:spacing w:after="80" w:before="80"/>
        <w:jc w:val="left"/>
      </w:pPr>
      <w:r>
        <w:rPr>
          <w:rFonts w:ascii="Arial" w:cs="Arial" w:eastAsia="Arial" w:hAnsi="Arial"/>
          <w:b w:val="false"/>
          <w:bCs w:val="false"/>
          <w:color w:val="000000"/>
          <w:sz w:val="20"/>
          <w:szCs w:val="20"/>
        </w:rPr>
        <w:t xml:space="preserve">2.  Clause 7.1 — Resources</w:t>
      </w:r>
    </w:p>
    <w:p>
      <w:pPr>
        <w:spacing w:after="80" w:before="80"/>
        <w:jc w:val="left"/>
      </w:pPr>
      <w:r>
        <w:rPr>
          <w:rFonts w:ascii="Arial" w:cs="Arial" w:eastAsia="Arial" w:hAnsi="Arial"/>
          <w:b w:val="false"/>
          <w:bCs w:val="false"/>
          <w:color w:val="000000"/>
          <w:sz w:val="20"/>
          <w:szCs w:val="20"/>
        </w:rPr>
        <w:t xml:space="preserve">    2.1  ISMS Resource Register</w:t>
      </w:r>
    </w:p>
    <w:p>
      <w:pPr>
        <w:spacing w:after="80" w:before="80"/>
        <w:jc w:val="left"/>
      </w:pPr>
      <w:r>
        <w:rPr>
          <w:rFonts w:ascii="Arial" w:cs="Arial" w:eastAsia="Arial" w:hAnsi="Arial"/>
          <w:b w:val="false"/>
          <w:bCs w:val="false"/>
          <w:color w:val="000000"/>
          <w:sz w:val="20"/>
          <w:szCs w:val="20"/>
        </w:rPr>
        <w:t xml:space="preserve">    2.2  Resource Review</w:t>
      </w:r>
    </w:p>
    <w:p>
      <w:pPr>
        <w:spacing w:after="80" w:before="80"/>
        <w:jc w:val="left"/>
      </w:pPr>
      <w:r>
        <w:rPr>
          <w:rFonts w:ascii="Arial" w:cs="Arial" w:eastAsia="Arial" w:hAnsi="Arial"/>
          <w:b w:val="false"/>
          <w:bCs w:val="false"/>
          <w:color w:val="000000"/>
          <w:sz w:val="20"/>
          <w:szCs w:val="20"/>
        </w:rPr>
        <w:t xml:space="preserve">3.  Clause 7.2 — Competence</w:t>
      </w:r>
    </w:p>
    <w:p>
      <w:pPr>
        <w:spacing w:after="80" w:before="80"/>
        <w:jc w:val="left"/>
      </w:pPr>
      <w:r>
        <w:rPr>
          <w:rFonts w:ascii="Arial" w:cs="Arial" w:eastAsia="Arial" w:hAnsi="Arial"/>
          <w:b w:val="false"/>
          <w:bCs w:val="false"/>
          <w:color w:val="000000"/>
          <w:sz w:val="20"/>
          <w:szCs w:val="20"/>
        </w:rPr>
        <w:t xml:space="preserve">    3.1  Competence Framework</w:t>
      </w:r>
    </w:p>
    <w:p>
      <w:pPr>
        <w:spacing w:after="80" w:before="80"/>
        <w:jc w:val="left"/>
      </w:pPr>
      <w:r>
        <w:rPr>
          <w:rFonts w:ascii="Arial" w:cs="Arial" w:eastAsia="Arial" w:hAnsi="Arial"/>
          <w:b w:val="false"/>
          <w:bCs w:val="false"/>
          <w:color w:val="000000"/>
          <w:sz w:val="20"/>
          <w:szCs w:val="20"/>
        </w:rPr>
        <w:t xml:space="preserve">    3.2  Skills and Competency Matrix</w:t>
      </w:r>
    </w:p>
    <w:p>
      <w:pPr>
        <w:spacing w:after="80" w:before="80"/>
        <w:jc w:val="left"/>
      </w:pPr>
      <w:r>
        <w:rPr>
          <w:rFonts w:ascii="Arial" w:cs="Arial" w:eastAsia="Arial" w:hAnsi="Arial"/>
          <w:b w:val="false"/>
          <w:bCs w:val="false"/>
          <w:color w:val="000000"/>
          <w:sz w:val="20"/>
          <w:szCs w:val="20"/>
        </w:rPr>
        <w:t xml:space="preserve">    3.3  Training and Qualification Register</w:t>
      </w:r>
    </w:p>
    <w:p>
      <w:pPr>
        <w:spacing w:after="80" w:before="80"/>
        <w:jc w:val="left"/>
      </w:pPr>
      <w:r>
        <w:rPr>
          <w:rFonts w:ascii="Arial" w:cs="Arial" w:eastAsia="Arial" w:hAnsi="Arial"/>
          <w:b w:val="false"/>
          <w:bCs w:val="false"/>
          <w:color w:val="000000"/>
          <w:sz w:val="20"/>
          <w:szCs w:val="20"/>
        </w:rPr>
        <w:t xml:space="preserve">    3.4  Competence Gap Actions</w:t>
      </w:r>
    </w:p>
    <w:p>
      <w:pPr>
        <w:spacing w:after="80" w:before="80"/>
        <w:jc w:val="left"/>
      </w:pPr>
      <w:r>
        <w:rPr>
          <w:rFonts w:ascii="Arial" w:cs="Arial" w:eastAsia="Arial" w:hAnsi="Arial"/>
          <w:b w:val="false"/>
          <w:bCs w:val="false"/>
          <w:color w:val="000000"/>
          <w:sz w:val="20"/>
          <w:szCs w:val="20"/>
        </w:rPr>
        <w:t xml:space="preserve">    3.5  Evidence of Competence</w:t>
      </w:r>
    </w:p>
    <w:p>
      <w:pPr>
        <w:spacing w:after="80" w:before="80"/>
        <w:jc w:val="left"/>
      </w:pPr>
      <w:r>
        <w:rPr>
          <w:rFonts w:ascii="Arial" w:cs="Arial" w:eastAsia="Arial" w:hAnsi="Arial"/>
          <w:b w:val="false"/>
          <w:bCs w:val="false"/>
          <w:color w:val="000000"/>
          <w:sz w:val="20"/>
          <w:szCs w:val="20"/>
        </w:rPr>
        <w:t xml:space="preserve">4.  Clause 7.3 — Awareness</w:t>
      </w:r>
    </w:p>
    <w:p>
      <w:pPr>
        <w:spacing w:after="80" w:before="80"/>
        <w:jc w:val="left"/>
      </w:pPr>
      <w:r>
        <w:rPr>
          <w:rFonts w:ascii="Arial" w:cs="Arial" w:eastAsia="Arial" w:hAnsi="Arial"/>
          <w:b w:val="false"/>
          <w:bCs w:val="false"/>
          <w:color w:val="000000"/>
          <w:sz w:val="20"/>
          <w:szCs w:val="20"/>
        </w:rPr>
        <w:t xml:space="preserve">    4.1  Awareness Programme</w:t>
      </w:r>
    </w:p>
    <w:p>
      <w:pPr>
        <w:spacing w:after="80" w:before="80"/>
        <w:jc w:val="left"/>
      </w:pPr>
      <w:r>
        <w:rPr>
          <w:rFonts w:ascii="Arial" w:cs="Arial" w:eastAsia="Arial" w:hAnsi="Arial"/>
          <w:b w:val="false"/>
          <w:bCs w:val="false"/>
          <w:color w:val="000000"/>
          <w:sz w:val="20"/>
          <w:szCs w:val="20"/>
        </w:rPr>
        <w:t xml:space="preserve">    4.2  Awareness Effectiveness Measurement</w:t>
      </w:r>
    </w:p>
    <w:p>
      <w:pPr>
        <w:spacing w:after="80" w:before="80"/>
        <w:jc w:val="left"/>
      </w:pPr>
      <w:r>
        <w:rPr>
          <w:rFonts w:ascii="Arial" w:cs="Arial" w:eastAsia="Arial" w:hAnsi="Arial"/>
          <w:b w:val="false"/>
          <w:bCs w:val="false"/>
          <w:color w:val="000000"/>
          <w:sz w:val="20"/>
          <w:szCs w:val="20"/>
        </w:rPr>
        <w:t xml:space="preserve">5.  Clause 7.4 — Communication</w:t>
      </w:r>
    </w:p>
    <w:p>
      <w:pPr>
        <w:spacing w:after="80" w:before="80"/>
        <w:jc w:val="left"/>
      </w:pPr>
      <w:r>
        <w:rPr>
          <w:rFonts w:ascii="Arial" w:cs="Arial" w:eastAsia="Arial" w:hAnsi="Arial"/>
          <w:b w:val="false"/>
          <w:bCs w:val="false"/>
          <w:color w:val="000000"/>
          <w:sz w:val="20"/>
          <w:szCs w:val="20"/>
        </w:rPr>
        <w:t xml:space="preserve">    5.1  ISMS Communication Plan</w:t>
      </w:r>
    </w:p>
    <w:p>
      <w:pPr>
        <w:spacing w:after="80" w:before="80"/>
        <w:jc w:val="left"/>
      </w:pPr>
      <w:r>
        <w:rPr>
          <w:rFonts w:ascii="Arial" w:cs="Arial" w:eastAsia="Arial" w:hAnsi="Arial"/>
          <w:b w:val="false"/>
          <w:bCs w:val="false"/>
          <w:color w:val="000000"/>
          <w:sz w:val="20"/>
          <w:szCs w:val="20"/>
        </w:rPr>
        <w:t xml:space="preserve">6.  Clause 7.5 — Documented Information</w:t>
      </w:r>
    </w:p>
    <w:p>
      <w:pPr>
        <w:spacing w:after="80" w:before="80"/>
        <w:jc w:val="left"/>
      </w:pPr>
      <w:r>
        <w:rPr>
          <w:rFonts w:ascii="Arial" w:cs="Arial" w:eastAsia="Arial" w:hAnsi="Arial"/>
          <w:b w:val="false"/>
          <w:bCs w:val="false"/>
          <w:color w:val="000000"/>
          <w:sz w:val="20"/>
          <w:szCs w:val="20"/>
        </w:rPr>
        <w:t xml:space="preserve">    6.1  General (7.5.1)</w:t>
      </w:r>
    </w:p>
    <w:p>
      <w:pPr>
        <w:spacing w:after="80" w:before="80"/>
        <w:jc w:val="left"/>
      </w:pPr>
      <w:r>
        <w:rPr>
          <w:rFonts w:ascii="Arial" w:cs="Arial" w:eastAsia="Arial" w:hAnsi="Arial"/>
          <w:b w:val="false"/>
          <w:bCs w:val="false"/>
          <w:color w:val="000000"/>
          <w:sz w:val="20"/>
          <w:szCs w:val="20"/>
        </w:rPr>
        <w:t xml:space="preserve">    6.2  Creating and Updating Documented Information (7.5.2)</w:t>
      </w:r>
    </w:p>
    <w:p>
      <w:pPr>
        <w:spacing w:after="80" w:before="80"/>
        <w:jc w:val="left"/>
      </w:pPr>
      <w:r>
        <w:rPr>
          <w:rFonts w:ascii="Arial" w:cs="Arial" w:eastAsia="Arial" w:hAnsi="Arial"/>
          <w:b w:val="false"/>
          <w:bCs w:val="false"/>
          <w:color w:val="000000"/>
          <w:sz w:val="20"/>
          <w:szCs w:val="20"/>
        </w:rPr>
        <w:t xml:space="preserve">    6.3  Control of Documented Information (7.5.3)</w:t>
      </w:r>
    </w:p>
    <w:p>
      <w:pPr>
        <w:spacing w:after="80" w:before="80"/>
        <w:jc w:val="left"/>
      </w:pPr>
      <w:r>
        <w:rPr>
          <w:rFonts w:ascii="Arial" w:cs="Arial" w:eastAsia="Arial" w:hAnsi="Arial"/>
          <w:b w:val="false"/>
          <w:bCs w:val="false"/>
          <w:color w:val="000000"/>
          <w:sz w:val="20"/>
          <w:szCs w:val="20"/>
        </w:rPr>
        <w:t xml:space="preserve">    6.4  ISMS Document Register</w:t>
      </w:r>
    </w:p>
    <w:p>
      <w:pPr>
        <w:spacing w:after="80" w:before="80"/>
        <w:jc w:val="left"/>
      </w:pPr>
      <w:r>
        <w:rPr>
          <w:rFonts w:ascii="Arial" w:cs="Arial" w:eastAsia="Arial" w:hAnsi="Arial"/>
          <w:b w:val="false"/>
          <w:bCs w:val="false"/>
          <w:color w:val="000000"/>
          <w:sz w:val="20"/>
          <w:szCs w:val="20"/>
        </w:rPr>
        <w:t xml:space="preserve">    6.5  External Document Register</w:t>
      </w:r>
    </w:p>
    <w:p>
      <w:pPr>
        <w:spacing w:after="80" w:before="80"/>
        <w:jc w:val="left"/>
      </w:pPr>
      <w:r>
        <w:rPr>
          <w:rFonts w:ascii="Arial" w:cs="Arial" w:eastAsia="Arial" w:hAnsi="Arial"/>
          <w:b w:val="false"/>
          <w:bCs w:val="false"/>
          <w:color w:val="000000"/>
          <w:sz w:val="20"/>
          <w:szCs w:val="20"/>
        </w:rPr>
        <w:t xml:space="preserve">    6.6  Documented Information Retention and Disposition Schedule</w:t>
      </w:r>
    </w:p>
    <w:p>
      <w:pPr>
        <w:spacing w:after="80" w:before="80"/>
        <w:jc w:val="left"/>
      </w:pPr>
      <w:r>
        <w:rPr>
          <w:rFonts w:ascii="Arial" w:cs="Arial" w:eastAsia="Arial" w:hAnsi="Arial"/>
          <w:b w:val="false"/>
          <w:bCs w:val="false"/>
          <w:color w:val="000000"/>
          <w:sz w:val="20"/>
          <w:szCs w:val="20"/>
        </w:rPr>
        <w:t xml:space="preserve">7.  Linkage to Other ISMS Documents</w:t>
      </w:r>
    </w:p>
    <w:p>
      <w:pPr>
        <w:spacing w:after="80" w:before="80"/>
        <w:jc w:val="left"/>
      </w:pPr>
      <w:r>
        <w:rPr>
          <w:rFonts w:ascii="Arial" w:cs="Arial" w:eastAsia="Arial" w:hAnsi="Arial"/>
          <w:b w:val="false"/>
          <w:bCs w:val="false"/>
          <w:color w:val="000000"/>
          <w:sz w:val="20"/>
          <w:szCs w:val="20"/>
        </w:rPr>
        <w:t xml:space="preserve">8.  Review and Maintenance</w:t>
      </w:r>
    </w:p>
    <w:p>
      <w:pPr>
        <w:spacing w:after="80" w:before="80"/>
        <w:jc w:val="left"/>
      </w:pPr>
      <w:r>
        <w:rPr>
          <w:rFonts w:ascii="Arial" w:cs="Arial" w:eastAsia="Arial" w:hAnsi="Arial"/>
          <w:b w:val="false"/>
          <w:bCs w:val="false"/>
          <w:color w:val="000000"/>
          <w:sz w:val="20"/>
          <w:szCs w:val="20"/>
        </w:rPr>
        <w:t xml:space="preserve">9.  References</w:t>
      </w:r>
    </w:p>
    <w:p>
      <w:pPr>
        <w:spacing w:after="60" w:before="60"/>
      </w:pPr>
    </w:p>
    <w:p>
      <w:pPr>
        <w:spacing w:after="80" w:before="80"/>
        <w:jc w:val="left"/>
      </w:pPr>
      <w:r>
        <w:rPr>
          <w:rFonts w:ascii="Arial" w:cs="Arial" w:eastAsia="Arial" w:hAnsi="Arial"/>
          <w:b w:val="false"/>
          <w:bCs w:val="false"/>
          <w:color w:val="888888"/>
          <w:sz w:val="18"/>
          <w:szCs w:val="18"/>
        </w:rPr>
        <w:t xml:space="preserve">Note: Update this page manually or use Word's built-in TOC feature after opening.</w:t>
      </w: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1. Purpose</w:t>
      </w:r>
    </w:p>
    <w:p>
      <w:pPr>
        <w:spacing w:after="80" w:before="80"/>
        <w:jc w:val="left"/>
      </w:pPr>
      <w:r>
        <w:rPr>
          <w:rFonts w:ascii="Arial" w:cs="Arial" w:eastAsia="Arial" w:hAnsi="Arial"/>
          <w:b w:val="false"/>
          <w:bCs w:val="false"/>
          <w:color w:val="000000"/>
          <w:sz w:val="20"/>
          <w:szCs w:val="20"/>
        </w:rPr>
        <w:t xml:space="preserve">This document constitutes the ISMS Support document for Apex Managed Services Ltd and provides the consolidated documented evidence required by ISO/IEC 27001:2022 Clause 7 — Support. It addresses all five sub-clauses:</w:t>
      </w:r>
    </w:p>
    <w:p>
      <w:pPr>
        <w:spacing w:after="60" w:before="60"/>
      </w:pPr>
    </w:p>
    <w:p>
      <w:pPr>
        <w:pStyle w:val="ListParagraph"/>
        <w:numPr>
          <w:ilvl w:val="0"/>
          <w:numId w:val="2"/>
        </w:numPr>
        <w:spacing w:after="40" w:before="40"/>
      </w:pPr>
      <w:r>
        <w:rPr>
          <w:rFonts w:ascii="Arial" w:cs="Arial" w:eastAsia="Arial" w:hAnsi="Arial"/>
          <w:sz w:val="20"/>
          <w:szCs w:val="20"/>
        </w:rPr>
        <w:t xml:space="preserve">Clause 7.1 — Identifies and records the resources determined and provided by the organisation for the establishment, implementation, maintenance, and continual improvement of the ISMS.</w:t>
      </w:r>
    </w:p>
    <w:p>
      <w:pPr>
        <w:pStyle w:val="ListParagraph"/>
        <w:numPr>
          <w:ilvl w:val="0"/>
          <w:numId w:val="2"/>
        </w:numPr>
        <w:spacing w:after="40" w:before="40"/>
      </w:pPr>
      <w:r>
        <w:rPr>
          <w:rFonts w:ascii="Arial" w:cs="Arial" w:eastAsia="Arial" w:hAnsi="Arial"/>
          <w:sz w:val="20"/>
          <w:szCs w:val="20"/>
        </w:rPr>
        <w:t xml:space="preserve">Clause 7.2 — Defines the competence framework for all persons whose work affects information security performance, documents the skills matrix, training register, and evidence of competence.</w:t>
      </w:r>
    </w:p>
    <w:p>
      <w:pPr>
        <w:pStyle w:val="ListParagraph"/>
        <w:numPr>
          <w:ilvl w:val="0"/>
          <w:numId w:val="2"/>
        </w:numPr>
        <w:spacing w:after="40" w:before="40"/>
      </w:pPr>
      <w:r>
        <w:rPr>
          <w:rFonts w:ascii="Arial" w:cs="Arial" w:eastAsia="Arial" w:hAnsi="Arial"/>
          <w:sz w:val="20"/>
          <w:szCs w:val="20"/>
        </w:rPr>
        <w:t xml:space="preserve">Clause 7.3 — Documents the security awareness programme ensuring all personnel are aware of the information security policy, their contribution to the ISMS, and the implications of non-conformance.</w:t>
      </w:r>
    </w:p>
    <w:p>
      <w:pPr>
        <w:pStyle w:val="ListParagraph"/>
        <w:numPr>
          <w:ilvl w:val="0"/>
          <w:numId w:val="2"/>
        </w:numPr>
        <w:spacing w:after="40" w:before="40"/>
      </w:pPr>
      <w:r>
        <w:rPr>
          <w:rFonts w:ascii="Arial" w:cs="Arial" w:eastAsia="Arial" w:hAnsi="Arial"/>
          <w:sz w:val="20"/>
          <w:szCs w:val="20"/>
        </w:rPr>
        <w:t xml:space="preserve">Clause 7.4 — Establishes the ISMS communication plan defining what is communicated, when, to whom, and how — for both internal and external communications.</w:t>
      </w:r>
    </w:p>
    <w:p>
      <w:pPr>
        <w:pStyle w:val="ListParagraph"/>
        <w:numPr>
          <w:ilvl w:val="0"/>
          <w:numId w:val="2"/>
        </w:numPr>
        <w:spacing w:after="40" w:before="40"/>
      </w:pPr>
      <w:r>
        <w:rPr>
          <w:rFonts w:ascii="Arial" w:cs="Arial" w:eastAsia="Arial" w:hAnsi="Arial"/>
          <w:sz w:val="20"/>
          <w:szCs w:val="20"/>
        </w:rPr>
        <w:t xml:space="preserve">Clause 7.5 — Documents the controls for creating, updating, and controlling ISMS documented information, and provides the master ISMS document register.</w:t>
      </w:r>
    </w:p>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2. Clause 7.1 — Resources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7.1</w:t>
            </w:r>
          </w:p>
          <w:p>
            <w:pPr>
              <w:jc w:val="center"/>
            </w:pPr>
            <w:r>
              <w:rPr>
                <w:rFonts w:ascii="Arial" w:cs="Arial" w:eastAsia="Arial" w:hAnsi="Arial"/>
                <w:color w:val="D6E4F0"/>
                <w:sz w:val="14"/>
                <w:szCs w:val="14"/>
              </w:rPr>
              <w:t xml:space="preserve">Resources</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The organisation shall determine and provide the resources needed for the establishment, implementation, maintenance and continual improvement of the ISMS.</w:t>
            </w:r>
          </w:p>
        </w:tc>
      </w:tr>
    </w:tbl>
    <w:p>
      <w:pPr>
        <w:spacing w:after="120" w:before="120"/>
      </w:pPr>
    </w:p>
    <w:p>
      <w:pPr>
        <w:spacing w:after="80" w:before="80"/>
        <w:jc w:val="left"/>
      </w:pPr>
      <w:r>
        <w:rPr>
          <w:rFonts w:ascii="Arial" w:cs="Arial" w:eastAsia="Arial" w:hAnsi="Arial"/>
          <w:b w:val="false"/>
          <w:bCs w:val="false"/>
          <w:color w:val="000000"/>
          <w:sz w:val="20"/>
          <w:szCs w:val="20"/>
        </w:rPr>
        <w:t xml:space="preserve">Top management has determined that the following categories of resource are necessary to support the ISMS and has committed to providing them through the annual budget approval process and management review cycle (ISMS-LDR-001 §3.1(c)).</w:t>
      </w:r>
    </w:p>
    <w:p>
      <w:pPr>
        <w:spacing w:after="120" w:before="120"/>
      </w:pPr>
    </w:p>
    <w:p>
      <w:pPr>
        <w:pStyle w:val="Heading2"/>
        <w:spacing w:after="80" w:before="240"/>
      </w:pPr>
      <w:r>
        <w:rPr>
          <w:rFonts w:ascii="Arial" w:cs="Arial" w:eastAsia="Arial" w:hAnsi="Arial"/>
          <w:b/>
          <w:bCs/>
          <w:color w:val="2E75B6"/>
          <w:sz w:val="26"/>
          <w:szCs w:val="26"/>
        </w:rPr>
        <w:t xml:space="preserve">2.1 ISMS Resource Register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60"/>
        <w:gridCol w:w="1400"/>
        <w:gridCol w:w="1400"/>
      </w:tblGrid>
      <w:tr>
        <w:trPr>
          <w:tblHeader/>
        </w:trPr>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Resource Category</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Resource</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 and Provision</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Human Resources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Manager</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Dedicated ISMS governance role with defined time allocation (minimum 50% FTE equivalent for a sub-10 person organisation at certification stage). Responsible for day-to-day ISMS operation, documentation, audit coordination, and reporting.</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MD</w:t>
            </w:r>
          </w:p>
        </w:tc>
        <w:tc>
          <w:tcPr>
            <w:tcW w:type="dxa" w:w="14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Active</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Human Resources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Head of Technology</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Technical ISMS support role responsible for implementation and maintenance of technical controls, asset management, vulnerability management, and cloud security configuration.</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MD</w:t>
            </w:r>
          </w:p>
        </w:tc>
        <w:tc>
          <w:tcPr>
            <w:tcW w:type="dxa" w:w="14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Active</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Human Resources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Internal Auditor</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Qualified internal auditor (may be ISM or independent contractor) to conduct annual ISMS internal audit programme. Independence from audited processes is required.</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w:t>
            </w:r>
          </w:p>
        </w:tc>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Human Resources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Staff</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employees and contractors contribute to ISMS effectiveness through adherence to policies, participation in training, and incident reporting. Time is allocated for mandatory awareness activities.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MD / ISM</w:t>
            </w:r>
          </w:p>
        </w:tc>
        <w:tc>
          <w:tcPr>
            <w:tcW w:type="dxa" w:w="14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Active</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Financial</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 Annual Budget</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Formally approved annual budget covering: certification body fees (initial + surveillance); tooling and platform costs; training and professional development; external advisory support; internal audit costs. Budget approved by MD at management review.</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MD</w:t>
            </w:r>
          </w:p>
        </w:tc>
        <w:tc>
          <w:tcPr>
            <w:tcW w:type="dxa" w:w="1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Financial</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Cyber Liability Insurance</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Cyber liability insurance maintained as a risk transfer mechanism supplementing technical controls. Covers incident response costs, regulatory fines, and third-party liability. Policy terms reviewed annually.</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MD</w:t>
            </w:r>
          </w:p>
        </w:tc>
        <w:tc>
          <w:tcPr>
            <w:tcW w:type="dxa" w:w="14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Active</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Technology</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Microsoft Security Stack</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Microsoft Defender for Endpoint, Microsoft Sentinel (SIEM/SOAR), Microsoft Entra ID P2, Microsoft Defender for Cloud (CSPM), and Intune MDM/MAM. Licensed and deployed as primary security controls platform.</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HoT</w:t>
            </w:r>
          </w:p>
        </w:tc>
        <w:tc>
          <w:tcPr>
            <w:tcW w:type="dxa" w:w="14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Active</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Technology</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Privileged Access Management (PAM)</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PAM tooling for privileged session recording, just-in-time access, and credential vaulting for client environment access. Solution to be selected and deployed as part of ISK-001 treatment.</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HoT</w:t>
            </w:r>
          </w:p>
        </w:tc>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Technology</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 Awareness Platform</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E-learning and simulated phishing platform to deliver mandatory awareness training (TRN-005) and quarterly phishing simulations (TRN-007) with completion tracking and metrics reporting.</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w:t>
            </w:r>
          </w:p>
        </w:tc>
        <w:tc>
          <w:tcPr>
            <w:tcW w:type="dxa" w:w="1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Technology</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 Document Management</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Document management capability (SharePoint / equivalent) providing version-controlled storage, access control, and document lifecycle management for all ISMS documented information per Clause 7.5.3.</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 HoT</w:t>
            </w:r>
          </w:p>
        </w:tc>
        <w:tc>
          <w:tcPr>
            <w:tcW w:type="dxa" w:w="14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Active</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Technology</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Vulnerability Scanner</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Vulnerability scanning capability (Microsoft Defender Vulnerability Management or equivalent) covering all endpoints and cloud configurations per ISMS-VUL-001.</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HoT</w:t>
            </w:r>
          </w:p>
        </w:tc>
        <w:tc>
          <w:tcPr>
            <w:tcW w:type="dxa" w:w="1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External</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ISO 27001 Certification Body</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Accredited certification body engaged for initial ISO 27001:2022 certification audit (Stage 1 documentation review + Stage 2 site audit) and ongoing surveillance audits. UKAS-accredited body preferred for UK public sector client confidence.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MD / ISM</w:t>
            </w:r>
          </w:p>
        </w:tc>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External</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External ISMS Consultant / IR Retainer</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External ISO 27001 advisory support for gap assessment and pre-certification readiness. Separate external incident response retainer for surge support during major incidents (ISK-011 treatment).</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 MD</w:t>
            </w:r>
          </w:p>
        </w:tc>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bl>
    <w:p>
      <w:pPr>
        <w:spacing w:after="120" w:before="120"/>
      </w:pPr>
    </w:p>
    <w:p>
      <w:pPr>
        <w:pStyle w:val="Heading2"/>
        <w:spacing w:after="80" w:before="240"/>
      </w:pPr>
      <w:r>
        <w:rPr>
          <w:rFonts w:ascii="Arial" w:cs="Arial" w:eastAsia="Arial" w:hAnsi="Arial"/>
          <w:b/>
          <w:bCs/>
          <w:color w:val="2E75B6"/>
          <w:sz w:val="26"/>
          <w:szCs w:val="26"/>
        </w:rPr>
        <w:t xml:space="preserve">2.2 Resource Review</w:t>
      </w:r>
    </w:p>
    <w:p>
      <w:pPr>
        <w:spacing w:after="80" w:before="80"/>
        <w:jc w:val="left"/>
      </w:pPr>
      <w:r>
        <w:rPr>
          <w:rFonts w:ascii="Arial" w:cs="Arial" w:eastAsia="Arial" w:hAnsi="Arial"/>
          <w:b w:val="false"/>
          <w:bCs w:val="false"/>
          <w:color w:val="000000"/>
          <w:sz w:val="20"/>
          <w:szCs w:val="20"/>
        </w:rPr>
        <w:t xml:space="preserve">Resource adequacy is reviewed at each ISMS Management Review (ISMS-MR-001) as a standing agenda item. The ISM presents a resource assessment covering: sufficiency of human resource allocation for ISMS activities; budget variance against approved allocation; technology tooling coverage against control requirements; and identification of any resource gaps requiring management action.</w:t>
      </w:r>
    </w:p>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3. Clause 7.2 — Competence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7.2</w:t>
            </w:r>
          </w:p>
          <w:p>
            <w:pPr>
              <w:jc w:val="center"/>
            </w:pPr>
            <w:r>
              <w:rPr>
                <w:rFonts w:ascii="Arial" w:cs="Arial" w:eastAsia="Arial" w:hAnsi="Arial"/>
                <w:color w:val="D6E4F0"/>
                <w:sz w:val="14"/>
                <w:szCs w:val="14"/>
              </w:rPr>
              <w:t xml:space="preserve">Competence</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The organisation shall determine necessary competence of persons whose work affects its information security performance, ensure they are competent through education/training/experience, take actions to acquire necessary competence and evaluate effectiveness, and retain documented information as evidence.</w:t>
            </w:r>
          </w:p>
        </w:tc>
      </w:tr>
    </w:tbl>
    <w:p>
      <w:pPr>
        <w:spacing w:after="120" w:before="120"/>
      </w:pPr>
    </w:p>
    <w:p>
      <w:pPr>
        <w:pStyle w:val="Heading2"/>
        <w:spacing w:after="80" w:before="240"/>
      </w:pPr>
      <w:r>
        <w:rPr>
          <w:rFonts w:ascii="Arial" w:cs="Arial" w:eastAsia="Arial" w:hAnsi="Arial"/>
          <w:b/>
          <w:bCs/>
          <w:color w:val="2E75B6"/>
          <w:sz w:val="26"/>
          <w:szCs w:val="26"/>
        </w:rPr>
        <w:t xml:space="preserve">3.1 Competence Framework</w:t>
      </w:r>
    </w:p>
    <w:p>
      <w:pPr>
        <w:spacing w:after="80" w:before="80"/>
        <w:jc w:val="left"/>
      </w:pPr>
      <w:r>
        <w:rPr>
          <w:rFonts w:ascii="Arial" w:cs="Arial" w:eastAsia="Arial" w:hAnsi="Arial"/>
          <w:b w:val="false"/>
          <w:bCs w:val="false"/>
          <w:color w:val="000000"/>
          <w:sz w:val="20"/>
          <w:szCs w:val="20"/>
        </w:rPr>
        <w:t xml:space="preserve">The competence framework defines the information security knowledge and skills required for each role within the ISMS scope. Competence requirements are determined by the ISM, reviewed annually, and used to identify training needs and assess competence gaps.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1300"/>
        <w:gridCol w:w="1500"/>
        <w:gridCol w:w="1860"/>
      </w:tblGrid>
      <w:tr>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Competency Level</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70AD47"/>
                <w:sz w:val="22"/>
                <w:szCs w:val="22"/>
              </w:rPr>
              <w:t xml:space="preserve">E</w:t>
            </w:r>
          </w:p>
          <w:p>
            <w:pPr>
              <w:jc w:val="center"/>
            </w:pPr>
            <w:r>
              <w:rPr>
                <w:rFonts w:ascii="Arial" w:cs="Arial" w:eastAsia="Arial" w:hAnsi="Arial"/>
                <w:b/>
                <w:bCs/>
                <w:color w:val="70AD47"/>
                <w:sz w:val="16"/>
                <w:szCs w:val="16"/>
              </w:rPr>
              <w:t xml:space="preserve">Expert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ED7D31"/>
                <w:sz w:val="22"/>
                <w:szCs w:val="22"/>
              </w:rPr>
              <w:t xml:space="preserve">P</w:t>
            </w:r>
          </w:p>
          <w:p>
            <w:pPr>
              <w:jc w:val="center"/>
            </w:pPr>
            <w:r>
              <w:rPr>
                <w:rFonts w:ascii="Arial" w:cs="Arial" w:eastAsia="Arial" w:hAnsi="Arial"/>
                <w:b/>
                <w:bCs/>
                <w:color w:val="ED7D31"/>
                <w:sz w:val="16"/>
                <w:szCs w:val="16"/>
              </w:rPr>
              <w:t xml:space="preserve">Proficient</w:t>
            </w:r>
          </w:p>
        </w:tc>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W</w:t>
            </w:r>
          </w:p>
          <w:p>
            <w:pPr>
              <w:jc w:val="center"/>
            </w:pPr>
            <w:r>
              <w:rPr>
                <w:rFonts w:ascii="Arial" w:cs="Arial" w:eastAsia="Arial" w:hAnsi="Arial"/>
                <w:b/>
                <w:bCs/>
                <w:color w:val="2E75B6"/>
                <w:sz w:val="16"/>
                <w:szCs w:val="16"/>
              </w:rPr>
              <w:t xml:space="preserve">Working</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404040"/>
                <w:sz w:val="22"/>
                <w:szCs w:val="22"/>
              </w:rPr>
              <w:t xml:space="preserve">A</w:t>
            </w:r>
          </w:p>
          <w:p>
            <w:pPr>
              <w:jc w:val="center"/>
            </w:pPr>
            <w:r>
              <w:rPr>
                <w:rFonts w:ascii="Arial" w:cs="Arial" w:eastAsia="Arial" w:hAnsi="Arial"/>
                <w:b/>
                <w:bCs/>
                <w:color w:val="404040"/>
                <w:sz w:val="16"/>
                <w:szCs w:val="16"/>
              </w:rPr>
              <w:t xml:space="preserve">Awareness</w:t>
            </w:r>
          </w:p>
        </w:tc>
        <w:tc>
          <w:tcPr>
            <w:tcW w:type="dxa" w:w="1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AAAAAA"/>
                <w:sz w:val="22"/>
                <w:szCs w:val="22"/>
              </w:rPr>
              <w:t xml:space="preserve">—</w:t>
            </w:r>
          </w:p>
          <w:p>
            <w:pPr>
              <w:jc w:val="center"/>
            </w:pPr>
            <w:r>
              <w:rPr>
                <w:rFonts w:ascii="Arial" w:cs="Arial" w:eastAsia="Arial" w:hAnsi="Arial"/>
                <w:b/>
                <w:bCs/>
                <w:color w:val="AAAAAA"/>
                <w:sz w:val="16"/>
                <w:szCs w:val="16"/>
              </w:rPr>
              <w:t xml:space="preserve">Not Required</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Description</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Deep specialist knowledge; can lead, design, and advise. Relevant professional qualification expected.</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Broad knowledge with ability to apply independently. Can train others. Qualification or equivalent experience.</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Understands and can apply with some guidance. Actively developing towards proficiency.</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Basic understanding of concepts and applicability to their role. Annual awareness training sufficient.</w:t>
            </w:r>
          </w:p>
        </w:tc>
        <w:tc>
          <w:tcPr>
            <w:tcW w:type="dxa" w:w="1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Role does not interact with this domain; no competence requirement.</w:t>
            </w:r>
          </w:p>
        </w:tc>
      </w:tr>
    </w:tbl>
    <w:p>
      <w:pPr>
        <w:spacing w:after="120" w:before="120"/>
      </w:pPr>
    </w:p>
    <w:p>
      <w:pPr>
        <w:pStyle w:val="Heading2"/>
        <w:spacing w:after="80" w:before="240"/>
      </w:pPr>
      <w:r>
        <w:rPr>
          <w:rFonts w:ascii="Arial" w:cs="Arial" w:eastAsia="Arial" w:hAnsi="Arial"/>
          <w:b/>
          <w:bCs/>
          <w:color w:val="2E75B6"/>
          <w:sz w:val="26"/>
          <w:szCs w:val="26"/>
        </w:rPr>
        <w:t xml:space="preserve">3.2 Skills and Competency Matrix</w:t>
      </w:r>
    </w:p>
    <w:p>
      <w:pPr>
        <w:spacing w:after="80" w:before="80"/>
        <w:jc w:val="left"/>
      </w:pPr>
      <w:r>
        <w:rPr>
          <w:rFonts w:ascii="Arial" w:cs="Arial" w:eastAsia="Arial" w:hAnsi="Arial"/>
          <w:b w:val="false"/>
          <w:bCs w:val="false"/>
          <w:color w:val="000000"/>
          <w:sz w:val="20"/>
          <w:szCs w:val="20"/>
        </w:rPr>
        <w:t xml:space="preserve">The matrix below defines the required competency level for each ISMS-relevant domain across all defined roles. Required levels are used to assess current competency, identify gaps, and plan training interventions. Roles: MD = Managing Director, ISM = Information Security Manager, HoT = Head of Technology.</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260"/>
        <w:gridCol w:w="800"/>
        <w:gridCol w:w="800"/>
        <w:gridCol w:w="800"/>
        <w:gridCol w:w="1000"/>
        <w:gridCol w:w="1000"/>
        <w:gridCol w:w="1600"/>
      </w:tblGrid>
      <w:tr>
        <w:trPr>
          <w:tblHeader/>
        </w:trPr>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Competency Domain</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MD</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ISM</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HoT</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All Staff</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Contractors</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Type</w:t>
            </w:r>
          </w:p>
        </w:tc>
      </w:tr>
      <w:tr>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Fundamentals (CIA, threats, controls)</w:t>
            </w:r>
          </w:p>
        </w:tc>
        <w:tc>
          <w:tcPr>
            <w:tcW w:type="dxa" w:w="8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800"/>
            <w:tcBorders>
              <w:top w:val="single" w:color="CCCCCC" w:sz="1"/>
              <w:left w:val="single" w:color="CCCCCC" w:sz="1"/>
              <w:bottom w:val="single" w:color="CCCCCC" w:sz="1"/>
              <w:right w:val="single" w:color="CCCCCC" w:sz="1"/>
            </w:tcBorders>
            <w:shd w:fill="70AD47"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E</w:t>
            </w:r>
          </w:p>
        </w:tc>
        <w:tc>
          <w:tcPr>
            <w:tcW w:type="dxa" w:w="800"/>
            <w:tcBorders>
              <w:top w:val="single" w:color="CCCCCC" w:sz="1"/>
              <w:left w:val="single" w:color="CCCCCC" w:sz="1"/>
              <w:bottom w:val="single" w:color="CCCCCC" w:sz="1"/>
              <w:right w:val="single" w:color="CCCCCC" w:sz="1"/>
            </w:tcBorders>
            <w:shd w:fill="ED7D3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P</w:t>
            </w:r>
          </w:p>
        </w:tc>
        <w:tc>
          <w:tcPr>
            <w:tcW w:type="dxa" w:w="10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10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Certificate / CPD</w:t>
            </w:r>
          </w:p>
        </w:tc>
      </w:tr>
      <w:tr>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ISO 27001:2022 Requirements and ISMS Structure</w:t>
            </w:r>
          </w:p>
        </w:tc>
        <w:tc>
          <w:tcPr>
            <w:tcW w:type="dxa" w:w="8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W</w:t>
            </w:r>
          </w:p>
        </w:tc>
        <w:tc>
          <w:tcPr>
            <w:tcW w:type="dxa" w:w="800"/>
            <w:tcBorders>
              <w:top w:val="single" w:color="CCCCCC" w:sz="1"/>
              <w:left w:val="single" w:color="CCCCCC" w:sz="1"/>
              <w:bottom w:val="single" w:color="CCCCCC" w:sz="1"/>
              <w:right w:val="single" w:color="CCCCCC" w:sz="1"/>
            </w:tcBorders>
            <w:shd w:fill="70AD47"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E</w:t>
            </w:r>
          </w:p>
        </w:tc>
        <w:tc>
          <w:tcPr>
            <w:tcW w:type="dxa" w:w="8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W</w:t>
            </w:r>
          </w:p>
        </w:tc>
        <w:tc>
          <w:tcPr>
            <w:tcW w:type="dxa" w:w="10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10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Certificate / CPD</w:t>
            </w:r>
          </w:p>
        </w:tc>
      </w:tr>
      <w:tr>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Risk Assessment and Treatment Methodology</w:t>
            </w:r>
          </w:p>
        </w:tc>
        <w:tc>
          <w:tcPr>
            <w:tcW w:type="dxa" w:w="8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W</w:t>
            </w:r>
          </w:p>
        </w:tc>
        <w:tc>
          <w:tcPr>
            <w:tcW w:type="dxa" w:w="800"/>
            <w:tcBorders>
              <w:top w:val="single" w:color="CCCCCC" w:sz="1"/>
              <w:left w:val="single" w:color="CCCCCC" w:sz="1"/>
              <w:bottom w:val="single" w:color="CCCCCC" w:sz="1"/>
              <w:right w:val="single" w:color="CCCCCC" w:sz="1"/>
            </w:tcBorders>
            <w:shd w:fill="70AD47"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E</w:t>
            </w:r>
          </w:p>
        </w:tc>
        <w:tc>
          <w:tcPr>
            <w:tcW w:type="dxa" w:w="8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W</w:t>
            </w:r>
          </w:p>
        </w:tc>
        <w:tc>
          <w:tcPr>
            <w:tcW w:type="dxa" w:w="10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1000"/>
            <w:tcBorders>
              <w:top w:val="single" w:color="CCCCCC" w:sz="1"/>
              <w:left w:val="single" w:color="CCCCCC" w:sz="1"/>
              <w:bottom w:val="single" w:color="CCCCCC" w:sz="1"/>
              <w:right w:val="single" w:color="CCCCCC" w:sz="1"/>
            </w:tcBorders>
            <w:shd w:fill="DDDDDD" w:val="clear"/>
            <w:tcMar>
              <w:top w:type="dxa" w:w="80"/>
              <w:left w:type="dxa" w:w="60"/>
              <w:bottom w:type="dxa" w:w="80"/>
              <w:right w:type="dxa" w:w="60"/>
            </w:tcMar>
            <w:vAlign w:val="center"/>
          </w:tcPr>
          <w:p>
            <w:pPr>
              <w:jc w:val="center"/>
            </w:pPr>
            <w:r>
              <w:rPr>
                <w:rFonts w:ascii="Arial" w:cs="Arial" w:eastAsia="Arial" w:hAnsi="Arial"/>
                <w:b w:val="false"/>
                <w:bCs w:val="false"/>
                <w:color w:val="888888"/>
                <w:sz w:val="18"/>
                <w:szCs w:val="18"/>
              </w:rPr>
              <w:t xml:space="preserv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Certificate / CPD</w:t>
            </w:r>
          </w:p>
        </w:tc>
      </w:tr>
      <w:tr>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Policy and Procedures</w:t>
            </w:r>
          </w:p>
        </w:tc>
        <w:tc>
          <w:tcPr>
            <w:tcW w:type="dxa" w:w="8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W</w:t>
            </w:r>
          </w:p>
        </w:tc>
        <w:tc>
          <w:tcPr>
            <w:tcW w:type="dxa" w:w="800"/>
            <w:tcBorders>
              <w:top w:val="single" w:color="CCCCCC" w:sz="1"/>
              <w:left w:val="single" w:color="CCCCCC" w:sz="1"/>
              <w:bottom w:val="single" w:color="CCCCCC" w:sz="1"/>
              <w:right w:val="single" w:color="CCCCCC" w:sz="1"/>
            </w:tcBorders>
            <w:shd w:fill="70AD47"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E</w:t>
            </w:r>
          </w:p>
        </w:tc>
        <w:tc>
          <w:tcPr>
            <w:tcW w:type="dxa" w:w="800"/>
            <w:tcBorders>
              <w:top w:val="single" w:color="CCCCCC" w:sz="1"/>
              <w:left w:val="single" w:color="CCCCCC" w:sz="1"/>
              <w:bottom w:val="single" w:color="CCCCCC" w:sz="1"/>
              <w:right w:val="single" w:color="CCCCCC" w:sz="1"/>
            </w:tcBorders>
            <w:shd w:fill="ED7D3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P</w:t>
            </w:r>
          </w:p>
        </w:tc>
        <w:tc>
          <w:tcPr>
            <w:tcW w:type="dxa" w:w="10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10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Certificate / CPD</w:t>
            </w:r>
          </w:p>
        </w:tc>
      </w:tr>
      <w:tr>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 Protection — UK GDPR / DPA 2018</w:t>
            </w:r>
          </w:p>
        </w:tc>
        <w:tc>
          <w:tcPr>
            <w:tcW w:type="dxa" w:w="8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W</w:t>
            </w:r>
          </w:p>
        </w:tc>
        <w:tc>
          <w:tcPr>
            <w:tcW w:type="dxa" w:w="800"/>
            <w:tcBorders>
              <w:top w:val="single" w:color="CCCCCC" w:sz="1"/>
              <w:left w:val="single" w:color="CCCCCC" w:sz="1"/>
              <w:bottom w:val="single" w:color="CCCCCC" w:sz="1"/>
              <w:right w:val="single" w:color="CCCCCC" w:sz="1"/>
            </w:tcBorders>
            <w:shd w:fill="ED7D3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P</w:t>
            </w:r>
          </w:p>
        </w:tc>
        <w:tc>
          <w:tcPr>
            <w:tcW w:type="dxa" w:w="8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W</w:t>
            </w:r>
          </w:p>
        </w:tc>
        <w:tc>
          <w:tcPr>
            <w:tcW w:type="dxa" w:w="10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10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Training record / awareness</w:t>
            </w:r>
          </w:p>
        </w:tc>
      </w:tr>
      <w:tr>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Incident Detection and Reporting</w:t>
            </w:r>
          </w:p>
        </w:tc>
        <w:tc>
          <w:tcPr>
            <w:tcW w:type="dxa" w:w="8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800"/>
            <w:tcBorders>
              <w:top w:val="single" w:color="CCCCCC" w:sz="1"/>
              <w:left w:val="single" w:color="CCCCCC" w:sz="1"/>
              <w:bottom w:val="single" w:color="CCCCCC" w:sz="1"/>
              <w:right w:val="single" w:color="CCCCCC" w:sz="1"/>
            </w:tcBorders>
            <w:shd w:fill="70AD47"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E</w:t>
            </w:r>
          </w:p>
        </w:tc>
        <w:tc>
          <w:tcPr>
            <w:tcW w:type="dxa" w:w="800"/>
            <w:tcBorders>
              <w:top w:val="single" w:color="CCCCCC" w:sz="1"/>
              <w:left w:val="single" w:color="CCCCCC" w:sz="1"/>
              <w:bottom w:val="single" w:color="CCCCCC" w:sz="1"/>
              <w:right w:val="single" w:color="CCCCCC" w:sz="1"/>
            </w:tcBorders>
            <w:shd w:fill="ED7D3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P</w:t>
            </w:r>
          </w:p>
        </w:tc>
        <w:tc>
          <w:tcPr>
            <w:tcW w:type="dxa" w:w="10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10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Certificate / CPD</w:t>
            </w:r>
          </w:p>
        </w:tc>
      </w:tr>
      <w:tr>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Incident Response Management</w:t>
            </w:r>
          </w:p>
        </w:tc>
        <w:tc>
          <w:tcPr>
            <w:tcW w:type="dxa" w:w="8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800"/>
            <w:tcBorders>
              <w:top w:val="single" w:color="CCCCCC" w:sz="1"/>
              <w:left w:val="single" w:color="CCCCCC" w:sz="1"/>
              <w:bottom w:val="single" w:color="CCCCCC" w:sz="1"/>
              <w:right w:val="single" w:color="CCCCCC" w:sz="1"/>
            </w:tcBorders>
            <w:shd w:fill="70AD47"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E</w:t>
            </w:r>
          </w:p>
        </w:tc>
        <w:tc>
          <w:tcPr>
            <w:tcW w:type="dxa" w:w="800"/>
            <w:tcBorders>
              <w:top w:val="single" w:color="CCCCCC" w:sz="1"/>
              <w:left w:val="single" w:color="CCCCCC" w:sz="1"/>
              <w:bottom w:val="single" w:color="CCCCCC" w:sz="1"/>
              <w:right w:val="single" w:color="CCCCCC" w:sz="1"/>
            </w:tcBorders>
            <w:shd w:fill="ED7D3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P</w:t>
            </w:r>
          </w:p>
        </w:tc>
        <w:tc>
          <w:tcPr>
            <w:tcW w:type="dxa" w:w="1000"/>
            <w:tcBorders>
              <w:top w:val="single" w:color="CCCCCC" w:sz="1"/>
              <w:left w:val="single" w:color="CCCCCC" w:sz="1"/>
              <w:bottom w:val="single" w:color="CCCCCC" w:sz="1"/>
              <w:right w:val="single" w:color="CCCCCC" w:sz="1"/>
            </w:tcBorders>
            <w:shd w:fill="DDDDDD" w:val="clear"/>
            <w:tcMar>
              <w:top w:type="dxa" w:w="80"/>
              <w:left w:type="dxa" w:w="60"/>
              <w:bottom w:type="dxa" w:w="80"/>
              <w:right w:type="dxa" w:w="60"/>
            </w:tcMar>
            <w:vAlign w:val="center"/>
          </w:tcPr>
          <w:p>
            <w:pPr>
              <w:jc w:val="center"/>
            </w:pPr>
            <w:r>
              <w:rPr>
                <w:rFonts w:ascii="Arial" w:cs="Arial" w:eastAsia="Arial" w:hAnsi="Arial"/>
                <w:b w:val="false"/>
                <w:bCs w:val="false"/>
                <w:color w:val="888888"/>
                <w:sz w:val="18"/>
                <w:szCs w:val="18"/>
              </w:rPr>
              <w:t xml:space="preserve">—</w:t>
            </w:r>
          </w:p>
        </w:tc>
        <w:tc>
          <w:tcPr>
            <w:tcW w:type="dxa" w:w="1000"/>
            <w:tcBorders>
              <w:top w:val="single" w:color="CCCCCC" w:sz="1"/>
              <w:left w:val="single" w:color="CCCCCC" w:sz="1"/>
              <w:bottom w:val="single" w:color="CCCCCC" w:sz="1"/>
              <w:right w:val="single" w:color="CCCCCC" w:sz="1"/>
            </w:tcBorders>
            <w:shd w:fill="DDDDDD" w:val="clear"/>
            <w:tcMar>
              <w:top w:type="dxa" w:w="80"/>
              <w:left w:type="dxa" w:w="60"/>
              <w:bottom w:type="dxa" w:w="80"/>
              <w:right w:type="dxa" w:w="60"/>
            </w:tcMar>
            <w:vAlign w:val="center"/>
          </w:tcPr>
          <w:p>
            <w:pPr>
              <w:jc w:val="center"/>
            </w:pPr>
            <w:r>
              <w:rPr>
                <w:rFonts w:ascii="Arial" w:cs="Arial" w:eastAsia="Arial" w:hAnsi="Arial"/>
                <w:b w:val="false"/>
                <w:bCs w:val="false"/>
                <w:color w:val="888888"/>
                <w:sz w:val="18"/>
                <w:szCs w:val="18"/>
              </w:rPr>
              <w:t xml:space="preserv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Certificate / CPD</w:t>
            </w:r>
          </w:p>
        </w:tc>
      </w:tr>
      <w:tr>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Access Control and Identity Management</w:t>
            </w:r>
          </w:p>
        </w:tc>
        <w:tc>
          <w:tcPr>
            <w:tcW w:type="dxa" w:w="8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800"/>
            <w:tcBorders>
              <w:top w:val="single" w:color="CCCCCC" w:sz="1"/>
              <w:left w:val="single" w:color="CCCCCC" w:sz="1"/>
              <w:bottom w:val="single" w:color="CCCCCC" w:sz="1"/>
              <w:right w:val="single" w:color="CCCCCC" w:sz="1"/>
            </w:tcBorders>
            <w:shd w:fill="ED7D3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P</w:t>
            </w:r>
          </w:p>
        </w:tc>
        <w:tc>
          <w:tcPr>
            <w:tcW w:type="dxa" w:w="800"/>
            <w:tcBorders>
              <w:top w:val="single" w:color="CCCCCC" w:sz="1"/>
              <w:left w:val="single" w:color="CCCCCC" w:sz="1"/>
              <w:bottom w:val="single" w:color="CCCCCC" w:sz="1"/>
              <w:right w:val="single" w:color="CCCCCC" w:sz="1"/>
            </w:tcBorders>
            <w:shd w:fill="70AD47"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E</w:t>
            </w:r>
          </w:p>
        </w:tc>
        <w:tc>
          <w:tcPr>
            <w:tcW w:type="dxa" w:w="10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10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Certificate / CPD</w:t>
            </w:r>
          </w:p>
        </w:tc>
      </w:tr>
      <w:tr>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Privileged Access Management (PAM)</w:t>
            </w:r>
          </w:p>
        </w:tc>
        <w:tc>
          <w:tcPr>
            <w:tcW w:type="dxa" w:w="8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800"/>
            <w:tcBorders>
              <w:top w:val="single" w:color="CCCCCC" w:sz="1"/>
              <w:left w:val="single" w:color="CCCCCC" w:sz="1"/>
              <w:bottom w:val="single" w:color="CCCCCC" w:sz="1"/>
              <w:right w:val="single" w:color="CCCCCC" w:sz="1"/>
            </w:tcBorders>
            <w:shd w:fill="ED7D3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P</w:t>
            </w:r>
          </w:p>
        </w:tc>
        <w:tc>
          <w:tcPr>
            <w:tcW w:type="dxa" w:w="800"/>
            <w:tcBorders>
              <w:top w:val="single" w:color="CCCCCC" w:sz="1"/>
              <w:left w:val="single" w:color="CCCCCC" w:sz="1"/>
              <w:bottom w:val="single" w:color="CCCCCC" w:sz="1"/>
              <w:right w:val="single" w:color="CCCCCC" w:sz="1"/>
            </w:tcBorders>
            <w:shd w:fill="70AD47"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E</w:t>
            </w:r>
          </w:p>
        </w:tc>
        <w:tc>
          <w:tcPr>
            <w:tcW w:type="dxa" w:w="1000"/>
            <w:tcBorders>
              <w:top w:val="single" w:color="CCCCCC" w:sz="1"/>
              <w:left w:val="single" w:color="CCCCCC" w:sz="1"/>
              <w:bottom w:val="single" w:color="CCCCCC" w:sz="1"/>
              <w:right w:val="single" w:color="CCCCCC" w:sz="1"/>
            </w:tcBorders>
            <w:shd w:fill="DDDDDD" w:val="clear"/>
            <w:tcMar>
              <w:top w:type="dxa" w:w="80"/>
              <w:left w:type="dxa" w:w="60"/>
              <w:bottom w:type="dxa" w:w="80"/>
              <w:right w:type="dxa" w:w="60"/>
            </w:tcMar>
            <w:vAlign w:val="center"/>
          </w:tcPr>
          <w:p>
            <w:pPr>
              <w:jc w:val="center"/>
            </w:pPr>
            <w:r>
              <w:rPr>
                <w:rFonts w:ascii="Arial" w:cs="Arial" w:eastAsia="Arial" w:hAnsi="Arial"/>
                <w:b w:val="false"/>
                <w:bCs w:val="false"/>
                <w:color w:val="888888"/>
                <w:sz w:val="18"/>
                <w:szCs w:val="18"/>
              </w:rPr>
              <w:t xml:space="preserve">—</w:t>
            </w:r>
          </w:p>
        </w:tc>
        <w:tc>
          <w:tcPr>
            <w:tcW w:type="dxa" w:w="10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W</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Certificate / CPD</w:t>
            </w:r>
          </w:p>
        </w:tc>
      </w:tr>
      <w:tr>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Microsoft Security Stack (Defender, Sentinel, Entra ID)</w:t>
            </w:r>
          </w:p>
        </w:tc>
        <w:tc>
          <w:tcPr>
            <w:tcW w:type="dxa" w:w="800"/>
            <w:tcBorders>
              <w:top w:val="single" w:color="CCCCCC" w:sz="1"/>
              <w:left w:val="single" w:color="CCCCCC" w:sz="1"/>
              <w:bottom w:val="single" w:color="CCCCCC" w:sz="1"/>
              <w:right w:val="single" w:color="CCCCCC" w:sz="1"/>
            </w:tcBorders>
            <w:shd w:fill="DDDDDD" w:val="clear"/>
            <w:tcMar>
              <w:top w:type="dxa" w:w="80"/>
              <w:left w:type="dxa" w:w="60"/>
              <w:bottom w:type="dxa" w:w="80"/>
              <w:right w:type="dxa" w:w="60"/>
            </w:tcMar>
            <w:vAlign w:val="center"/>
          </w:tcPr>
          <w:p>
            <w:pPr>
              <w:jc w:val="center"/>
            </w:pPr>
            <w:r>
              <w:rPr>
                <w:rFonts w:ascii="Arial" w:cs="Arial" w:eastAsia="Arial" w:hAnsi="Arial"/>
                <w:b w:val="false"/>
                <w:bCs w:val="false"/>
                <w:color w:val="888888"/>
                <w:sz w:val="18"/>
                <w:szCs w:val="18"/>
              </w:rPr>
              <w:t xml:space="preserve">—</w:t>
            </w:r>
          </w:p>
        </w:tc>
        <w:tc>
          <w:tcPr>
            <w:tcW w:type="dxa" w:w="8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W</w:t>
            </w:r>
          </w:p>
        </w:tc>
        <w:tc>
          <w:tcPr>
            <w:tcW w:type="dxa" w:w="800"/>
            <w:tcBorders>
              <w:top w:val="single" w:color="CCCCCC" w:sz="1"/>
              <w:left w:val="single" w:color="CCCCCC" w:sz="1"/>
              <w:bottom w:val="single" w:color="CCCCCC" w:sz="1"/>
              <w:right w:val="single" w:color="CCCCCC" w:sz="1"/>
            </w:tcBorders>
            <w:shd w:fill="70AD47"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E</w:t>
            </w:r>
          </w:p>
        </w:tc>
        <w:tc>
          <w:tcPr>
            <w:tcW w:type="dxa" w:w="1000"/>
            <w:tcBorders>
              <w:top w:val="single" w:color="CCCCCC" w:sz="1"/>
              <w:left w:val="single" w:color="CCCCCC" w:sz="1"/>
              <w:bottom w:val="single" w:color="CCCCCC" w:sz="1"/>
              <w:right w:val="single" w:color="CCCCCC" w:sz="1"/>
            </w:tcBorders>
            <w:shd w:fill="DDDDDD" w:val="clear"/>
            <w:tcMar>
              <w:top w:type="dxa" w:w="80"/>
              <w:left w:type="dxa" w:w="60"/>
              <w:bottom w:type="dxa" w:w="80"/>
              <w:right w:type="dxa" w:w="60"/>
            </w:tcMar>
            <w:vAlign w:val="center"/>
          </w:tcPr>
          <w:p>
            <w:pPr>
              <w:jc w:val="center"/>
            </w:pPr>
            <w:r>
              <w:rPr>
                <w:rFonts w:ascii="Arial" w:cs="Arial" w:eastAsia="Arial" w:hAnsi="Arial"/>
                <w:b w:val="false"/>
                <w:bCs w:val="false"/>
                <w:color w:val="888888"/>
                <w:sz w:val="18"/>
                <w:szCs w:val="18"/>
              </w:rPr>
              <w:t xml:space="preserve">—</w:t>
            </w:r>
          </w:p>
        </w:tc>
        <w:tc>
          <w:tcPr>
            <w:tcW w:type="dxa" w:w="10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W</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Certificate / CPD</w:t>
            </w:r>
          </w:p>
        </w:tc>
      </w:tr>
      <w:tr>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Cloud Security (Azure / M365 configuration)</w:t>
            </w:r>
          </w:p>
        </w:tc>
        <w:tc>
          <w:tcPr>
            <w:tcW w:type="dxa" w:w="800"/>
            <w:tcBorders>
              <w:top w:val="single" w:color="CCCCCC" w:sz="1"/>
              <w:left w:val="single" w:color="CCCCCC" w:sz="1"/>
              <w:bottom w:val="single" w:color="CCCCCC" w:sz="1"/>
              <w:right w:val="single" w:color="CCCCCC" w:sz="1"/>
            </w:tcBorders>
            <w:shd w:fill="DDDDDD" w:val="clear"/>
            <w:tcMar>
              <w:top w:type="dxa" w:w="80"/>
              <w:left w:type="dxa" w:w="60"/>
              <w:bottom w:type="dxa" w:w="80"/>
              <w:right w:type="dxa" w:w="60"/>
            </w:tcMar>
            <w:vAlign w:val="center"/>
          </w:tcPr>
          <w:p>
            <w:pPr>
              <w:jc w:val="center"/>
            </w:pPr>
            <w:r>
              <w:rPr>
                <w:rFonts w:ascii="Arial" w:cs="Arial" w:eastAsia="Arial" w:hAnsi="Arial"/>
                <w:b w:val="false"/>
                <w:bCs w:val="false"/>
                <w:color w:val="888888"/>
                <w:sz w:val="18"/>
                <w:szCs w:val="18"/>
              </w:rPr>
              <w:t xml:space="preserve">—</w:t>
            </w:r>
          </w:p>
        </w:tc>
        <w:tc>
          <w:tcPr>
            <w:tcW w:type="dxa" w:w="8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W</w:t>
            </w:r>
          </w:p>
        </w:tc>
        <w:tc>
          <w:tcPr>
            <w:tcW w:type="dxa" w:w="800"/>
            <w:tcBorders>
              <w:top w:val="single" w:color="CCCCCC" w:sz="1"/>
              <w:left w:val="single" w:color="CCCCCC" w:sz="1"/>
              <w:bottom w:val="single" w:color="CCCCCC" w:sz="1"/>
              <w:right w:val="single" w:color="CCCCCC" w:sz="1"/>
            </w:tcBorders>
            <w:shd w:fill="70AD47"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E</w:t>
            </w:r>
          </w:p>
        </w:tc>
        <w:tc>
          <w:tcPr>
            <w:tcW w:type="dxa" w:w="1000"/>
            <w:tcBorders>
              <w:top w:val="single" w:color="CCCCCC" w:sz="1"/>
              <w:left w:val="single" w:color="CCCCCC" w:sz="1"/>
              <w:bottom w:val="single" w:color="CCCCCC" w:sz="1"/>
              <w:right w:val="single" w:color="CCCCCC" w:sz="1"/>
            </w:tcBorders>
            <w:shd w:fill="DDDDDD" w:val="clear"/>
            <w:tcMar>
              <w:top w:type="dxa" w:w="80"/>
              <w:left w:type="dxa" w:w="60"/>
              <w:bottom w:type="dxa" w:w="80"/>
              <w:right w:type="dxa" w:w="60"/>
            </w:tcMar>
            <w:vAlign w:val="center"/>
          </w:tcPr>
          <w:p>
            <w:pPr>
              <w:jc w:val="center"/>
            </w:pPr>
            <w:r>
              <w:rPr>
                <w:rFonts w:ascii="Arial" w:cs="Arial" w:eastAsia="Arial" w:hAnsi="Arial"/>
                <w:b w:val="false"/>
                <w:bCs w:val="false"/>
                <w:color w:val="888888"/>
                <w:sz w:val="18"/>
                <w:szCs w:val="18"/>
              </w:rPr>
              <w:t xml:space="preserve">—</w:t>
            </w:r>
          </w:p>
        </w:tc>
        <w:tc>
          <w:tcPr>
            <w:tcW w:type="dxa" w:w="10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W</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Certificate / CPD</w:t>
            </w:r>
          </w:p>
        </w:tc>
      </w:tr>
      <w:tr>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Vulnerability Management and Patch Compliance</w:t>
            </w:r>
          </w:p>
        </w:tc>
        <w:tc>
          <w:tcPr>
            <w:tcW w:type="dxa" w:w="800"/>
            <w:tcBorders>
              <w:top w:val="single" w:color="CCCCCC" w:sz="1"/>
              <w:left w:val="single" w:color="CCCCCC" w:sz="1"/>
              <w:bottom w:val="single" w:color="CCCCCC" w:sz="1"/>
              <w:right w:val="single" w:color="CCCCCC" w:sz="1"/>
            </w:tcBorders>
            <w:shd w:fill="DDDDDD" w:val="clear"/>
            <w:tcMar>
              <w:top w:type="dxa" w:w="80"/>
              <w:left w:type="dxa" w:w="60"/>
              <w:bottom w:type="dxa" w:w="80"/>
              <w:right w:type="dxa" w:w="60"/>
            </w:tcMar>
            <w:vAlign w:val="center"/>
          </w:tcPr>
          <w:p>
            <w:pPr>
              <w:jc w:val="center"/>
            </w:pPr>
            <w:r>
              <w:rPr>
                <w:rFonts w:ascii="Arial" w:cs="Arial" w:eastAsia="Arial" w:hAnsi="Arial"/>
                <w:b w:val="false"/>
                <w:bCs w:val="false"/>
                <w:color w:val="888888"/>
                <w:sz w:val="18"/>
                <w:szCs w:val="18"/>
              </w:rPr>
              <w:t xml:space="preserve">—</w:t>
            </w:r>
          </w:p>
        </w:tc>
        <w:tc>
          <w:tcPr>
            <w:tcW w:type="dxa" w:w="8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W</w:t>
            </w:r>
          </w:p>
        </w:tc>
        <w:tc>
          <w:tcPr>
            <w:tcW w:type="dxa" w:w="800"/>
            <w:tcBorders>
              <w:top w:val="single" w:color="CCCCCC" w:sz="1"/>
              <w:left w:val="single" w:color="CCCCCC" w:sz="1"/>
              <w:bottom w:val="single" w:color="CCCCCC" w:sz="1"/>
              <w:right w:val="single" w:color="CCCCCC" w:sz="1"/>
            </w:tcBorders>
            <w:shd w:fill="70AD47"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E</w:t>
            </w:r>
          </w:p>
        </w:tc>
        <w:tc>
          <w:tcPr>
            <w:tcW w:type="dxa" w:w="1000"/>
            <w:tcBorders>
              <w:top w:val="single" w:color="CCCCCC" w:sz="1"/>
              <w:left w:val="single" w:color="CCCCCC" w:sz="1"/>
              <w:bottom w:val="single" w:color="CCCCCC" w:sz="1"/>
              <w:right w:val="single" w:color="CCCCCC" w:sz="1"/>
            </w:tcBorders>
            <w:shd w:fill="DDDDDD" w:val="clear"/>
            <w:tcMar>
              <w:top w:type="dxa" w:w="80"/>
              <w:left w:type="dxa" w:w="60"/>
              <w:bottom w:type="dxa" w:w="80"/>
              <w:right w:type="dxa" w:w="60"/>
            </w:tcMar>
            <w:vAlign w:val="center"/>
          </w:tcPr>
          <w:p>
            <w:pPr>
              <w:jc w:val="center"/>
            </w:pPr>
            <w:r>
              <w:rPr>
                <w:rFonts w:ascii="Arial" w:cs="Arial" w:eastAsia="Arial" w:hAnsi="Arial"/>
                <w:b w:val="false"/>
                <w:bCs w:val="false"/>
                <w:color w:val="888888"/>
                <w:sz w:val="18"/>
                <w:szCs w:val="18"/>
              </w:rPr>
              <w:t xml:space="preserve">—</w:t>
            </w:r>
          </w:p>
        </w:tc>
        <w:tc>
          <w:tcPr>
            <w:tcW w:type="dxa" w:w="10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W</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Certificate / CPD</w:t>
            </w:r>
          </w:p>
        </w:tc>
      </w:tr>
      <w:tr>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 Awareness and Social Engineering</w:t>
            </w:r>
          </w:p>
        </w:tc>
        <w:tc>
          <w:tcPr>
            <w:tcW w:type="dxa" w:w="8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800"/>
            <w:tcBorders>
              <w:top w:val="single" w:color="CCCCCC" w:sz="1"/>
              <w:left w:val="single" w:color="CCCCCC" w:sz="1"/>
              <w:bottom w:val="single" w:color="CCCCCC" w:sz="1"/>
              <w:right w:val="single" w:color="CCCCCC" w:sz="1"/>
            </w:tcBorders>
            <w:shd w:fill="ED7D3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P</w:t>
            </w:r>
          </w:p>
        </w:tc>
        <w:tc>
          <w:tcPr>
            <w:tcW w:type="dxa" w:w="8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W</w:t>
            </w:r>
          </w:p>
        </w:tc>
        <w:tc>
          <w:tcPr>
            <w:tcW w:type="dxa" w:w="10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10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Training record / awareness</w:t>
            </w:r>
          </w:p>
        </w:tc>
      </w:tr>
      <w:tr>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Supplier and Third-Party Security</w:t>
            </w:r>
          </w:p>
        </w:tc>
        <w:tc>
          <w:tcPr>
            <w:tcW w:type="dxa" w:w="8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W</w:t>
            </w:r>
          </w:p>
        </w:tc>
        <w:tc>
          <w:tcPr>
            <w:tcW w:type="dxa" w:w="800"/>
            <w:tcBorders>
              <w:top w:val="single" w:color="CCCCCC" w:sz="1"/>
              <w:left w:val="single" w:color="CCCCCC" w:sz="1"/>
              <w:bottom w:val="single" w:color="CCCCCC" w:sz="1"/>
              <w:right w:val="single" w:color="CCCCCC" w:sz="1"/>
            </w:tcBorders>
            <w:shd w:fill="ED7D3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P</w:t>
            </w:r>
          </w:p>
        </w:tc>
        <w:tc>
          <w:tcPr>
            <w:tcW w:type="dxa" w:w="8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W</w:t>
            </w:r>
          </w:p>
        </w:tc>
        <w:tc>
          <w:tcPr>
            <w:tcW w:type="dxa" w:w="10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1000"/>
            <w:tcBorders>
              <w:top w:val="single" w:color="CCCCCC" w:sz="1"/>
              <w:left w:val="single" w:color="CCCCCC" w:sz="1"/>
              <w:bottom w:val="single" w:color="CCCCCC" w:sz="1"/>
              <w:right w:val="single" w:color="CCCCCC" w:sz="1"/>
            </w:tcBorders>
            <w:shd w:fill="DDDDDD" w:val="clear"/>
            <w:tcMar>
              <w:top w:type="dxa" w:w="80"/>
              <w:left w:type="dxa" w:w="60"/>
              <w:bottom w:type="dxa" w:w="80"/>
              <w:right w:type="dxa" w:w="60"/>
            </w:tcMar>
            <w:vAlign w:val="center"/>
          </w:tcPr>
          <w:p>
            <w:pPr>
              <w:jc w:val="center"/>
            </w:pPr>
            <w:r>
              <w:rPr>
                <w:rFonts w:ascii="Arial" w:cs="Arial" w:eastAsia="Arial" w:hAnsi="Arial"/>
                <w:b w:val="false"/>
                <w:bCs w:val="false"/>
                <w:color w:val="888888"/>
                <w:sz w:val="18"/>
                <w:szCs w:val="18"/>
              </w:rPr>
              <w:t xml:space="preserv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Training record / awareness</w:t>
            </w:r>
          </w:p>
        </w:tc>
      </w:tr>
      <w:tr>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Business Continuity and Disaster Recovery</w:t>
            </w:r>
          </w:p>
        </w:tc>
        <w:tc>
          <w:tcPr>
            <w:tcW w:type="dxa" w:w="8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W</w:t>
            </w:r>
          </w:p>
        </w:tc>
        <w:tc>
          <w:tcPr>
            <w:tcW w:type="dxa" w:w="800"/>
            <w:tcBorders>
              <w:top w:val="single" w:color="CCCCCC" w:sz="1"/>
              <w:left w:val="single" w:color="CCCCCC" w:sz="1"/>
              <w:bottom w:val="single" w:color="CCCCCC" w:sz="1"/>
              <w:right w:val="single" w:color="CCCCCC" w:sz="1"/>
            </w:tcBorders>
            <w:shd w:fill="ED7D3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P</w:t>
            </w:r>
          </w:p>
        </w:tc>
        <w:tc>
          <w:tcPr>
            <w:tcW w:type="dxa" w:w="800"/>
            <w:tcBorders>
              <w:top w:val="single" w:color="CCCCCC" w:sz="1"/>
              <w:left w:val="single" w:color="CCCCCC" w:sz="1"/>
              <w:bottom w:val="single" w:color="CCCCCC" w:sz="1"/>
              <w:right w:val="single" w:color="CCCCCC" w:sz="1"/>
            </w:tcBorders>
            <w:shd w:fill="ED7D3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P</w:t>
            </w:r>
          </w:p>
        </w:tc>
        <w:tc>
          <w:tcPr>
            <w:tcW w:type="dxa" w:w="10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1000"/>
            <w:tcBorders>
              <w:top w:val="single" w:color="CCCCCC" w:sz="1"/>
              <w:left w:val="single" w:color="CCCCCC" w:sz="1"/>
              <w:bottom w:val="single" w:color="CCCCCC" w:sz="1"/>
              <w:right w:val="single" w:color="CCCCCC" w:sz="1"/>
            </w:tcBorders>
            <w:shd w:fill="DDDDDD" w:val="clear"/>
            <w:tcMar>
              <w:top w:type="dxa" w:w="80"/>
              <w:left w:type="dxa" w:w="60"/>
              <w:bottom w:type="dxa" w:w="80"/>
              <w:right w:type="dxa" w:w="60"/>
            </w:tcMar>
            <w:vAlign w:val="center"/>
          </w:tcPr>
          <w:p>
            <w:pPr>
              <w:jc w:val="center"/>
            </w:pPr>
            <w:r>
              <w:rPr>
                <w:rFonts w:ascii="Arial" w:cs="Arial" w:eastAsia="Arial" w:hAnsi="Arial"/>
                <w:b w:val="false"/>
                <w:bCs w:val="false"/>
                <w:color w:val="888888"/>
                <w:sz w:val="18"/>
                <w:szCs w:val="18"/>
              </w:rPr>
              <w:t xml:space="preserv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Training record / awareness</w:t>
            </w:r>
          </w:p>
        </w:tc>
      </w:tr>
      <w:tr>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Internal Audit Methodology</w:t>
            </w:r>
          </w:p>
        </w:tc>
        <w:tc>
          <w:tcPr>
            <w:tcW w:type="dxa" w:w="8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800"/>
            <w:tcBorders>
              <w:top w:val="single" w:color="CCCCCC" w:sz="1"/>
              <w:left w:val="single" w:color="CCCCCC" w:sz="1"/>
              <w:bottom w:val="single" w:color="CCCCCC" w:sz="1"/>
              <w:right w:val="single" w:color="CCCCCC" w:sz="1"/>
            </w:tcBorders>
            <w:shd w:fill="ED7D3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P</w:t>
            </w:r>
          </w:p>
        </w:tc>
        <w:tc>
          <w:tcPr>
            <w:tcW w:type="dxa" w:w="8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1000"/>
            <w:tcBorders>
              <w:top w:val="single" w:color="CCCCCC" w:sz="1"/>
              <w:left w:val="single" w:color="CCCCCC" w:sz="1"/>
              <w:bottom w:val="single" w:color="CCCCCC" w:sz="1"/>
              <w:right w:val="single" w:color="CCCCCC" w:sz="1"/>
            </w:tcBorders>
            <w:shd w:fill="DDDDDD" w:val="clear"/>
            <w:tcMar>
              <w:top w:type="dxa" w:w="80"/>
              <w:left w:type="dxa" w:w="60"/>
              <w:bottom w:type="dxa" w:w="80"/>
              <w:right w:type="dxa" w:w="60"/>
            </w:tcMar>
            <w:vAlign w:val="center"/>
          </w:tcPr>
          <w:p>
            <w:pPr>
              <w:jc w:val="center"/>
            </w:pPr>
            <w:r>
              <w:rPr>
                <w:rFonts w:ascii="Arial" w:cs="Arial" w:eastAsia="Arial" w:hAnsi="Arial"/>
                <w:b w:val="false"/>
                <w:bCs w:val="false"/>
                <w:color w:val="888888"/>
                <w:sz w:val="18"/>
                <w:szCs w:val="18"/>
              </w:rPr>
              <w:t xml:space="preserve">—</w:t>
            </w:r>
          </w:p>
        </w:tc>
        <w:tc>
          <w:tcPr>
            <w:tcW w:type="dxa" w:w="1000"/>
            <w:tcBorders>
              <w:top w:val="single" w:color="CCCCCC" w:sz="1"/>
              <w:left w:val="single" w:color="CCCCCC" w:sz="1"/>
              <w:bottom w:val="single" w:color="CCCCCC" w:sz="1"/>
              <w:right w:val="single" w:color="CCCCCC" w:sz="1"/>
            </w:tcBorders>
            <w:shd w:fill="DDDDDD" w:val="clear"/>
            <w:tcMar>
              <w:top w:type="dxa" w:w="80"/>
              <w:left w:type="dxa" w:w="60"/>
              <w:bottom w:type="dxa" w:w="80"/>
              <w:right w:type="dxa" w:w="60"/>
            </w:tcMar>
            <w:vAlign w:val="center"/>
          </w:tcPr>
          <w:p>
            <w:pPr>
              <w:jc w:val="center"/>
            </w:pPr>
            <w:r>
              <w:rPr>
                <w:rFonts w:ascii="Arial" w:cs="Arial" w:eastAsia="Arial" w:hAnsi="Arial"/>
                <w:b w:val="false"/>
                <w:bCs w:val="false"/>
                <w:color w:val="888888"/>
                <w:sz w:val="18"/>
                <w:szCs w:val="18"/>
              </w:rPr>
              <w:t xml:space="preserv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Training record / awareness</w:t>
            </w:r>
          </w:p>
        </w:tc>
      </w:tr>
      <w:tr>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 Architecture and Secure Design</w:t>
            </w:r>
          </w:p>
        </w:tc>
        <w:tc>
          <w:tcPr>
            <w:tcW w:type="dxa" w:w="800"/>
            <w:tcBorders>
              <w:top w:val="single" w:color="CCCCCC" w:sz="1"/>
              <w:left w:val="single" w:color="CCCCCC" w:sz="1"/>
              <w:bottom w:val="single" w:color="CCCCCC" w:sz="1"/>
              <w:right w:val="single" w:color="CCCCCC" w:sz="1"/>
            </w:tcBorders>
            <w:shd w:fill="DDDDDD" w:val="clear"/>
            <w:tcMar>
              <w:top w:type="dxa" w:w="80"/>
              <w:left w:type="dxa" w:w="60"/>
              <w:bottom w:type="dxa" w:w="80"/>
              <w:right w:type="dxa" w:w="60"/>
            </w:tcMar>
            <w:vAlign w:val="center"/>
          </w:tcPr>
          <w:p>
            <w:pPr>
              <w:jc w:val="center"/>
            </w:pPr>
            <w:r>
              <w:rPr>
                <w:rFonts w:ascii="Arial" w:cs="Arial" w:eastAsia="Arial" w:hAnsi="Arial"/>
                <w:b w:val="false"/>
                <w:bCs w:val="false"/>
                <w:color w:val="888888"/>
                <w:sz w:val="18"/>
                <w:szCs w:val="18"/>
              </w:rPr>
              <w:t xml:space="preserve">—</w:t>
            </w:r>
          </w:p>
        </w:tc>
        <w:tc>
          <w:tcPr>
            <w:tcW w:type="dxa" w:w="8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W</w:t>
            </w:r>
          </w:p>
        </w:tc>
        <w:tc>
          <w:tcPr>
            <w:tcW w:type="dxa" w:w="800"/>
            <w:tcBorders>
              <w:top w:val="single" w:color="CCCCCC" w:sz="1"/>
              <w:left w:val="single" w:color="CCCCCC" w:sz="1"/>
              <w:bottom w:val="single" w:color="CCCCCC" w:sz="1"/>
              <w:right w:val="single" w:color="CCCCCC" w:sz="1"/>
            </w:tcBorders>
            <w:shd w:fill="ED7D3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P</w:t>
            </w:r>
          </w:p>
        </w:tc>
        <w:tc>
          <w:tcPr>
            <w:tcW w:type="dxa" w:w="1000"/>
            <w:tcBorders>
              <w:top w:val="single" w:color="CCCCCC" w:sz="1"/>
              <w:left w:val="single" w:color="CCCCCC" w:sz="1"/>
              <w:bottom w:val="single" w:color="CCCCCC" w:sz="1"/>
              <w:right w:val="single" w:color="CCCCCC" w:sz="1"/>
            </w:tcBorders>
            <w:shd w:fill="DDDDDD" w:val="clear"/>
            <w:tcMar>
              <w:top w:type="dxa" w:w="80"/>
              <w:left w:type="dxa" w:w="60"/>
              <w:bottom w:type="dxa" w:w="80"/>
              <w:right w:type="dxa" w:w="60"/>
            </w:tcMar>
            <w:vAlign w:val="center"/>
          </w:tcPr>
          <w:p>
            <w:pPr>
              <w:jc w:val="center"/>
            </w:pPr>
            <w:r>
              <w:rPr>
                <w:rFonts w:ascii="Arial" w:cs="Arial" w:eastAsia="Arial" w:hAnsi="Arial"/>
                <w:b w:val="false"/>
                <w:bCs w:val="false"/>
                <w:color w:val="888888"/>
                <w:sz w:val="18"/>
                <w:szCs w:val="18"/>
              </w:rPr>
              <w:t xml:space="preserve">—</w:t>
            </w:r>
          </w:p>
        </w:tc>
        <w:tc>
          <w:tcPr>
            <w:tcW w:type="dxa" w:w="10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W</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Training record / awareness</w:t>
            </w:r>
          </w:p>
        </w:tc>
      </w:tr>
      <w:tr>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Forensics and Evidence Handling</w:t>
            </w:r>
          </w:p>
        </w:tc>
        <w:tc>
          <w:tcPr>
            <w:tcW w:type="dxa" w:w="800"/>
            <w:tcBorders>
              <w:top w:val="single" w:color="CCCCCC" w:sz="1"/>
              <w:left w:val="single" w:color="CCCCCC" w:sz="1"/>
              <w:bottom w:val="single" w:color="CCCCCC" w:sz="1"/>
              <w:right w:val="single" w:color="CCCCCC" w:sz="1"/>
            </w:tcBorders>
            <w:shd w:fill="DDDDDD" w:val="clear"/>
            <w:tcMar>
              <w:top w:type="dxa" w:w="80"/>
              <w:left w:type="dxa" w:w="60"/>
              <w:bottom w:type="dxa" w:w="80"/>
              <w:right w:type="dxa" w:w="60"/>
            </w:tcMar>
            <w:vAlign w:val="center"/>
          </w:tcPr>
          <w:p>
            <w:pPr>
              <w:jc w:val="center"/>
            </w:pPr>
            <w:r>
              <w:rPr>
                <w:rFonts w:ascii="Arial" w:cs="Arial" w:eastAsia="Arial" w:hAnsi="Arial"/>
                <w:b w:val="false"/>
                <w:bCs w:val="false"/>
                <w:color w:val="888888"/>
                <w:sz w:val="18"/>
                <w:szCs w:val="18"/>
              </w:rPr>
              <w:t xml:space="preserve">—</w:t>
            </w:r>
          </w:p>
        </w:tc>
        <w:tc>
          <w:tcPr>
            <w:tcW w:type="dxa" w:w="8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W</w:t>
            </w:r>
          </w:p>
        </w:tc>
        <w:tc>
          <w:tcPr>
            <w:tcW w:type="dxa" w:w="800"/>
            <w:tcBorders>
              <w:top w:val="single" w:color="CCCCCC" w:sz="1"/>
              <w:left w:val="single" w:color="CCCCCC" w:sz="1"/>
              <w:bottom w:val="single" w:color="CCCCCC" w:sz="1"/>
              <w:right w:val="single" w:color="CCCCCC" w:sz="1"/>
            </w:tcBorders>
            <w:shd w:fill="ED7D3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P</w:t>
            </w:r>
          </w:p>
        </w:tc>
        <w:tc>
          <w:tcPr>
            <w:tcW w:type="dxa" w:w="1000"/>
            <w:tcBorders>
              <w:top w:val="single" w:color="CCCCCC" w:sz="1"/>
              <w:left w:val="single" w:color="CCCCCC" w:sz="1"/>
              <w:bottom w:val="single" w:color="CCCCCC" w:sz="1"/>
              <w:right w:val="single" w:color="CCCCCC" w:sz="1"/>
            </w:tcBorders>
            <w:shd w:fill="DDDDDD" w:val="clear"/>
            <w:tcMar>
              <w:top w:type="dxa" w:w="80"/>
              <w:left w:type="dxa" w:w="60"/>
              <w:bottom w:type="dxa" w:w="80"/>
              <w:right w:type="dxa" w:w="60"/>
            </w:tcMar>
            <w:vAlign w:val="center"/>
          </w:tcPr>
          <w:p>
            <w:pPr>
              <w:jc w:val="center"/>
            </w:pPr>
            <w:r>
              <w:rPr>
                <w:rFonts w:ascii="Arial" w:cs="Arial" w:eastAsia="Arial" w:hAnsi="Arial"/>
                <w:b w:val="false"/>
                <w:bCs w:val="false"/>
                <w:color w:val="888888"/>
                <w:sz w:val="18"/>
                <w:szCs w:val="18"/>
              </w:rPr>
              <w:t xml:space="preserve">—</w:t>
            </w:r>
          </w:p>
        </w:tc>
        <w:tc>
          <w:tcPr>
            <w:tcW w:type="dxa" w:w="1000"/>
            <w:tcBorders>
              <w:top w:val="single" w:color="CCCCCC" w:sz="1"/>
              <w:left w:val="single" w:color="CCCCCC" w:sz="1"/>
              <w:bottom w:val="single" w:color="CCCCCC" w:sz="1"/>
              <w:right w:val="single" w:color="CCCCCC" w:sz="1"/>
            </w:tcBorders>
            <w:shd w:fill="DDDDDD" w:val="clear"/>
            <w:tcMar>
              <w:top w:type="dxa" w:w="80"/>
              <w:left w:type="dxa" w:w="60"/>
              <w:bottom w:type="dxa" w:w="80"/>
              <w:right w:type="dxa" w:w="60"/>
            </w:tcMar>
            <w:vAlign w:val="center"/>
          </w:tcPr>
          <w:p>
            <w:pPr>
              <w:jc w:val="center"/>
            </w:pPr>
            <w:r>
              <w:rPr>
                <w:rFonts w:ascii="Arial" w:cs="Arial" w:eastAsia="Arial" w:hAnsi="Arial"/>
                <w:b w:val="false"/>
                <w:bCs w:val="false"/>
                <w:color w:val="888888"/>
                <w:sz w:val="18"/>
                <w:szCs w:val="18"/>
              </w:rPr>
              <w:t xml:space="preserv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Training record / awareness</w:t>
            </w:r>
          </w:p>
        </w:tc>
      </w:tr>
      <w:tr>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Regulatory Compliance (NIS Regs, Cyber Essentials)</w:t>
            </w:r>
          </w:p>
        </w:tc>
        <w:tc>
          <w:tcPr>
            <w:tcW w:type="dxa" w:w="8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W</w:t>
            </w:r>
          </w:p>
        </w:tc>
        <w:tc>
          <w:tcPr>
            <w:tcW w:type="dxa" w:w="800"/>
            <w:tcBorders>
              <w:top w:val="single" w:color="CCCCCC" w:sz="1"/>
              <w:left w:val="single" w:color="CCCCCC" w:sz="1"/>
              <w:bottom w:val="single" w:color="CCCCCC" w:sz="1"/>
              <w:right w:val="single" w:color="CCCCCC" w:sz="1"/>
            </w:tcBorders>
            <w:shd w:fill="ED7D3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P</w:t>
            </w:r>
          </w:p>
        </w:tc>
        <w:tc>
          <w:tcPr>
            <w:tcW w:type="dxa" w:w="8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W</w:t>
            </w:r>
          </w:p>
        </w:tc>
        <w:tc>
          <w:tcPr>
            <w:tcW w:type="dxa" w:w="1000"/>
            <w:tcBorders>
              <w:top w:val="single" w:color="CCCCCC" w:sz="1"/>
              <w:left w:val="single" w:color="CCCCCC" w:sz="1"/>
              <w:bottom w:val="single" w:color="CCCCCC" w:sz="1"/>
              <w:right w:val="single" w:color="CCCCCC" w:sz="1"/>
            </w:tcBorders>
            <w:shd w:fill="DDDDDD" w:val="clear"/>
            <w:tcMar>
              <w:top w:type="dxa" w:w="80"/>
              <w:left w:type="dxa" w:w="60"/>
              <w:bottom w:type="dxa" w:w="80"/>
              <w:right w:type="dxa" w:w="60"/>
            </w:tcMar>
            <w:vAlign w:val="center"/>
          </w:tcPr>
          <w:p>
            <w:pPr>
              <w:jc w:val="center"/>
            </w:pPr>
            <w:r>
              <w:rPr>
                <w:rFonts w:ascii="Arial" w:cs="Arial" w:eastAsia="Arial" w:hAnsi="Arial"/>
                <w:b w:val="false"/>
                <w:bCs w:val="false"/>
                <w:color w:val="888888"/>
                <w:sz w:val="18"/>
                <w:szCs w:val="18"/>
              </w:rPr>
              <w:t xml:space="preserve">—</w:t>
            </w:r>
          </w:p>
        </w:tc>
        <w:tc>
          <w:tcPr>
            <w:tcW w:type="dxa" w:w="1000"/>
            <w:tcBorders>
              <w:top w:val="single" w:color="CCCCCC" w:sz="1"/>
              <w:left w:val="single" w:color="CCCCCC" w:sz="1"/>
              <w:bottom w:val="single" w:color="CCCCCC" w:sz="1"/>
              <w:right w:val="single" w:color="CCCCCC" w:sz="1"/>
            </w:tcBorders>
            <w:shd w:fill="DDDDDD" w:val="clear"/>
            <w:tcMar>
              <w:top w:type="dxa" w:w="80"/>
              <w:left w:type="dxa" w:w="60"/>
              <w:bottom w:type="dxa" w:w="80"/>
              <w:right w:type="dxa" w:w="60"/>
            </w:tcMar>
            <w:vAlign w:val="center"/>
          </w:tcPr>
          <w:p>
            <w:pPr>
              <w:jc w:val="center"/>
            </w:pPr>
            <w:r>
              <w:rPr>
                <w:rFonts w:ascii="Arial" w:cs="Arial" w:eastAsia="Arial" w:hAnsi="Arial"/>
                <w:b w:val="false"/>
                <w:bCs w:val="false"/>
                <w:color w:val="888888"/>
                <w:sz w:val="18"/>
                <w:szCs w:val="18"/>
              </w:rPr>
              <w:t xml:space="preserv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Training record / awareness</w:t>
            </w:r>
          </w:p>
        </w:tc>
      </w:tr>
      <w:tr>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 Documented Information Management</w:t>
            </w:r>
          </w:p>
        </w:tc>
        <w:tc>
          <w:tcPr>
            <w:tcW w:type="dxa" w:w="8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800"/>
            <w:tcBorders>
              <w:top w:val="single" w:color="CCCCCC" w:sz="1"/>
              <w:left w:val="single" w:color="CCCCCC" w:sz="1"/>
              <w:bottom w:val="single" w:color="CCCCCC" w:sz="1"/>
              <w:right w:val="single" w:color="CCCCCC" w:sz="1"/>
            </w:tcBorders>
            <w:shd w:fill="70AD47"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E</w:t>
            </w:r>
          </w:p>
        </w:tc>
        <w:tc>
          <w:tcPr>
            <w:tcW w:type="dxa" w:w="8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W</w:t>
            </w:r>
          </w:p>
        </w:tc>
        <w:tc>
          <w:tcPr>
            <w:tcW w:type="dxa" w:w="1000"/>
            <w:tcBorders>
              <w:top w:val="single" w:color="CCCCCC" w:sz="1"/>
              <w:left w:val="single" w:color="CCCCCC" w:sz="1"/>
              <w:bottom w:val="single" w:color="CCCCCC" w:sz="1"/>
              <w:right w:val="single" w:color="CCCCCC" w:sz="1"/>
            </w:tcBorders>
            <w:shd w:fill="D6E4F0" w:val="clear"/>
            <w:tcMar>
              <w:top w:type="dxa" w:w="80"/>
              <w:left w:type="dxa" w:w="60"/>
              <w:bottom w:type="dxa" w:w="80"/>
              <w:right w:type="dxa" w:w="60"/>
            </w:tcMar>
            <w:vAlign w:val="center"/>
          </w:tcPr>
          <w:p>
            <w:pPr>
              <w:jc w:val="center"/>
            </w:pPr>
            <w:r>
              <w:rPr>
                <w:rFonts w:ascii="Arial" w:cs="Arial" w:eastAsia="Arial" w:hAnsi="Arial"/>
                <w:b/>
                <w:bCs/>
                <w:color w:val="1F3864"/>
                <w:sz w:val="18"/>
                <w:szCs w:val="18"/>
              </w:rPr>
              <w:t xml:space="preserve">A</w:t>
            </w:r>
          </w:p>
        </w:tc>
        <w:tc>
          <w:tcPr>
            <w:tcW w:type="dxa" w:w="1000"/>
            <w:tcBorders>
              <w:top w:val="single" w:color="CCCCCC" w:sz="1"/>
              <w:left w:val="single" w:color="CCCCCC" w:sz="1"/>
              <w:bottom w:val="single" w:color="CCCCCC" w:sz="1"/>
              <w:right w:val="single" w:color="CCCCCC" w:sz="1"/>
            </w:tcBorders>
            <w:shd w:fill="DDDDDD" w:val="clear"/>
            <w:tcMar>
              <w:top w:type="dxa" w:w="80"/>
              <w:left w:type="dxa" w:w="60"/>
              <w:bottom w:type="dxa" w:w="80"/>
              <w:right w:type="dxa" w:w="60"/>
            </w:tcMar>
            <w:vAlign w:val="center"/>
          </w:tcPr>
          <w:p>
            <w:pPr>
              <w:jc w:val="center"/>
            </w:pPr>
            <w:r>
              <w:rPr>
                <w:rFonts w:ascii="Arial" w:cs="Arial" w:eastAsia="Arial" w:hAnsi="Arial"/>
                <w:b w:val="false"/>
                <w:bCs w:val="false"/>
                <w:color w:val="888888"/>
                <w:sz w:val="18"/>
                <w:szCs w:val="18"/>
              </w:rPr>
              <w:t xml:space="preserv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Certificate / CPD</w:t>
            </w:r>
          </w:p>
        </w:tc>
      </w:tr>
    </w:tbl>
    <w:p>
      <w:pPr>
        <w:spacing w:after="120" w:before="120"/>
      </w:pPr>
    </w:p>
    <w:p>
      <w:pPr>
        <w:pStyle w:val="Heading2"/>
        <w:spacing w:after="80" w:before="240"/>
      </w:pPr>
      <w:r>
        <w:rPr>
          <w:rFonts w:ascii="Arial" w:cs="Arial" w:eastAsia="Arial" w:hAnsi="Arial"/>
          <w:b/>
          <w:bCs/>
          <w:color w:val="2E75B6"/>
          <w:sz w:val="26"/>
          <w:szCs w:val="26"/>
        </w:rPr>
        <w:t xml:space="preserve">3.3 Training and Qualification Register</w:t>
      </w:r>
    </w:p>
    <w:p>
      <w:pPr>
        <w:spacing w:after="80" w:before="80"/>
        <w:jc w:val="left"/>
      </w:pPr>
      <w:r>
        <w:rPr>
          <w:rFonts w:ascii="Arial" w:cs="Arial" w:eastAsia="Arial" w:hAnsi="Arial"/>
          <w:b w:val="false"/>
          <w:bCs w:val="false"/>
          <w:color w:val="000000"/>
          <w:sz w:val="20"/>
          <w:szCs w:val="20"/>
        </w:rPr>
        <w:t xml:space="preserve">The following training and qualification activities are defined to meet the competency requirements above. Completion records for all mandatory training are retained in ISMS-TRN-REC as evidence of competence per Clause 7.2(d).</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000"/>
        <w:gridCol w:w="1300"/>
        <w:gridCol w:w="900"/>
        <w:gridCol w:w="1400"/>
        <w:gridCol w:w="1660"/>
      </w:tblGrid>
      <w:tr>
        <w:trPr>
          <w:tblHeader/>
        </w:trPr>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Training / Qualification</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Roles</w:t>
            </w:r>
          </w:p>
        </w:tc>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Frequency</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Provider</w:t>
            </w:r>
          </w:p>
        </w:tc>
        <w:tc>
          <w:tcPr>
            <w:tcW w:type="dxa" w:w="16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Retained</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TRN-001</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ISO 27001:2022 Lead Implementer or equivalent</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Mandatory</w:t>
            </w:r>
          </w:p>
        </w:tc>
        <w:tc>
          <w:tcPr>
            <w:tcW w:type="dxa" w:w="1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Once + updates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CQI/IRCA, BSI, or equivalent</w:t>
            </w:r>
          </w:p>
        </w:tc>
        <w:tc>
          <w:tcPr>
            <w:tcW w:type="dxa" w:w="1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Certificate (ISMS-TRN-REC)</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TRN-002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ISO 27001:2022 Internal Auditor</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Mandatory</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 Auditor</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Once + updates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CQI/IRCA, BSI, or equivalent</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Certificate (ISMS-TRN-REC)</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TRN-003</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UK GDPR Practitioner or equivalent</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Mandatory</w:t>
            </w:r>
          </w:p>
        </w:tc>
        <w:tc>
          <w:tcPr>
            <w:tcW w:type="dxa" w:w="1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 DPL</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Once + updates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BCS, IAPP, ISACA</w:t>
            </w:r>
          </w:p>
        </w:tc>
        <w:tc>
          <w:tcPr>
            <w:tcW w:type="dxa" w:w="1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Certificate (ISMS-TRN-REC)</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TRN-004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Microsoft Security certifications (SC-200, SC-300, AZ-500)</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Mandatory</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 / ISM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Biennial</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Microsoft Learn / exam</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Microsoft cert (ISMS-TRN-REC)</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TRN-005</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Annual ISMS Security Awareness Training</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Mandatory</w:t>
            </w:r>
          </w:p>
        </w:tc>
        <w:tc>
          <w:tcPr>
            <w:tcW w:type="dxa" w:w="1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All Staff + Contractors</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Annual</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Internal / platform</w:t>
            </w:r>
          </w:p>
        </w:tc>
        <w:tc>
          <w:tcPr>
            <w:tcW w:type="dxa" w:w="1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Completion record (ISMS-TRN-REC)</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TRN-006</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Security Induction — ISMS Policies and Procedures</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Mandatory</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All new starters / contractors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At onboarding</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Internal (ISM)</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Signed acknowledgement (ISMS-TRN-REC)</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TRN-007</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Simulated Phishing Exercise</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Mandatory</w:t>
            </w:r>
          </w:p>
        </w:tc>
        <w:tc>
          <w:tcPr>
            <w:tcW w:type="dxa" w:w="1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All Staff</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Quarterly</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Internal / platform</w:t>
            </w:r>
          </w:p>
        </w:tc>
        <w:tc>
          <w:tcPr>
            <w:tcW w:type="dxa" w:w="1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Click-rate metrics (ISMS-TRN-REC)</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TRN-008</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Incident Response Tabletop Exercise</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Mandatory</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HoT, MD</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Annual</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Internal / external facilitator</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Exercise report (ISMS-IRP-001)</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TRN-009</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Penetration Testing / Ethical Hacking (CPD)</w:t>
            </w:r>
          </w:p>
        </w:tc>
        <w:tc>
          <w:tcPr>
            <w:tcW w:type="dxa" w:w="10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Recommended</w:t>
            </w:r>
          </w:p>
        </w:tc>
        <w:tc>
          <w:tcPr>
            <w:tcW w:type="dxa" w:w="1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 / ISM</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Annual CPD</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CREST, SANS, OffSec</w:t>
            </w:r>
          </w:p>
        </w:tc>
        <w:tc>
          <w:tcPr>
            <w:tcW w:type="dxa" w:w="1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CPD record (ISMS-TRN-REC)</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TRN-010</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Threat Intelligence and OSINT</w:t>
            </w:r>
          </w:p>
        </w:tc>
        <w:tc>
          <w:tcPr>
            <w:tcW w:type="dxa" w:w="10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Recommended</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Annual CPD</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SANS, vendor training</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CPD record (ISMS-TRN-REC)</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TRN-011</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Cloud Security (CCSP or AZ-305)</w:t>
            </w:r>
          </w:p>
        </w:tc>
        <w:tc>
          <w:tcPr>
            <w:tcW w:type="dxa" w:w="10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Recommended</w:t>
            </w:r>
          </w:p>
        </w:tc>
        <w:tc>
          <w:tcPr>
            <w:tcW w:type="dxa" w:w="1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Biennial</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ISC2, Microsoft</w:t>
            </w:r>
          </w:p>
        </w:tc>
        <w:tc>
          <w:tcPr>
            <w:tcW w:type="dxa" w:w="1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Certificate (ISMS-TRN-REC)</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TRN-012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Business Continuity Management (ISO 22301 awareness)</w:t>
            </w:r>
          </w:p>
        </w:tc>
        <w:tc>
          <w:tcPr>
            <w:tcW w:type="dxa" w:w="10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Desirable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 HoT</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Once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BCI, BSI</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Certificate or attendance (ISMS-TRN-REC)</w:t>
            </w:r>
          </w:p>
        </w:tc>
      </w:tr>
    </w:tbl>
    <w:p>
      <w:pPr>
        <w:spacing w:after="120" w:before="120"/>
      </w:pPr>
    </w:p>
    <w:p>
      <w:pPr>
        <w:pStyle w:val="Heading2"/>
        <w:spacing w:after="80" w:before="240"/>
      </w:pPr>
      <w:r>
        <w:rPr>
          <w:rFonts w:ascii="Arial" w:cs="Arial" w:eastAsia="Arial" w:hAnsi="Arial"/>
          <w:b/>
          <w:bCs/>
          <w:color w:val="2E75B6"/>
          <w:sz w:val="26"/>
          <w:szCs w:val="26"/>
        </w:rPr>
        <w:t xml:space="preserve">3.4 Competence Gap Actions</w:t>
      </w:r>
    </w:p>
    <w:p>
      <w:pPr>
        <w:spacing w:after="80" w:before="80"/>
        <w:jc w:val="left"/>
      </w:pPr>
      <w:r>
        <w:rPr>
          <w:rFonts w:ascii="Arial" w:cs="Arial" w:eastAsia="Arial" w:hAnsi="Arial"/>
          <w:b w:val="false"/>
          <w:bCs w:val="false"/>
          <w:color w:val="000000"/>
          <w:sz w:val="20"/>
          <w:szCs w:val="20"/>
        </w:rPr>
        <w:t xml:space="preserve">Where a competence gap is identified — through the annual skills matrix review, a training needs analysis, audit finding, or post-incident review — the following action process applies: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260"/>
        <w:gridCol w:w="2200"/>
      </w:tblGrid>
      <w:tr>
        <w:trPr>
          <w:tblHeader/>
        </w:trPr>
        <w:tc>
          <w:tcPr>
            <w:tcW w:type="dxa" w:w="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Activity</w:t>
            </w:r>
          </w:p>
        </w:tc>
        <w:tc>
          <w:tcPr>
            <w:tcW w:type="dxa" w:w="4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Gap Identification</w:t>
            </w:r>
          </w:p>
        </w:tc>
        <w:tc>
          <w:tcPr>
            <w:tcW w:type="dxa" w:w="4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Competence gaps identified through: annual skills matrix review; new regulatory or technical requirement; audit finding; post-incident learning; role change or new hire.</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annually; line manager on change</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2</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Action Selection</w:t>
            </w:r>
          </w:p>
        </w:tc>
        <w:tc>
          <w:tcPr>
            <w:tcW w:type="dxa" w:w="4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Appropriate action selected from: provision of training; mentoring or coaching; reassignment of tasks to a competent person; hiring or contracting of competent personnel; as noted in ISO 27001:2022 Clause 7.2 Note.</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 MD</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3</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Action Implementation</w:t>
            </w:r>
          </w:p>
        </w:tc>
        <w:tc>
          <w:tcPr>
            <w:tcW w:type="dxa" w:w="4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Action implemented with target date. Resource allocation approved by MD. Training enrolment or contract engagement confirmed.</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 HR</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4</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Effectiveness Evaluation</w:t>
            </w:r>
          </w:p>
        </w:tc>
        <w:tc>
          <w:tcPr>
            <w:tcW w:type="dxa" w:w="4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Effectiveness evaluated within 90 days of action completion through: post-training assessment or quiz; direct observation; peer review; or re-assessment against the skills matrix. Result recorded in ISMS-TRN-REC.</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5</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Record Retention</w:t>
            </w:r>
          </w:p>
        </w:tc>
        <w:tc>
          <w:tcPr>
            <w:tcW w:type="dxa" w:w="4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training completion records, certificates, assessment results, and gap action outcomes retained in ISMS-TRN-REC for the duration of employment plus 3 years.</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w:t>
            </w:r>
          </w:p>
        </w:tc>
      </w:tr>
    </w:tbl>
    <w:p>
      <w:pPr>
        <w:spacing w:after="120" w:before="120"/>
      </w:pPr>
    </w:p>
    <w:p>
      <w:pPr>
        <w:pStyle w:val="Heading2"/>
        <w:spacing w:after="80" w:before="240"/>
      </w:pPr>
      <w:r>
        <w:rPr>
          <w:rFonts w:ascii="Arial" w:cs="Arial" w:eastAsia="Arial" w:hAnsi="Arial"/>
          <w:b/>
          <w:bCs/>
          <w:color w:val="2E75B6"/>
          <w:sz w:val="26"/>
          <w:szCs w:val="26"/>
        </w:rPr>
        <w:t xml:space="preserve">3.5 Evidence of Competence</w:t>
      </w:r>
    </w:p>
    <w:p>
      <w:pPr>
        <w:spacing w:after="80" w:before="80"/>
        <w:jc w:val="left"/>
      </w:pPr>
      <w:r>
        <w:rPr>
          <w:rFonts w:ascii="Arial" w:cs="Arial" w:eastAsia="Arial" w:hAnsi="Arial"/>
          <w:b w:val="false"/>
          <w:bCs w:val="false"/>
          <w:color w:val="000000"/>
          <w:sz w:val="20"/>
          <w:szCs w:val="20"/>
        </w:rPr>
        <w:t xml:space="preserve">In accordance with Clause 7.2(d), the following categories of documented evidence of competence are retained in the training records system (ISMS-TRN-REC):</w:t>
      </w:r>
    </w:p>
    <w:p>
      <w:pPr>
        <w:spacing w:after="60" w:before="60"/>
      </w:pPr>
    </w:p>
    <w:p>
      <w:pPr>
        <w:pStyle w:val="ListParagraph"/>
        <w:numPr>
          <w:ilvl w:val="0"/>
          <w:numId w:val="2"/>
        </w:numPr>
        <w:spacing w:after="40" w:before="40"/>
      </w:pPr>
      <w:r>
        <w:rPr>
          <w:rFonts w:ascii="Arial" w:cs="Arial" w:eastAsia="Arial" w:hAnsi="Arial"/>
          <w:sz w:val="20"/>
          <w:szCs w:val="20"/>
        </w:rPr>
        <w:t xml:space="preserve">Professional qualification certificates (ISO 27001 Lead Implementer/Auditor, GDPR Practitioner, Microsoft certifications)</w:t>
      </w:r>
    </w:p>
    <w:p>
      <w:pPr>
        <w:pStyle w:val="ListParagraph"/>
        <w:numPr>
          <w:ilvl w:val="0"/>
          <w:numId w:val="2"/>
        </w:numPr>
        <w:spacing w:after="40" w:before="40"/>
      </w:pPr>
      <w:r>
        <w:rPr>
          <w:rFonts w:ascii="Arial" w:cs="Arial" w:eastAsia="Arial" w:hAnsi="Arial"/>
          <w:sz w:val="20"/>
          <w:szCs w:val="20"/>
        </w:rPr>
        <w:t xml:space="preserve">Training completion records and attendance logs</w:t>
      </w:r>
    </w:p>
    <w:p>
      <w:pPr>
        <w:pStyle w:val="ListParagraph"/>
        <w:numPr>
          <w:ilvl w:val="0"/>
          <w:numId w:val="2"/>
        </w:numPr>
        <w:spacing w:after="40" w:before="40"/>
      </w:pPr>
      <w:r>
        <w:rPr>
          <w:rFonts w:ascii="Arial" w:cs="Arial" w:eastAsia="Arial" w:hAnsi="Arial"/>
          <w:sz w:val="20"/>
          <w:szCs w:val="20"/>
        </w:rPr>
        <w:t xml:space="preserve">Post-training assessment scores and pass records</w:t>
      </w:r>
    </w:p>
    <w:p>
      <w:pPr>
        <w:pStyle w:val="ListParagraph"/>
        <w:numPr>
          <w:ilvl w:val="0"/>
          <w:numId w:val="2"/>
        </w:numPr>
        <w:spacing w:after="40" w:before="40"/>
      </w:pPr>
      <w:r>
        <w:rPr>
          <w:rFonts w:ascii="Arial" w:cs="Arial" w:eastAsia="Arial" w:hAnsi="Arial"/>
          <w:sz w:val="20"/>
          <w:szCs w:val="20"/>
        </w:rPr>
        <w:t xml:space="preserve">Simulated phishing exercise click-rate and report-rate metrics (per-user)</w:t>
      </w:r>
    </w:p>
    <w:p>
      <w:pPr>
        <w:pStyle w:val="ListParagraph"/>
        <w:numPr>
          <w:ilvl w:val="0"/>
          <w:numId w:val="2"/>
        </w:numPr>
        <w:spacing w:after="40" w:before="40"/>
      </w:pPr>
      <w:r>
        <w:rPr>
          <w:rFonts w:ascii="Arial" w:cs="Arial" w:eastAsia="Arial" w:hAnsi="Arial"/>
          <w:sz w:val="20"/>
          <w:szCs w:val="20"/>
        </w:rPr>
        <w:t xml:space="preserve">Policy acknowledgement records (at onboarding and on each annual renewal)</w:t>
      </w:r>
    </w:p>
    <w:p>
      <w:pPr>
        <w:pStyle w:val="ListParagraph"/>
        <w:numPr>
          <w:ilvl w:val="0"/>
          <w:numId w:val="2"/>
        </w:numPr>
        <w:spacing w:after="40" w:before="40"/>
      </w:pPr>
      <w:r>
        <w:rPr>
          <w:rFonts w:ascii="Arial" w:cs="Arial" w:eastAsia="Arial" w:hAnsi="Arial"/>
          <w:sz w:val="20"/>
          <w:szCs w:val="20"/>
        </w:rPr>
        <w:t xml:space="preserve">CVs and employment history demonstrating relevant experience at point of hire</w:t>
      </w:r>
    </w:p>
    <w:p>
      <w:pPr>
        <w:pStyle w:val="ListParagraph"/>
        <w:numPr>
          <w:ilvl w:val="0"/>
          <w:numId w:val="2"/>
        </w:numPr>
        <w:spacing w:after="40" w:before="40"/>
      </w:pPr>
      <w:r>
        <w:rPr>
          <w:rFonts w:ascii="Arial" w:cs="Arial" w:eastAsia="Arial" w:hAnsi="Arial"/>
          <w:sz w:val="20"/>
          <w:szCs w:val="20"/>
        </w:rPr>
        <w:t xml:space="preserve">CPD records for professional development activities</w:t>
      </w:r>
    </w:p>
    <w:p>
      <w:pPr>
        <w:pStyle w:val="ListParagraph"/>
        <w:numPr>
          <w:ilvl w:val="0"/>
          <w:numId w:val="2"/>
        </w:numPr>
        <w:spacing w:after="40" w:before="40"/>
      </w:pPr>
      <w:r>
        <w:rPr>
          <w:rFonts w:ascii="Arial" w:cs="Arial" w:eastAsia="Arial" w:hAnsi="Arial"/>
          <w:sz w:val="20"/>
          <w:szCs w:val="20"/>
        </w:rPr>
        <w:t xml:space="preserve">Competence gap action plans and effectiveness evaluation outcomes</w:t>
      </w:r>
    </w:p>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4. Clause 7.3 — Awareness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7.3</w:t>
            </w:r>
          </w:p>
          <w:p>
            <w:pPr>
              <w:jc w:val="center"/>
            </w:pPr>
            <w:r>
              <w:rPr>
                <w:rFonts w:ascii="Arial" w:cs="Arial" w:eastAsia="Arial" w:hAnsi="Arial"/>
                <w:color w:val="D6E4F0"/>
                <w:sz w:val="14"/>
                <w:szCs w:val="14"/>
              </w:rPr>
              <w:t xml:space="preserve">Awareness</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Persons doing work under the organisation's control shall be aware of: (a) the information security policy; (b) their contribution to ISMS effectiveness; (c) the implications of not conforming with ISMS requirements.</w:t>
            </w:r>
          </w:p>
        </w:tc>
      </w:tr>
    </w:tbl>
    <w:p>
      <w:pPr>
        <w:spacing w:after="120" w:before="120"/>
      </w:pPr>
    </w:p>
    <w:p>
      <w:pPr>
        <w:spacing w:after="80" w:before="80"/>
        <w:jc w:val="left"/>
      </w:pPr>
      <w:r>
        <w:rPr>
          <w:rFonts w:ascii="Arial" w:cs="Arial" w:eastAsia="Arial" w:hAnsi="Arial"/>
          <w:b w:val="false"/>
          <w:bCs w:val="false"/>
          <w:color w:val="000000"/>
          <w:sz w:val="20"/>
          <w:szCs w:val="20"/>
        </w:rPr>
        <w:t xml:space="preserve">The security awareness programme ensures all personnel — employees and contractors — achieve and maintain the minimum awareness levels required by Clause 7.3. The programme is owned by the ISM and delivered through a combination of mandatory training, ongoing communications, and practical exercises.</w:t>
      </w:r>
    </w:p>
    <w:p>
      <w:pPr>
        <w:spacing w:after="120" w:before="120"/>
      </w:pPr>
    </w:p>
    <w:p>
      <w:pPr>
        <w:pStyle w:val="Heading2"/>
        <w:spacing w:after="80" w:before="240"/>
      </w:pPr>
      <w:r>
        <w:rPr>
          <w:rFonts w:ascii="Arial" w:cs="Arial" w:eastAsia="Arial" w:hAnsi="Arial"/>
          <w:b/>
          <w:bCs/>
          <w:color w:val="2E75B6"/>
          <w:sz w:val="26"/>
          <w:szCs w:val="26"/>
        </w:rPr>
        <w:t xml:space="preserve">4.1 Awareness Programme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400"/>
        <w:gridCol w:w="1400"/>
        <w:gridCol w:w="1600"/>
        <w:gridCol w:w="1200"/>
        <w:gridCol w:w="760"/>
        <w:gridCol w:w="800"/>
        <w:gridCol w:w="500"/>
      </w:tblGrid>
      <w:tr>
        <w:trPr>
          <w:tblHeader/>
        </w:trPr>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Activity</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Audience</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Frequency</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Topics Covered</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Success Measure</w:t>
            </w:r>
          </w:p>
        </w:tc>
        <w:tc>
          <w:tcPr>
            <w:tcW w:type="dxa" w:w="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w:t>
            </w:r>
          </w:p>
        </w:tc>
        <w:tc>
          <w:tcPr>
            <w:tcW w:type="dxa" w:w="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7.3</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AWR-001</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Annual Security Awareness Training</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All staff and contractors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Annual (Q1)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General IS policy, GDPR, phishing, social engineering, acceptable use, incident reporting</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Completion rate ≥95%; quiz pass rate ≥80%</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ISMS-TRN-REC</w:t>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a,b,c</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AWR-002</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Security Induction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New employees and contractors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At onboarding (Day 1 / Week 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ISMS scope and policy; role-specific responsibilities; incident reporting; acceptable use; physical security</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Completed within first 5 working days; signed acknowledgement obtained</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 / Line Manager</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ISMS-TRN-REC</w:t>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a,b,c</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AWR-003</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Quarterly Phishing Simulation</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All staff</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Quarterly (Jan, Apr, Jul, Oct)</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Phishing recognition; reporting procedures; credential hygiene</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Click rate ≤10%; report rate ≥50% of simulations; decreasing trend over 12 months</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ISMS-TRN-REC (metrics)</w:t>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b,c</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AWR-004</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Security Bulletin / Flash Alert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All staff</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As required (post-incident, new threat, policy change)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Emerging threats, near-miss lessons, policy updates, regulatory changes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All staff reachable within 1 working day; read receipts where practicable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Communication log</w:t>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a,b</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AWR-005</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Management Security Briefing</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MD, ISM, HoT</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Quarterly (aligned to KPI review)</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ISMS KPI performance, risk posture changes, incident trends, objective progress</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MD receives and acknowledges briefing; actions recorded in minutes</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ISMS-MR-002; meeting minutes</w:t>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a,b</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AWR-006</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Policy Update Communication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All affected staff</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On each policy revision</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Changes to ISMS policies and procedures; rationale for changes; effective date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Acknowledgement obtained within 10 working days of update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Communication log; acknowledgement record</w:t>
            </w:r>
          </w:p>
        </w:tc>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a,b</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AWR-007</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Contractor Security Briefing</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Contractors and third parties with system access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Prior to or at commencement of access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Acceptable use; data handling; incident reporting; access limitations; NDA/confidentiality obligations</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Briefing completed before access granted; signed record retained</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 / Contract Manager</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ISMS-TRN-REC; contractor agreement</w:t>
            </w:r>
          </w:p>
        </w:tc>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a,b</w:t>
            </w:r>
          </w:p>
        </w:tc>
      </w:tr>
    </w:tbl>
    <w:p>
      <w:pPr>
        <w:spacing w:after="60" w:before="60"/>
      </w:pPr>
    </w:p>
    <w:p>
      <w:pPr>
        <w:spacing w:after="80" w:before="80"/>
        <w:jc w:val="left"/>
      </w:pPr>
      <w:r>
        <w:rPr>
          <w:rFonts w:ascii="Arial" w:cs="Arial" w:eastAsia="Arial" w:hAnsi="Arial"/>
          <w:b w:val="false"/>
          <w:bCs w:val="false"/>
          <w:color w:val="888888"/>
          <w:sz w:val="18"/>
          <w:szCs w:val="18"/>
        </w:rPr>
        <w:t xml:space="preserve">Column 7.3 indicates which sub-clauses of Clause 7.3 the activity addresses: (a) = awareness of policy; (b) = contribution to ISMS effectiveness; (c) = implications of non-conformance.</w:t>
      </w:r>
    </w:p>
    <w:p>
      <w:pPr>
        <w:spacing w:after="120" w:before="120"/>
      </w:pPr>
    </w:p>
    <w:p>
      <w:pPr>
        <w:pStyle w:val="Heading2"/>
        <w:spacing w:after="80" w:before="240"/>
      </w:pPr>
      <w:r>
        <w:rPr>
          <w:rFonts w:ascii="Arial" w:cs="Arial" w:eastAsia="Arial" w:hAnsi="Arial"/>
          <w:b/>
          <w:bCs/>
          <w:color w:val="2E75B6"/>
          <w:sz w:val="26"/>
          <w:szCs w:val="26"/>
        </w:rPr>
        <w:t xml:space="preserve">4.2 Awareness Effectiveness Measurement</w:t>
      </w:r>
    </w:p>
    <w:p>
      <w:pPr>
        <w:spacing w:after="80" w:before="80"/>
        <w:jc w:val="left"/>
      </w:pPr>
      <w:r>
        <w:rPr>
          <w:rFonts w:ascii="Arial" w:cs="Arial" w:eastAsia="Arial" w:hAnsi="Arial"/>
          <w:b w:val="false"/>
          <w:bCs w:val="false"/>
          <w:color w:val="000000"/>
          <w:sz w:val="20"/>
          <w:szCs w:val="20"/>
        </w:rPr>
        <w:t xml:space="preserve">The effectiveness of the awareness programme is measured and reported to management review on an annual basis using the following metrics: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06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Measurement Method</w:t>
            </w:r>
          </w:p>
        </w:tc>
        <w:tc>
          <w:tcPr>
            <w:tcW w:type="dxa" w:w="20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Reporting</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Annual training completion rate</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≥95% of all staff within 30 days of launch</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LMS completion report</w:t>
            </w:r>
          </w:p>
        </w:tc>
        <w:tc>
          <w:tcPr>
            <w:tcW w:type="dxa" w:w="2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Management review</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Post-training assessment pass rate</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≥80% on first attempt</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LMS quiz score report</w:t>
            </w:r>
          </w:p>
        </w:tc>
        <w:tc>
          <w:tcPr>
            <w:tcW w:type="dxa" w:w="2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Management review</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Phishing simulation click rate</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 per exercise; decreasing trend over 4 quarters</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Phishing platform per-user metrics</w:t>
            </w:r>
          </w:p>
        </w:tc>
        <w:tc>
          <w:tcPr>
            <w:tcW w:type="dxa" w:w="2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Quarterly KPI report (ISMS-MR-002)</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Phishing simulation report rate</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 of simulated phishing reported via security reporting channel</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Phishing platform report-rate metric</w:t>
            </w:r>
          </w:p>
        </w:tc>
        <w:tc>
          <w:tcPr>
            <w:tcW w:type="dxa" w:w="2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Quarterly KPI report (ISMS-MR-002)</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Policy acknowledgement compliance</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 of staff acknowledge annually</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Acknowledgement record in ISMS-TRN-REC</w:t>
            </w:r>
          </w:p>
        </w:tc>
        <w:tc>
          <w:tcPr>
            <w:tcW w:type="dxa" w:w="2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Management review</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Security incidents attributed to staff error</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Year-on-year reduction</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Incident root cause analysis</w:t>
            </w:r>
          </w:p>
        </w:tc>
        <w:tc>
          <w:tcPr>
            <w:tcW w:type="dxa" w:w="2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Management review</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5. Clause 7.4 — Communication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7.4</w:t>
            </w:r>
          </w:p>
          <w:p>
            <w:pPr>
              <w:jc w:val="center"/>
            </w:pPr>
            <w:r>
              <w:rPr>
                <w:rFonts w:ascii="Arial" w:cs="Arial" w:eastAsia="Arial" w:hAnsi="Arial"/>
                <w:color w:val="D6E4F0"/>
                <w:sz w:val="14"/>
                <w:szCs w:val="14"/>
              </w:rPr>
              <w:t xml:space="preserve">Communication</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The organisation shall determine the need for internal and external communications relevant to the ISMS including: what to communicate; when to communicate; with whom to communicate; how to communicate.</w:t>
            </w:r>
          </w:p>
        </w:tc>
      </w:tr>
    </w:tbl>
    <w:p>
      <w:pPr>
        <w:spacing w:after="120" w:before="120"/>
      </w:pPr>
    </w:p>
    <w:p>
      <w:pPr>
        <w:spacing w:after="80" w:before="80"/>
        <w:jc w:val="left"/>
      </w:pPr>
      <w:r>
        <w:rPr>
          <w:rFonts w:ascii="Arial" w:cs="Arial" w:eastAsia="Arial" w:hAnsi="Arial"/>
          <w:b w:val="false"/>
          <w:bCs w:val="false"/>
          <w:color w:val="000000"/>
          <w:sz w:val="20"/>
          <w:szCs w:val="20"/>
        </w:rPr>
        <w:t xml:space="preserve">The ISMS communication plan below documents all relevant internal and external communications, addressing Clause 7.4(a)–(d). Communications are categorised as planned/scheduled or event-triggered. Responsibilities for all communications are assigned to named roles.</w:t>
      </w:r>
    </w:p>
    <w:p>
      <w:pPr>
        <w:spacing w:after="120" w:before="120"/>
      </w:pPr>
    </w:p>
    <w:p>
      <w:pPr>
        <w:pStyle w:val="Heading2"/>
        <w:spacing w:after="80" w:before="240"/>
      </w:pPr>
      <w:r>
        <w:rPr>
          <w:rFonts w:ascii="Arial" w:cs="Arial" w:eastAsia="Arial" w:hAnsi="Arial"/>
          <w:b/>
          <w:bCs/>
          <w:color w:val="2E75B6"/>
          <w:sz w:val="26"/>
          <w:szCs w:val="26"/>
        </w:rPr>
        <w:t xml:space="preserve">5.1 ISMS Communication Plan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200"/>
        <w:gridCol w:w="1600"/>
        <w:gridCol w:w="1400"/>
        <w:gridCol w:w="900"/>
        <w:gridCol w:w="1760"/>
      </w:tblGrid>
      <w:tr>
        <w:trPr>
          <w:tblHeader/>
        </w:trPr>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(7.4(a))</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When (7.4(b))</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Who (7.4(c))</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How (7.4(d))</w:t>
            </w:r>
          </w:p>
        </w:tc>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1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COM-001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ISMS Policy and awareness communications</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Annual (Q1) + on policy change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 → All staff and contractors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Email; internal knowledge base; policy acknowledgement portal</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Communication log; acknowledgement records</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COM-002</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ISMS Management Review outcomes and actions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Annually post-review + quarterly KPI</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 → MD and senior roles; MD → all staff (summary)</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Management review minutes (ISMS-MR-001); summary email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 / MD</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ISMS-MR-001; distribution records</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COM-003</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Security incident notifications (internal)</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Immediately on detection / within defined SLA</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Any staff → ISM; ISM → MD (significant); ISM → affected teams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Email / instant message / phone; incident log (ISMS-IRP-001)</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ISMS-IRP-001; incident log</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COM-004</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Security incident notifications (external — clients)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Per contractual obligation / within agreed SLA</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 / MD → Affected clients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Secure email; phone; written notification per contract</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MD / ISM</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Client notification records; contract SLA</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COM-005</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UK GDPR personal data breach notification (ICO)</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Within 72 hours of becoming aware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Data Protection Lead / ISM → ICO</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ICO online reporting portal; written confirmation</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DPL / ISM</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ICO notification reference; ISMS-IRP-001</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COM-006</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Personal data breach notification (affected individuals)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Without undue delay where high risk to individuals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Data Protection Lead / MD → Affected individuals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Direct written communication (email/letter); ICO guidance applied</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DPL / MD</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Notification records; ICO report</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COM-007</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Risk posture and treatment plan update</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At management review + on material risk change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 → MD (approval); MD → senior roles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Risk register (ISMS-PLN-001); management review agenda item</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ISMS-MR-001; ISMS-PLN-001 approval record</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COM-008</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Internal audit findings and corrective actions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Within 5 working days of audit close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Internal Auditor → ISM; ISM → MD; ISM → process owners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Audit report (ISMS-IAP-001); corrective action tracker (ISMS-CAR-001)</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 / Auditor</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ISMS-IAP-001; ISMS-CAR-001; distribution records</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COM-009</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Supplier security assessments and issues</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On supplier onboarding + annual review + on supplier incident</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 → MD (for approval); ISM → Supplier (requirements); Supplier → ISM (incidents)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Supplier assessment report; contractual security clauses; supplier incident notification</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ISMS-SUP-001; supplier correspondence</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COM-010</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Certification body communications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Pre-audit, during audit, post-audit; on scope changes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 / MD → Certification Body</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Certification body portal; email; formal written correspondence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 / MD</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Certification correspondence file</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COM-011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NCSC / regulatory guidance and threat advisories</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As published (ongoing monitoring)</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 ← NCSC / ICO / CISA (inbound); ISM → MD / HoT (significant advisories)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NCSC Early Warning Service; email alerts; ISM review and dissemination</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Advisory log; distribution records</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COM-012</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ISMS performance metrics (KPIs)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Quarterly</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 → MD; ISM → HoT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KPI dashboard / metrics report (ISMS-MR-002)</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ISMS-MR-002; distribution records</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6. Clause 7.5 — Documented Information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7.5</w:t>
            </w:r>
          </w:p>
          <w:p>
            <w:pPr>
              <w:jc w:val="center"/>
            </w:pPr>
            <w:r>
              <w:rPr>
                <w:rFonts w:ascii="Arial" w:cs="Arial" w:eastAsia="Arial" w:hAnsi="Arial"/>
                <w:color w:val="D6E4F0"/>
                <w:sz w:val="14"/>
                <w:szCs w:val="14"/>
              </w:rPr>
              <w:t xml:space="preserve">Documented Information</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The ISMS shall include documented information required by ISO 27001:2022 and as determined necessary by the organisation. The extent shall reflect organisational size, complexity, and personnel competence. Documented information shall be created, updated, and controlled appropriately.</w:t>
            </w:r>
          </w:p>
        </w:tc>
      </w:tr>
    </w:tbl>
    <w:p>
      <w:pPr>
        <w:spacing w:after="120" w:before="120"/>
      </w:pPr>
    </w:p>
    <w:p>
      <w:pPr>
        <w:pStyle w:val="Heading2"/>
        <w:spacing w:after="80" w:before="240"/>
      </w:pPr>
      <w:r>
        <w:rPr>
          <w:rFonts w:ascii="Arial" w:cs="Arial" w:eastAsia="Arial" w:hAnsi="Arial"/>
          <w:b/>
          <w:bCs/>
          <w:color w:val="2E75B6"/>
          <w:sz w:val="26"/>
          <w:szCs w:val="26"/>
        </w:rPr>
        <w:t xml:space="preserve">6.1 General (Clause 7.5.1)</w:t>
      </w:r>
    </w:p>
    <w:p>
      <w:pPr>
        <w:spacing w:after="80" w:before="80"/>
        <w:jc w:val="left"/>
      </w:pPr>
      <w:r>
        <w:rPr>
          <w:rFonts w:ascii="Arial" w:cs="Arial" w:eastAsia="Arial" w:hAnsi="Arial"/>
          <w:b w:val="false"/>
          <w:bCs w:val="false"/>
          <w:color w:val="000000"/>
          <w:sz w:val="20"/>
          <w:szCs w:val="20"/>
        </w:rPr>
        <w:t xml:space="preserve">The ISMS of Apex Managed Services Ltd includes two categories of documented information as required by Clause 7.5.1:</w:t>
      </w:r>
    </w:p>
    <w:p>
      <w:pPr>
        <w:spacing w:after="60" w:before="60"/>
      </w:pPr>
    </w:p>
    <w:p>
      <w:pPr>
        <w:pStyle w:val="ListParagraph"/>
        <w:numPr>
          <w:ilvl w:val="0"/>
          <w:numId w:val="2"/>
        </w:numPr>
        <w:spacing w:after="40" w:before="40"/>
      </w:pPr>
      <w:r>
        <w:rPr>
          <w:rFonts w:ascii="Arial" w:cs="Arial" w:eastAsia="Arial" w:hAnsi="Arial"/>
          <w:sz w:val="20"/>
          <w:szCs w:val="20"/>
        </w:rPr>
        <w:t xml:space="preserve">Mandatory documented information explicitly required by ISO 27001:2022 (e.g. risk assessment results, SoA, internal audit programme, management review records, corrective action records).</w:t>
      </w:r>
    </w:p>
    <w:p>
      <w:pPr>
        <w:pStyle w:val="ListParagraph"/>
        <w:numPr>
          <w:ilvl w:val="0"/>
          <w:numId w:val="2"/>
        </w:numPr>
        <w:spacing w:after="40" w:before="40"/>
      </w:pPr>
      <w:r>
        <w:rPr>
          <w:rFonts w:ascii="Arial" w:cs="Arial" w:eastAsia="Arial" w:hAnsi="Arial"/>
          <w:sz w:val="20"/>
          <w:szCs w:val="20"/>
        </w:rPr>
        <w:t xml:space="preserve">Organisational documented information determined by the organisation as being necessary for the effectiveness of the ISMS (e.g. operational procedures, incident response playbooks, supplier assessments, asset register).</w:t>
      </w:r>
    </w:p>
    <w:p>
      <w:pPr>
        <w:spacing w:after="60" w:before="60"/>
      </w:pPr>
    </w:p>
    <w:p>
      <w:pPr>
        <w:spacing w:after="80" w:before="80"/>
        <w:jc w:val="left"/>
      </w:pPr>
      <w:r>
        <w:rPr>
          <w:rFonts w:ascii="Arial" w:cs="Arial" w:eastAsia="Arial" w:hAnsi="Arial"/>
          <w:b w:val="false"/>
          <w:bCs w:val="false"/>
          <w:color w:val="000000"/>
          <w:sz w:val="20"/>
          <w:szCs w:val="20"/>
        </w:rPr>
        <w:t xml:space="preserve">The extent of documented information has been calibrated to the size of the organisation (1–10 personnel), the complexity of its managed service delivery model, and the competence of its personnel — consistent with the Note to Clause 7.5.1. Documentation is proportionate and outcome-focused rather than volume-maximised.</w:t>
      </w:r>
    </w:p>
    <w:p>
      <w:pPr>
        <w:spacing w:after="120" w:before="120"/>
      </w:pPr>
    </w:p>
    <w:p>
      <w:pPr>
        <w:pStyle w:val="Heading2"/>
        <w:spacing w:after="80" w:before="240"/>
      </w:pPr>
      <w:r>
        <w:rPr>
          <w:rFonts w:ascii="Arial" w:cs="Arial" w:eastAsia="Arial" w:hAnsi="Arial"/>
          <w:b/>
          <w:bCs/>
          <w:color w:val="2E75B6"/>
          <w:sz w:val="26"/>
          <w:szCs w:val="26"/>
        </w:rPr>
        <w:t xml:space="preserve">6.2 Creating and Updating Documented Information (Clause 7.5.2)</w:t>
      </w:r>
    </w:p>
    <w:p>
      <w:pPr>
        <w:spacing w:after="80" w:before="80"/>
        <w:jc w:val="left"/>
      </w:pPr>
      <w:r>
        <w:rPr>
          <w:rFonts w:ascii="Arial" w:cs="Arial" w:eastAsia="Arial" w:hAnsi="Arial"/>
          <w:b w:val="false"/>
          <w:bCs w:val="false"/>
          <w:color w:val="000000"/>
          <w:sz w:val="20"/>
          <w:szCs w:val="20"/>
        </w:rPr>
        <w:t xml:space="preserve">When creating or updating ISMS documented information, the following requirements apply in accordance with Clause 7.5.2:</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860"/>
      </w:tblGrid>
      <w:tr>
        <w:trPr>
          <w:tblHeader/>
        </w:trP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7.5.2 Req.</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5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Implementation at Apex Managed Services Ltd</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7.5.2(a)</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Identification and description</w:t>
            </w:r>
          </w:p>
        </w:tc>
        <w:tc>
          <w:tcPr>
            <w:tcW w:type="dxa" w:w="5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ISMS documents carry: a unique document reference (ISMS-XXX-NNN format); a version number; a date; an author/owner; a document title; and a classification marking. These fields are present in the document control table of every ISMS document.</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7.5.2(b)</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Format and media</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 documents are produced in Microsoft Word format (.docx) and stored as PDF for approved/published versions. The working language is English. Diagrams and matrices use colour-coded visual formats to aid usability. Electronic format is primary; paper copies are uncontrolled unless stamped as controlled copies.</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7.5.2(c)</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Review and approval</w:t>
            </w:r>
          </w:p>
        </w:tc>
        <w:tc>
          <w:tcPr>
            <w:tcW w:type="dxa" w:w="5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ISMS documents undergo: author review (ISM or document owner); technical review (HoT for technical documents); approval by the designated approver per the approval table within each document; and version increment on each revision. The approval table with signatures is a mandatory element of every ISMS document.</w:t>
            </w:r>
          </w:p>
        </w:tc>
      </w:tr>
    </w:tbl>
    <w:p>
      <w:pPr>
        <w:spacing w:after="120" w:before="120"/>
      </w:pPr>
    </w:p>
    <w:p>
      <w:pPr>
        <w:pStyle w:val="Heading2"/>
        <w:spacing w:after="80" w:before="240"/>
      </w:pPr>
      <w:r>
        <w:rPr>
          <w:rFonts w:ascii="Arial" w:cs="Arial" w:eastAsia="Arial" w:hAnsi="Arial"/>
          <w:b/>
          <w:bCs/>
          <w:color w:val="2E75B6"/>
          <w:sz w:val="26"/>
          <w:szCs w:val="26"/>
        </w:rPr>
        <w:t xml:space="preserve">6.3 Control of Documented Information (Clause 7.5.3)</w:t>
      </w:r>
    </w:p>
    <w:p>
      <w:pPr>
        <w:spacing w:after="80" w:before="80"/>
        <w:jc w:val="left"/>
      </w:pPr>
      <w:r>
        <w:rPr>
          <w:rFonts w:ascii="Arial" w:cs="Arial" w:eastAsia="Arial" w:hAnsi="Arial"/>
          <w:b w:val="false"/>
          <w:bCs w:val="false"/>
          <w:color w:val="000000"/>
          <w:sz w:val="20"/>
          <w:szCs w:val="20"/>
        </w:rPr>
        <w:t xml:space="preserve">ISMS documented information is controlled to ensure availability, integrity, and appropriate protection in accordance with Clause 7.5.3. The following controls are applied:</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060"/>
      </w:tblGrid>
      <w:tr>
        <w:trPr>
          <w:tblHeader/>
        </w:trP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7.5.3 Req.</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60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Control Applied</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7.5.3(a)</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Available and suitable for use</w:t>
            </w:r>
          </w:p>
        </w:tc>
        <w:tc>
          <w:tcPr>
            <w:tcW w:type="dxa" w:w="6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ISMS documents are stored in the designated document management system (SharePoint / equivalent) accessible to all authorised personnel from any location. Document availability is subject to the same BCP/DR controls as other critical information assets.</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7.5.3(b)</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Adequately protected</w:t>
            </w:r>
          </w:p>
        </w:tc>
        <w:tc>
          <w:tcPr>
            <w:tcW w:type="dxa" w:w="6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Documents are protected through: role-based access controls aligned to document classification; version control preventing overwrites; audit trails of access and modification; encryption at rest and in transit on the document management platform; classification markings applied to all documents.</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7.5.3(c)</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Distribution, access, retrieval and use</w:t>
            </w:r>
          </w:p>
        </w:tc>
        <w:tc>
          <w:tcPr>
            <w:tcW w:type="dxa" w:w="6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Access to ISMS documents is granted on a need-to-know basis per document classification. INTERNAL documents: accessible to all staff. CONFIDENTIAL documents: restricted to ISM, MD, HoT, and named individuals. Distribution of hardcopies requires ISM approval. Documents retrieved for use outside the platform are treated as uncontrolled unless explicitly marked as controlled copies.</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7.5.3(d)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Storage and preservation</w:t>
            </w:r>
          </w:p>
        </w:tc>
        <w:tc>
          <w:tcPr>
            <w:tcW w:type="dxa" w:w="6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Primary storage: SharePoint / cloud document management with geo-redundant backup. Legibility is preserved through use of standard formats (Word/PDF). Obsolete versions are archived rather than deleted to preserve audit trail. Minimum retention periods defined in Section 6.6.</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7.5.3(e)</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Control of changes</w:t>
            </w:r>
          </w:p>
        </w:tc>
        <w:tc>
          <w:tcPr>
            <w:tcW w:type="dxa" w:w="6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Version control is applied to all ISMS documents. Each revision increments the version number, updates the version history table, and requires re-approval. The previous approved version is archived. Major changes (affecting scope, risk rating, or control implementation) require MD approval. The change log in ISMS-PLN-001 records material ISMS changes.</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7.5.3(f)</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Retention and disposition</w:t>
            </w:r>
          </w:p>
        </w:tc>
        <w:tc>
          <w:tcPr>
            <w:tcW w:type="dxa" w:w="6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 documents are retained per the schedule in Section 6.6. On expiry of the retention period, documents are reviewed by the ISM before disposal. Disposal of ISMS records containing sensitive information follows the data disposal procedure in ISMS-OPS-001. Disposition actions are logged.</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External docs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External origin documents</w:t>
            </w:r>
          </w:p>
        </w:tc>
        <w:tc>
          <w:tcPr>
            <w:tcW w:type="dxa" w:w="6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External documents necessary for ISMS planning and operation (ISO standards, regulatory guidance, NCSC publications) are identified in the External Document Register (Section 6.5), stored in a designated folder in the document management system, and reviewed for currency annually. Obsolete versions are archived.</w:t>
            </w:r>
          </w:p>
        </w:tc>
      </w:tr>
    </w:tbl>
    <w:p>
      <w:pPr>
        <w:spacing w:after="120" w:before="120"/>
      </w:pPr>
    </w:p>
    <w:p>
      <w:pPr>
        <w:pStyle w:val="Heading2"/>
        <w:spacing w:after="80" w:before="240"/>
      </w:pPr>
      <w:r>
        <w:rPr>
          <w:rFonts w:ascii="Arial" w:cs="Arial" w:eastAsia="Arial" w:hAnsi="Arial"/>
          <w:b/>
          <w:bCs/>
          <w:color w:val="2E75B6"/>
          <w:sz w:val="26"/>
          <w:szCs w:val="26"/>
        </w:rPr>
        <w:t xml:space="preserve">6.4 ISMS Document Register</w:t>
      </w:r>
    </w:p>
    <w:p>
      <w:pPr>
        <w:spacing w:after="80" w:before="80"/>
        <w:jc w:val="left"/>
      </w:pPr>
      <w:r>
        <w:rPr>
          <w:rFonts w:ascii="Arial" w:cs="Arial" w:eastAsia="Arial" w:hAnsi="Arial"/>
          <w:b w:val="false"/>
          <w:bCs w:val="false"/>
          <w:color w:val="000000"/>
          <w:sz w:val="20"/>
          <w:szCs w:val="20"/>
        </w:rPr>
        <w:t xml:space="preserve">The following register documents all ISMS documented information. This register is the master source of truth for ISMS documentation status and serves as the documented information control list required by Clause 7.5. Type: M = ISO 27001:2022 Mandatory, O = Organisationally determined, G = GDPR mandatory.</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900"/>
        <w:gridCol w:w="600"/>
        <w:gridCol w:w="800"/>
        <w:gridCol w:w="900"/>
        <w:gridCol w:w="900"/>
        <w:gridCol w:w="760"/>
      </w:tblGrid>
      <w:tr>
        <w:trPr>
          <w:tblHeader/>
        </w:trPr>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Ref</w:t>
            </w:r>
          </w:p>
        </w:tc>
        <w:tc>
          <w:tcPr>
            <w:tcW w:type="dxa" w:w="2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Clause(s)</w:t>
            </w:r>
          </w:p>
        </w:tc>
        <w:tc>
          <w:tcPr>
            <w:tcW w:type="dxa" w:w="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w:t>
            </w:r>
          </w:p>
        </w:tc>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w:t>
            </w:r>
          </w:p>
        </w:tc>
        <w:tc>
          <w:tcPr>
            <w:tcW w:type="dxa" w:w="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ISMS-CTX-001</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Context Document (Clauses 4.1–4.4)</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4.1, 4.2, 4.3, 4.4</w:t>
            </w:r>
          </w:p>
        </w:tc>
        <w:tc>
          <w:tcPr>
            <w:tcW w:type="dxa" w:w="600"/>
            <w:tcBorders>
              <w:top w:val="single" w:color="CCCCCC" w:sz="1"/>
              <w:left w:val="single" w:color="CCCCCC" w:sz="1"/>
              <w:bottom w:val="single" w:color="CCCCCC" w:sz="1"/>
              <w:right w:val="single" w:color="CCCCCC" w:sz="1"/>
            </w:tcBorders>
            <w:shd w:fill="C0000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Internal</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76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Approved</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ISMS-LDR-001</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Leadership, Policy and Roles (Clause 5)</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5.1, 5.2, 5.3</w:t>
            </w:r>
          </w:p>
        </w:tc>
        <w:tc>
          <w:tcPr>
            <w:tcW w:type="dxa" w:w="600"/>
            <w:tcBorders>
              <w:top w:val="single" w:color="CCCCCC" w:sz="1"/>
              <w:left w:val="single" w:color="CCCCCC" w:sz="1"/>
              <w:bottom w:val="single" w:color="CCCCCC" w:sz="1"/>
              <w:right w:val="single" w:color="CCCCCC" w:sz="1"/>
            </w:tcBorders>
            <w:shd w:fill="C0000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MD</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Internal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76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Approved</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ISMS-PLN-001</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Planning — Risk, Objectives &amp; Change (Clause 6)</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6.1, 6.2, 6.3</w:t>
            </w:r>
          </w:p>
        </w:tc>
        <w:tc>
          <w:tcPr>
            <w:tcW w:type="dxa" w:w="600"/>
            <w:tcBorders>
              <w:top w:val="single" w:color="CCCCCC" w:sz="1"/>
              <w:left w:val="single" w:color="CCCCCC" w:sz="1"/>
              <w:bottom w:val="single" w:color="CCCCCC" w:sz="1"/>
              <w:right w:val="single" w:color="CCCCCC" w:sz="1"/>
            </w:tcBorders>
            <w:shd w:fill="C0000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Confidential</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76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Approved</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ISMS-SPT-001</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Support — Resources, Competence, Awareness, Communication &amp; Doc Info (Clause 7)</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7.1–7.5</w:t>
            </w:r>
          </w:p>
        </w:tc>
        <w:tc>
          <w:tcPr>
            <w:tcW w:type="dxa" w:w="600"/>
            <w:tcBorders>
              <w:top w:val="single" w:color="CCCCCC" w:sz="1"/>
              <w:left w:val="single" w:color="CCCCCC" w:sz="1"/>
              <w:bottom w:val="single" w:color="CCCCCC" w:sz="1"/>
              <w:right w:val="single" w:color="CCCCCC" w:sz="1"/>
            </w:tcBorders>
            <w:shd w:fill="C0000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Internal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76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Approved</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ISMS-SoA-001</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Statement of Applicability</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6.1.3(d)</w:t>
            </w:r>
          </w:p>
        </w:tc>
        <w:tc>
          <w:tcPr>
            <w:tcW w:type="dxa" w:w="600"/>
            <w:tcBorders>
              <w:top w:val="single" w:color="CCCCCC" w:sz="1"/>
              <w:left w:val="single" w:color="CCCCCC" w:sz="1"/>
              <w:bottom w:val="single" w:color="CCCCCC" w:sz="1"/>
              <w:right w:val="single" w:color="CCCCCC" w:sz="1"/>
            </w:tcBorders>
            <w:shd w:fill="C0000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Internal</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7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Draft</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ISMS-RA-001</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Risk Assessment and Treatment Plan</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6.1.2, 6.1.3</w:t>
            </w:r>
          </w:p>
        </w:tc>
        <w:tc>
          <w:tcPr>
            <w:tcW w:type="dxa" w:w="600"/>
            <w:tcBorders>
              <w:top w:val="single" w:color="CCCCCC" w:sz="1"/>
              <w:left w:val="single" w:color="CCCCCC" w:sz="1"/>
              <w:bottom w:val="single" w:color="CCCCCC" w:sz="1"/>
              <w:right w:val="single" w:color="CCCCCC" w:sz="1"/>
            </w:tcBorders>
            <w:shd w:fill="C0000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Confidential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7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Draft</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ISMS-OBJ-001</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Information Security Objectives Register</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6.2</w:t>
            </w:r>
          </w:p>
        </w:tc>
        <w:tc>
          <w:tcPr>
            <w:tcW w:type="dxa" w:w="600"/>
            <w:tcBorders>
              <w:top w:val="single" w:color="CCCCCC" w:sz="1"/>
              <w:left w:val="single" w:color="CCCCCC" w:sz="1"/>
              <w:bottom w:val="single" w:color="CCCCCC" w:sz="1"/>
              <w:right w:val="single" w:color="CCCCCC" w:sz="1"/>
            </w:tcBorders>
            <w:shd w:fill="C0000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Internal</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7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Draft</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ISMS-IAP-001</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Internal Audit Programme and Schedule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9.2</w:t>
            </w:r>
          </w:p>
        </w:tc>
        <w:tc>
          <w:tcPr>
            <w:tcW w:type="dxa" w:w="600"/>
            <w:tcBorders>
              <w:top w:val="single" w:color="CCCCCC" w:sz="1"/>
              <w:left w:val="single" w:color="CCCCCC" w:sz="1"/>
              <w:bottom w:val="single" w:color="CCCCCC" w:sz="1"/>
              <w:right w:val="single" w:color="CCCCCC" w:sz="1"/>
            </w:tcBorders>
            <w:shd w:fill="C0000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Internal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76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Approved</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ISMS-MR-001</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Management Review Procedure and Minutes Template</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9.3</w:t>
            </w:r>
          </w:p>
        </w:tc>
        <w:tc>
          <w:tcPr>
            <w:tcW w:type="dxa" w:w="600"/>
            <w:tcBorders>
              <w:top w:val="single" w:color="CCCCCC" w:sz="1"/>
              <w:left w:val="single" w:color="CCCCCC" w:sz="1"/>
              <w:bottom w:val="single" w:color="CCCCCC" w:sz="1"/>
              <w:right w:val="single" w:color="CCCCCC" w:sz="1"/>
            </w:tcBorders>
            <w:shd w:fill="C0000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MD</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Internal</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7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Draft</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ISMS-CAR-001</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Nonconformity and Corrective Action Procedure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10.2</w:t>
            </w:r>
          </w:p>
        </w:tc>
        <w:tc>
          <w:tcPr>
            <w:tcW w:type="dxa" w:w="600"/>
            <w:tcBorders>
              <w:top w:val="single" w:color="CCCCCC" w:sz="1"/>
              <w:left w:val="single" w:color="CCCCCC" w:sz="1"/>
              <w:bottom w:val="single" w:color="CCCCCC" w:sz="1"/>
              <w:right w:val="single" w:color="CCCCCC" w:sz="1"/>
            </w:tcBorders>
            <w:shd w:fill="C0000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Internal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7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Draft</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ISMS-TRN-REC</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Training and Competence Records</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7.2</w:t>
            </w:r>
          </w:p>
        </w:tc>
        <w:tc>
          <w:tcPr>
            <w:tcW w:type="dxa" w:w="600"/>
            <w:tcBorders>
              <w:top w:val="single" w:color="CCCCCC" w:sz="1"/>
              <w:left w:val="single" w:color="CCCCCC" w:sz="1"/>
              <w:bottom w:val="single" w:color="CCCCCC" w:sz="1"/>
              <w:right w:val="single" w:color="CCCCCC" w:sz="1"/>
            </w:tcBorders>
            <w:shd w:fill="C0000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Internal</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Continuous</w:t>
            </w:r>
          </w:p>
        </w:tc>
        <w:tc>
          <w:tcPr>
            <w:tcW w:type="dxa" w:w="76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Active</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ISMS-POL-001</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Information Security Policy (standalone)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5.2</w:t>
            </w:r>
          </w:p>
        </w:tc>
        <w:tc>
          <w:tcPr>
            <w:tcW w:type="dxa" w:w="600"/>
            <w:tcBorders>
              <w:top w:val="single" w:color="CCCCCC" w:sz="1"/>
              <w:left w:val="single" w:color="CCCCCC" w:sz="1"/>
              <w:bottom w:val="single" w:color="CCCCCC" w:sz="1"/>
              <w:right w:val="single" w:color="CCCCCC" w:sz="1"/>
            </w:tcBorders>
            <w:shd w:fill="C0000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MD</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Internal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76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Approved</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ISMS-SCO-001</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ISMS Scope Statement (standalone)</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4.3</w:t>
            </w:r>
          </w:p>
        </w:tc>
        <w:tc>
          <w:tcPr>
            <w:tcW w:type="dxa" w:w="600"/>
            <w:tcBorders>
              <w:top w:val="single" w:color="CCCCCC" w:sz="1"/>
              <w:left w:val="single" w:color="CCCCCC" w:sz="1"/>
              <w:bottom w:val="single" w:color="CCCCCC" w:sz="1"/>
              <w:right w:val="single" w:color="CCCCCC" w:sz="1"/>
            </w:tcBorders>
            <w:shd w:fill="C0000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Internal</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7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Draft</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ISMS-OPS-001</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Operational Security Procedures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8.1</w:t>
            </w:r>
          </w:p>
        </w:tc>
        <w:tc>
          <w:tcPr>
            <w:tcW w:type="dxa" w:w="600"/>
            <w:tcBorders>
              <w:top w:val="single" w:color="CCCCCC" w:sz="1"/>
              <w:left w:val="single" w:color="CCCCCC" w:sz="1"/>
              <w:bottom w:val="single" w:color="CCCCCC" w:sz="1"/>
              <w:right w:val="single" w:color="CCCCCC" w:sz="1"/>
            </w:tcBorders>
            <w:shd w:fill="C0000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HoT</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Internal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7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Draft</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ISMS-IRP-001</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Incident Response Plan and Playbooks</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A.5.24–A.5.28</w:t>
            </w:r>
          </w:p>
        </w:tc>
        <w:tc>
          <w:tcPr>
            <w:tcW w:type="dxa" w:w="600"/>
            <w:tcBorders>
              <w:top w:val="single" w:color="CCCCCC" w:sz="1"/>
              <w:left w:val="single" w:color="CCCCCC" w:sz="1"/>
              <w:bottom w:val="single" w:color="CCCCCC" w:sz="1"/>
              <w:right w:val="single" w:color="CCCCCC" w:sz="1"/>
            </w:tcBorders>
            <w:shd w:fill="1F7D8C" w:val="clear"/>
            <w:tcMar>
              <w:top w:type="dxa" w:w="80"/>
              <w:left w:type="dxa" w:w="60"/>
              <w:bottom w:type="dxa" w:w="80"/>
              <w:right w:type="dxa" w:w="60"/>
            </w:tcMar>
          </w:tcPr>
          <w:p>
            <w:pPr>
              <w:jc w:val="center"/>
            </w:pPr>
            <w:r>
              <w:rPr>
                <w:rFonts w:ascii="Arial" w:cs="Arial" w:eastAsia="Arial" w:hAnsi="Arial"/>
                <w:b/>
                <w:bCs/>
                <w:color w:val="FFFFFF"/>
                <w:sz w:val="16"/>
                <w:szCs w:val="16"/>
              </w:rPr>
              <w:t xml:space="preserve">O</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Confidential</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7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Draft</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ISMS-BCP-001</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Business Continuity and Disaster Recovery Plan</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A.5.29, A.5.30</w:t>
            </w:r>
          </w:p>
        </w:tc>
        <w:tc>
          <w:tcPr>
            <w:tcW w:type="dxa" w:w="600"/>
            <w:tcBorders>
              <w:top w:val="single" w:color="CCCCCC" w:sz="1"/>
              <w:left w:val="single" w:color="CCCCCC" w:sz="1"/>
              <w:bottom w:val="single" w:color="CCCCCC" w:sz="1"/>
              <w:right w:val="single" w:color="CCCCCC" w:sz="1"/>
            </w:tcBorders>
            <w:shd w:fill="1F7D8C" w:val="clear"/>
            <w:tcMar>
              <w:top w:type="dxa" w:w="80"/>
              <w:left w:type="dxa" w:w="60"/>
              <w:bottom w:type="dxa" w:w="80"/>
              <w:right w:type="dxa" w:w="60"/>
            </w:tcMar>
          </w:tcPr>
          <w:p>
            <w:pPr>
              <w:jc w:val="center"/>
            </w:pPr>
            <w:r>
              <w:rPr>
                <w:rFonts w:ascii="Arial" w:cs="Arial" w:eastAsia="Arial" w:hAnsi="Arial"/>
                <w:b/>
                <w:bCs/>
                <w:color w:val="FFFFFF"/>
                <w:sz w:val="16"/>
                <w:szCs w:val="16"/>
              </w:rPr>
              <w:t xml:space="preserve">O</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HoT</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Confidential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7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Draft</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ISMS-SUP-001</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Supplier Security Policy and Risk Assessment</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A.5.19–A.5.22</w:t>
            </w:r>
          </w:p>
        </w:tc>
        <w:tc>
          <w:tcPr>
            <w:tcW w:type="dxa" w:w="600"/>
            <w:tcBorders>
              <w:top w:val="single" w:color="CCCCCC" w:sz="1"/>
              <w:left w:val="single" w:color="CCCCCC" w:sz="1"/>
              <w:bottom w:val="single" w:color="CCCCCC" w:sz="1"/>
              <w:right w:val="single" w:color="CCCCCC" w:sz="1"/>
            </w:tcBorders>
            <w:shd w:fill="1F7D8C" w:val="clear"/>
            <w:tcMar>
              <w:top w:type="dxa" w:w="80"/>
              <w:left w:type="dxa" w:w="60"/>
              <w:bottom w:type="dxa" w:w="80"/>
              <w:right w:type="dxa" w:w="60"/>
            </w:tcMar>
          </w:tcPr>
          <w:p>
            <w:pPr>
              <w:jc w:val="center"/>
            </w:pPr>
            <w:r>
              <w:rPr>
                <w:rFonts w:ascii="Arial" w:cs="Arial" w:eastAsia="Arial" w:hAnsi="Arial"/>
                <w:b/>
                <w:bCs/>
                <w:color w:val="FFFFFF"/>
                <w:sz w:val="16"/>
                <w:szCs w:val="16"/>
              </w:rPr>
              <w:t xml:space="preserve">O</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Internal</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7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Draft</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ISMS-ACC-001</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Access Control Policy and Procedures</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A.5.15–A.5.18</w:t>
            </w:r>
          </w:p>
        </w:tc>
        <w:tc>
          <w:tcPr>
            <w:tcW w:type="dxa" w:w="600"/>
            <w:tcBorders>
              <w:top w:val="single" w:color="CCCCCC" w:sz="1"/>
              <w:left w:val="single" w:color="CCCCCC" w:sz="1"/>
              <w:bottom w:val="single" w:color="CCCCCC" w:sz="1"/>
              <w:right w:val="single" w:color="CCCCCC" w:sz="1"/>
            </w:tcBorders>
            <w:shd w:fill="1F7D8C" w:val="clear"/>
            <w:tcMar>
              <w:top w:type="dxa" w:w="80"/>
              <w:left w:type="dxa" w:w="60"/>
              <w:bottom w:type="dxa" w:w="80"/>
              <w:right w:type="dxa" w:w="60"/>
            </w:tcMar>
          </w:tcPr>
          <w:p>
            <w:pPr>
              <w:jc w:val="center"/>
            </w:pPr>
            <w:r>
              <w:rPr>
                <w:rFonts w:ascii="Arial" w:cs="Arial" w:eastAsia="Arial" w:hAnsi="Arial"/>
                <w:b/>
                <w:bCs/>
                <w:color w:val="FFFFFF"/>
                <w:sz w:val="16"/>
                <w:szCs w:val="16"/>
              </w:rPr>
              <w:t xml:space="preserve">O</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HoT</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Internal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7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Draft</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ISMS-AST-001</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Asset Register and Classification</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A.5.9–A.5.14</w:t>
            </w:r>
          </w:p>
        </w:tc>
        <w:tc>
          <w:tcPr>
            <w:tcW w:type="dxa" w:w="600"/>
            <w:tcBorders>
              <w:top w:val="single" w:color="CCCCCC" w:sz="1"/>
              <w:left w:val="single" w:color="CCCCCC" w:sz="1"/>
              <w:bottom w:val="single" w:color="CCCCCC" w:sz="1"/>
              <w:right w:val="single" w:color="CCCCCC" w:sz="1"/>
            </w:tcBorders>
            <w:shd w:fill="1F7D8C" w:val="clear"/>
            <w:tcMar>
              <w:top w:type="dxa" w:w="80"/>
              <w:left w:type="dxa" w:w="60"/>
              <w:bottom w:type="dxa" w:w="80"/>
              <w:right w:type="dxa" w:w="60"/>
            </w:tcMar>
          </w:tcPr>
          <w:p>
            <w:pPr>
              <w:jc w:val="center"/>
            </w:pPr>
            <w:r>
              <w:rPr>
                <w:rFonts w:ascii="Arial" w:cs="Arial" w:eastAsia="Arial" w:hAnsi="Arial"/>
                <w:b/>
                <w:bCs/>
                <w:color w:val="FFFFFF"/>
                <w:sz w:val="16"/>
                <w:szCs w:val="16"/>
              </w:rPr>
              <w:t xml:space="preserve">O</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HoT</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Confidential</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7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Draft</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ISMS-VUL-001</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Vulnerability Management Procedure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A.8.8, A.8.19</w:t>
            </w:r>
          </w:p>
        </w:tc>
        <w:tc>
          <w:tcPr>
            <w:tcW w:type="dxa" w:w="600"/>
            <w:tcBorders>
              <w:top w:val="single" w:color="CCCCCC" w:sz="1"/>
              <w:left w:val="single" w:color="CCCCCC" w:sz="1"/>
              <w:bottom w:val="single" w:color="CCCCCC" w:sz="1"/>
              <w:right w:val="single" w:color="CCCCCC" w:sz="1"/>
            </w:tcBorders>
            <w:shd w:fill="1F7D8C" w:val="clear"/>
            <w:tcMar>
              <w:top w:type="dxa" w:w="80"/>
              <w:left w:type="dxa" w:w="60"/>
              <w:bottom w:type="dxa" w:w="80"/>
              <w:right w:type="dxa" w:w="60"/>
            </w:tcMar>
          </w:tcPr>
          <w:p>
            <w:pPr>
              <w:jc w:val="center"/>
            </w:pPr>
            <w:r>
              <w:rPr>
                <w:rFonts w:ascii="Arial" w:cs="Arial" w:eastAsia="Arial" w:hAnsi="Arial"/>
                <w:b/>
                <w:bCs/>
                <w:color w:val="FFFFFF"/>
                <w:sz w:val="16"/>
                <w:szCs w:val="16"/>
              </w:rPr>
              <w:t xml:space="preserve">O</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HoT</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Internal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7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Draft</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ISMS-HR-001</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HR Security Policy (Joiner/Mover/Leaver)</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A.6.1, A.6.5</w:t>
            </w:r>
          </w:p>
        </w:tc>
        <w:tc>
          <w:tcPr>
            <w:tcW w:type="dxa" w:w="600"/>
            <w:tcBorders>
              <w:top w:val="single" w:color="CCCCCC" w:sz="1"/>
              <w:left w:val="single" w:color="CCCCCC" w:sz="1"/>
              <w:bottom w:val="single" w:color="CCCCCC" w:sz="1"/>
              <w:right w:val="single" w:color="CCCCCC" w:sz="1"/>
            </w:tcBorders>
            <w:shd w:fill="1F7D8C" w:val="clear"/>
            <w:tcMar>
              <w:top w:type="dxa" w:w="80"/>
              <w:left w:type="dxa" w:w="60"/>
              <w:bottom w:type="dxa" w:w="80"/>
              <w:right w:type="dxa" w:w="60"/>
            </w:tcMar>
          </w:tcPr>
          <w:p>
            <w:pPr>
              <w:jc w:val="center"/>
            </w:pPr>
            <w:r>
              <w:rPr>
                <w:rFonts w:ascii="Arial" w:cs="Arial" w:eastAsia="Arial" w:hAnsi="Arial"/>
                <w:b/>
                <w:bCs/>
                <w:color w:val="FFFFFF"/>
                <w:sz w:val="16"/>
                <w:szCs w:val="16"/>
              </w:rPr>
              <w:t xml:space="preserve">O</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Internal</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7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Draft</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ISMS-HR-002</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Security Awareness Training Procedure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7.2, 7.3, A.6.3</w:t>
            </w:r>
          </w:p>
        </w:tc>
        <w:tc>
          <w:tcPr>
            <w:tcW w:type="dxa" w:w="600"/>
            <w:tcBorders>
              <w:top w:val="single" w:color="CCCCCC" w:sz="1"/>
              <w:left w:val="single" w:color="CCCCCC" w:sz="1"/>
              <w:bottom w:val="single" w:color="CCCCCC" w:sz="1"/>
              <w:right w:val="single" w:color="CCCCCC" w:sz="1"/>
            </w:tcBorders>
            <w:shd w:fill="1F7D8C" w:val="clear"/>
            <w:tcMar>
              <w:top w:type="dxa" w:w="80"/>
              <w:left w:type="dxa" w:w="60"/>
              <w:bottom w:type="dxa" w:w="80"/>
              <w:right w:type="dxa" w:w="60"/>
            </w:tcMar>
          </w:tcPr>
          <w:p>
            <w:pPr>
              <w:jc w:val="center"/>
            </w:pPr>
            <w:r>
              <w:rPr>
                <w:rFonts w:ascii="Arial" w:cs="Arial" w:eastAsia="Arial" w:hAnsi="Arial"/>
                <w:b/>
                <w:bCs/>
                <w:color w:val="FFFFFF"/>
                <w:sz w:val="16"/>
                <w:szCs w:val="16"/>
              </w:rPr>
              <w:t xml:space="preserve">O</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Internal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7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Draft</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ISMS-DIC-001</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Documented Information Control Procedure</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7.5</w:t>
            </w:r>
          </w:p>
        </w:tc>
        <w:tc>
          <w:tcPr>
            <w:tcW w:type="dxa" w:w="600"/>
            <w:tcBorders>
              <w:top w:val="single" w:color="CCCCCC" w:sz="1"/>
              <w:left w:val="single" w:color="CCCCCC" w:sz="1"/>
              <w:bottom w:val="single" w:color="CCCCCC" w:sz="1"/>
              <w:right w:val="single" w:color="CCCCCC" w:sz="1"/>
            </w:tcBorders>
            <w:shd w:fill="1F7D8C" w:val="clear"/>
            <w:tcMar>
              <w:top w:type="dxa" w:w="80"/>
              <w:left w:type="dxa" w:w="60"/>
              <w:bottom w:type="dxa" w:w="80"/>
              <w:right w:type="dxa" w:w="60"/>
            </w:tcMar>
          </w:tcPr>
          <w:p>
            <w:pPr>
              <w:jc w:val="center"/>
            </w:pPr>
            <w:r>
              <w:rPr>
                <w:rFonts w:ascii="Arial" w:cs="Arial" w:eastAsia="Arial" w:hAnsi="Arial"/>
                <w:b/>
                <w:bCs/>
                <w:color w:val="FFFFFF"/>
                <w:sz w:val="16"/>
                <w:szCs w:val="16"/>
              </w:rPr>
              <w:t xml:space="preserve">O</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Internal</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76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Approved</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ISMS-CHG-001</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Change Management Procedure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6.3, 8.1</w:t>
            </w:r>
          </w:p>
        </w:tc>
        <w:tc>
          <w:tcPr>
            <w:tcW w:type="dxa" w:w="600"/>
            <w:tcBorders>
              <w:top w:val="single" w:color="CCCCCC" w:sz="1"/>
              <w:left w:val="single" w:color="CCCCCC" w:sz="1"/>
              <w:bottom w:val="single" w:color="CCCCCC" w:sz="1"/>
              <w:right w:val="single" w:color="CCCCCC" w:sz="1"/>
            </w:tcBorders>
            <w:shd w:fill="1F7D8C" w:val="clear"/>
            <w:tcMar>
              <w:top w:type="dxa" w:w="80"/>
              <w:left w:type="dxa" w:w="60"/>
              <w:bottom w:type="dxa" w:w="80"/>
              <w:right w:type="dxa" w:w="60"/>
            </w:tcMar>
          </w:tcPr>
          <w:p>
            <w:pPr>
              <w:jc w:val="center"/>
            </w:pPr>
            <w:r>
              <w:rPr>
                <w:rFonts w:ascii="Arial" w:cs="Arial" w:eastAsia="Arial" w:hAnsi="Arial"/>
                <w:b/>
                <w:bCs/>
                <w:color w:val="FFFFFF"/>
                <w:sz w:val="16"/>
                <w:szCs w:val="16"/>
              </w:rPr>
              <w:t xml:space="preserve">O</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Internal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7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Draft</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ISMS-MR-002</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ISMS KPI Metrics Report Template</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9.1</w:t>
            </w:r>
          </w:p>
        </w:tc>
        <w:tc>
          <w:tcPr>
            <w:tcW w:type="dxa" w:w="600"/>
            <w:tcBorders>
              <w:top w:val="single" w:color="CCCCCC" w:sz="1"/>
              <w:left w:val="single" w:color="CCCCCC" w:sz="1"/>
              <w:bottom w:val="single" w:color="CCCCCC" w:sz="1"/>
              <w:right w:val="single" w:color="CCCCCC" w:sz="1"/>
            </w:tcBorders>
            <w:shd w:fill="1F7D8C" w:val="clear"/>
            <w:tcMar>
              <w:top w:type="dxa" w:w="80"/>
              <w:left w:type="dxa" w:w="60"/>
              <w:bottom w:type="dxa" w:w="80"/>
              <w:right w:type="dxa" w:w="60"/>
            </w:tcMar>
          </w:tcPr>
          <w:p>
            <w:pPr>
              <w:jc w:val="center"/>
            </w:pPr>
            <w:r>
              <w:rPr>
                <w:rFonts w:ascii="Arial" w:cs="Arial" w:eastAsia="Arial" w:hAnsi="Arial"/>
                <w:b/>
                <w:bCs/>
                <w:color w:val="FFFFFF"/>
                <w:sz w:val="16"/>
                <w:szCs w:val="16"/>
              </w:rPr>
              <w:t xml:space="preserve">O</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Internal</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Quarterly</w:t>
            </w:r>
          </w:p>
        </w:tc>
        <w:tc>
          <w:tcPr>
            <w:tcW w:type="dxa" w:w="7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Draft</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ISMS-POL-001-SUM</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Information Security Policy Summary (one-page)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5.2(g)</w:t>
            </w:r>
          </w:p>
        </w:tc>
        <w:tc>
          <w:tcPr>
            <w:tcW w:type="dxa" w:w="600"/>
            <w:tcBorders>
              <w:top w:val="single" w:color="CCCCCC" w:sz="1"/>
              <w:left w:val="single" w:color="CCCCCC" w:sz="1"/>
              <w:bottom w:val="single" w:color="CCCCCC" w:sz="1"/>
              <w:right w:val="single" w:color="CCCCCC" w:sz="1"/>
            </w:tcBorders>
            <w:shd w:fill="1F7D8C" w:val="clear"/>
            <w:tcMar>
              <w:top w:type="dxa" w:w="80"/>
              <w:left w:type="dxa" w:w="60"/>
              <w:bottom w:type="dxa" w:w="80"/>
              <w:right w:type="dxa" w:w="60"/>
            </w:tcMar>
          </w:tcPr>
          <w:p>
            <w:pPr>
              <w:jc w:val="center"/>
            </w:pPr>
            <w:r>
              <w:rPr>
                <w:rFonts w:ascii="Arial" w:cs="Arial" w:eastAsia="Arial" w:hAnsi="Arial"/>
                <w:b/>
                <w:bCs/>
                <w:color w:val="FFFFFF"/>
                <w:sz w:val="16"/>
                <w:szCs w:val="16"/>
              </w:rPr>
              <w:t xml:space="preserve">O</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MD</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Public</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7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Draft</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ISMS-RoPA-001</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Record of Processing Activities (UK GDPR)</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UK GDPR Art. 30</w:t>
            </w:r>
          </w:p>
        </w:tc>
        <w:tc>
          <w:tcPr>
            <w:tcW w:type="dxa" w:w="600"/>
            <w:tcBorders>
              <w:top w:val="single" w:color="CCCCCC" w:sz="1"/>
              <w:left w:val="single" w:color="CCCCCC" w:sz="1"/>
              <w:bottom w:val="single" w:color="CCCCCC" w:sz="1"/>
              <w:right w:val="single" w:color="CCCCCC" w:sz="1"/>
            </w:tcBorders>
            <w:shd w:fill="7030A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G</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DPL</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Confidential</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7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Draft</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ISMS-DPIA-001</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Data Protection Impact Assessment Template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UK GDPR Art. 35</w:t>
            </w:r>
          </w:p>
        </w:tc>
        <w:tc>
          <w:tcPr>
            <w:tcW w:type="dxa" w:w="600"/>
            <w:tcBorders>
              <w:top w:val="single" w:color="CCCCCC" w:sz="1"/>
              <w:left w:val="single" w:color="CCCCCC" w:sz="1"/>
              <w:bottom w:val="single" w:color="CCCCCC" w:sz="1"/>
              <w:right w:val="single" w:color="CCCCCC" w:sz="1"/>
            </w:tcBorders>
            <w:shd w:fill="7030A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G</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DPL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Confidential</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Per project</w:t>
            </w:r>
          </w:p>
        </w:tc>
        <w:tc>
          <w:tcPr>
            <w:tcW w:type="dxa" w:w="7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Draft</w:t>
            </w:r>
          </w:p>
        </w:tc>
      </w:tr>
    </w:tbl>
    <w:p>
      <w:pPr>
        <w:spacing w:after="60" w:before="60"/>
      </w:pPr>
    </w:p>
    <w:p>
      <w:pPr>
        <w:spacing w:after="80" w:before="80"/>
        <w:jc w:val="left"/>
      </w:pPr>
      <w:r>
        <w:rPr>
          <w:rFonts w:ascii="Arial" w:cs="Arial" w:eastAsia="Arial" w:hAnsi="Arial"/>
          <w:b w:val="false"/>
          <w:bCs w:val="false"/>
          <w:color w:val="888888"/>
          <w:sz w:val="17"/>
          <w:szCs w:val="17"/>
        </w:rPr>
        <w:t xml:space="preserve">Legend: M = Mandatory per ISO 27001:2022 | O = Organisationally determined | G = Mandatory per UK GDPR/DPA 2018 | Status: Approved = current controlled version exists; Draft = in development; Active = live record (e.g. training log).</w:t>
      </w:r>
    </w:p>
    <w:p>
      <w:pPr>
        <w:spacing w:after="120" w:before="120"/>
      </w:pPr>
    </w:p>
    <w:p>
      <w:pPr>
        <w:pStyle w:val="Heading2"/>
        <w:spacing w:after="80" w:before="240"/>
      </w:pPr>
      <w:r>
        <w:rPr>
          <w:rFonts w:ascii="Arial" w:cs="Arial" w:eastAsia="Arial" w:hAnsi="Arial"/>
          <w:b/>
          <w:bCs/>
          <w:color w:val="2E75B6"/>
          <w:sz w:val="26"/>
          <w:szCs w:val="26"/>
        </w:rPr>
        <w:t xml:space="preserve">6.5 External Document Register</w:t>
      </w:r>
    </w:p>
    <w:p>
      <w:pPr>
        <w:spacing w:after="80" w:before="80"/>
        <w:jc w:val="left"/>
      </w:pPr>
      <w:r>
        <w:rPr>
          <w:rFonts w:ascii="Arial" w:cs="Arial" w:eastAsia="Arial" w:hAnsi="Arial"/>
          <w:b w:val="false"/>
          <w:bCs w:val="false"/>
          <w:color w:val="000000"/>
          <w:sz w:val="20"/>
          <w:szCs w:val="20"/>
        </w:rPr>
        <w:t xml:space="preserve">The following external documents have been identified as necessary for the planning and operation of the ISMS and are controlled per Clause 7.5.3:</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500"/>
        <w:gridCol w:w="1400"/>
        <w:gridCol w:w="1560"/>
        <w:gridCol w:w="900"/>
      </w:tblGrid>
      <w:tr>
        <w:trPr>
          <w:tblHeader/>
        </w:trPr>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Ref</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w:t>
            </w:r>
          </w:p>
        </w:tc>
        <w:tc>
          <w:tcPr>
            <w:tcW w:type="dxa" w:w="2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 / Publisher</w:t>
            </w:r>
          </w:p>
        </w:tc>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Currency Control</w:t>
            </w:r>
          </w:p>
        </w:tc>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Access</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EXT-001</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ISO/IEC 27001:2022</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International standard — ISMS requirements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ISO</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Current edition maintained by ISM</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Confidential (licensed)</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EXT-002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ISO/IEC 27002:2022</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Controls guidance — implementation guidance for Annex A</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ISO</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Current edition maintained by ISM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Confidential (licensed)</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EXT-003</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ISO 31000:2018</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Risk management guidelines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ISO</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Current edition</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Confidential (licensed)</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EXT-004</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UK GDPR / DPA 2018</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UK data protection law</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UK Government / ICO</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Current version via legislation.gov.uk</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Public</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EXT-005</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NIS Regulations 2018</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Network and information systems security regulations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UK Government</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Current version via legislation.gov.uk</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Public</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EXT-006</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NCSC Cyber Essentials Scheme Documentation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Technical controls guidance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NCSC</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Current version from ncsc.gov.uk</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Public</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EXT-007</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ICO UK GDPR Guidance</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Regulatory guidance on data protection compliance</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ICO</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Current version from ico.org.uk</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Public</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EXT-008</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NCSC 10 Steps to Cyber Security</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Cyber security best practice framework</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NCSC</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Current version from ncsc.gov.uk</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Public</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EXT-009</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MITRE ATT&amp;CK Framework</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Adversary tactics and techniques reference</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MITRE</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Current version from attack.mitre.org</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Public</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EXT-010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CIS Benchmarks (Microsoft 365, Azure)</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Cloud security configuration baselines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CIS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Current version from cisecurity.org</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Public (registered)</w:t>
            </w:r>
          </w:p>
        </w:tc>
      </w:tr>
    </w:tbl>
    <w:p>
      <w:pPr>
        <w:spacing w:after="120" w:before="120"/>
      </w:pPr>
    </w:p>
    <w:p>
      <w:pPr>
        <w:pStyle w:val="Heading2"/>
        <w:spacing w:after="80" w:before="240"/>
      </w:pPr>
      <w:r>
        <w:rPr>
          <w:rFonts w:ascii="Arial" w:cs="Arial" w:eastAsia="Arial" w:hAnsi="Arial"/>
          <w:b/>
          <w:bCs/>
          <w:color w:val="2E75B6"/>
          <w:sz w:val="26"/>
          <w:szCs w:val="26"/>
        </w:rPr>
        <w:t xml:space="preserve">6.6 Documented Information Retention and Disposition Schedule</w:t>
      </w:r>
    </w:p>
    <w:p>
      <w:pPr>
        <w:spacing w:after="80" w:before="80"/>
        <w:jc w:val="left"/>
      </w:pPr>
      <w:r>
        <w:rPr>
          <w:rFonts w:ascii="Arial" w:cs="Arial" w:eastAsia="Arial" w:hAnsi="Arial"/>
          <w:b w:val="false"/>
          <w:bCs w:val="false"/>
          <w:color w:val="000000"/>
          <w:sz w:val="20"/>
          <w:szCs w:val="20"/>
        </w:rPr>
        <w:t xml:space="preserve">The following retention periods apply to ISMS documented information. Periods are informed by ISO 27001:2022 requirements, UK GDPR obligations, and organisational need. All periods commence from the date the document is superseded or the record is closed.</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86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 Record Category</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Examples</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Minimum Retention Period</w:t>
            </w:r>
          </w:p>
        </w:tc>
        <w:tc>
          <w:tcPr>
            <w:tcW w:type="dxa" w:w="2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Disposition Method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 Policy Documents</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ISMS-POL-001, ISMS-LDR-001, ISMS-CTX-001, ISMS-SCO-001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years from supersession</w:t>
            </w:r>
          </w:p>
        </w:tc>
        <w:tc>
          <w:tcPr>
            <w:tcW w:type="dxa" w:w="2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Archive (read-only) in document management system. Do not delete — required for audit trail.</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Risk Assessment and Treatment Records</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ISMS-PLN-001, ISMS-RA-001, ISMS-SoA-001</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years from supersession</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Archive in document management system. Each annual version retained.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Management Review Records</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ISMS-MR-001 minutes, ISMS-MR-002 KPI reports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years from meeting date</w:t>
            </w:r>
          </w:p>
        </w:tc>
        <w:tc>
          <w:tcPr>
            <w:tcW w:type="dxa" w:w="2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Archive in document management system.</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Internal Audit Records</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ISMS-IAP-001, audit reports, nonconformity records</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years from audit close</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Archive in document management system. Required for certification body surveillance.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Corrective Action Records</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ISMS-CAR-001 entries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years from closure</w:t>
            </w:r>
          </w:p>
        </w:tc>
        <w:tc>
          <w:tcPr>
            <w:tcW w:type="dxa" w:w="2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Archive in corrective action tracker.</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Training and Competence Records</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ISMS-TRN-REC, certificates, acknowledgements</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Duration of employment + 3 years</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Secure deletion after retention period. UK GDPR data minimisation principles apply.</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Incident Records</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ISMS-IRP-001 incident log, post-incident reports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 years from incident close</w:t>
            </w:r>
          </w:p>
        </w:tc>
        <w:tc>
          <w:tcPr>
            <w:tcW w:type="dxa" w:w="2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Archive in incident management system. May be required for legal or regulatory proceedings.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UK GDPR Records (RoPA, DPIAs)</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ISMS-RoPA-001, ISMS-DPIA-001</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Duration of processing + 3 years</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Archive per ICO guidance. Secure deletion after retention. Data subject requests may affect retention.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Supplier Assessment Records</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ISMS-SUP-001, supplier risk assessments, contractual security evidence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Duration of contract + 3 years</w:t>
            </w:r>
          </w:p>
        </w:tc>
        <w:tc>
          <w:tcPr>
            <w:tcW w:type="dxa" w:w="2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Archive in supplier management folder. May be required for client audit and certification body review.</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Communication Records</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Policy acknowledgement logs, notification records, breach notifications</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years</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Retain in communication log. Breach notifications to ICO retained indefinitely.</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7. Linkage to Other ISMS Documents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260"/>
        <w:gridCol w:w="40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tcW w:type="dxa" w:w="4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Relationship to Clause 7</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ISMS-CTX-001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Context Document (Clause 4)</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Interested party requirements (4.2) drive communication obligations in §5. Context informs awareness programme topic selection.</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ISMS-LDR-001</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Leadership, Policy and Roles (Clause 5)</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MD commitment to provide resources (5.1(c)) evidenced in §2. Policy communication requirements (5.2(f)(g)) implemented via §4 and §5.</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ISMS-PLN-001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Planning (Clause 6)</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Risk treatment objectives drive training and competency requirements. Objectives include OBJ-004 (awareness) and OBJ-002 (MFA — technical competency required).</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ISMS-TRN-REC</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Training and Competence Records</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Master evidence repository for Clause 7.2(d). All training completions, certificates, and acknowledgements stored here.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ISMS-HR-002</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 Awareness Training Procedure</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Operational procedure for delivery of the awareness programme defined in §4.1. Companion document to this policy.</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ISMS-DIC-001</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Documented Information Control Procedure</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Operational procedure implementing the controls defined in §6.2 and §6.3. Contains document templates and workflow guidance.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ISMS-MR-001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Management Review</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Resource adequacy (7.1), training effectiveness (7.2/7.3), and communication performance (7.4) are standing management review agenda items.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ISMS-IRP-001</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Incident Response Plan</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Incident communications (COM-003 to COM-006) are operationalised through the incident response plan. Security awareness drives incident reporting culture.</w:t>
            </w:r>
          </w:p>
        </w:tc>
      </w:tr>
    </w:tbl>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8. Review and Maintenance</w:t>
      </w:r>
    </w:p>
    <w:p>
      <w:pPr>
        <w:spacing w:after="80" w:before="80"/>
        <w:jc w:val="left"/>
      </w:pPr>
      <w:r>
        <w:rPr>
          <w:rFonts w:ascii="Arial" w:cs="Arial" w:eastAsia="Arial" w:hAnsi="Arial"/>
          <w:b w:val="false"/>
          <w:bCs w:val="false"/>
          <w:color w:val="000000"/>
          <w:sz w:val="20"/>
          <w:szCs w:val="20"/>
        </w:rPr>
        <w:t xml:space="preserve">This document shall be reviewed and updated under the following conditions:</w:t>
      </w:r>
    </w:p>
    <w:p>
      <w:pPr>
        <w:spacing w:after="60" w:before="60"/>
      </w:pPr>
    </w:p>
    <w:p>
      <w:pPr>
        <w:pStyle w:val="ListParagraph"/>
        <w:numPr>
          <w:ilvl w:val="0"/>
          <w:numId w:val="2"/>
        </w:numPr>
        <w:spacing w:after="40" w:before="40"/>
      </w:pPr>
      <w:r>
        <w:rPr>
          <w:rFonts w:ascii="Arial" w:cs="Arial" w:eastAsia="Arial" w:hAnsi="Arial"/>
          <w:sz w:val="20"/>
          <w:szCs w:val="20"/>
        </w:rPr>
        <w:t xml:space="preserve">Annually as part of the ISMS Management Review cycle (mandatory trigger)</w:t>
      </w:r>
    </w:p>
    <w:p>
      <w:pPr>
        <w:pStyle w:val="ListParagraph"/>
        <w:numPr>
          <w:ilvl w:val="0"/>
          <w:numId w:val="2"/>
        </w:numPr>
        <w:spacing w:after="40" w:before="40"/>
      </w:pPr>
      <w:r>
        <w:rPr>
          <w:rFonts w:ascii="Arial" w:cs="Arial" w:eastAsia="Arial" w:hAnsi="Arial"/>
          <w:sz w:val="20"/>
          <w:szCs w:val="20"/>
        </w:rPr>
        <w:t xml:space="preserve">Following any change in organisational structure, headcount, or key ISMS roles that affects competency requirements or resource provision</w:t>
      </w:r>
    </w:p>
    <w:p>
      <w:pPr>
        <w:pStyle w:val="ListParagraph"/>
        <w:numPr>
          <w:ilvl w:val="0"/>
          <w:numId w:val="2"/>
        </w:numPr>
        <w:spacing w:after="40" w:before="40"/>
      </w:pPr>
      <w:r>
        <w:rPr>
          <w:rFonts w:ascii="Arial" w:cs="Arial" w:eastAsia="Arial" w:hAnsi="Arial"/>
          <w:sz w:val="20"/>
          <w:szCs w:val="20"/>
        </w:rPr>
        <w:t xml:space="preserve">Following introduction of new regulatory requirements affecting communication obligations or training content</w:t>
      </w:r>
    </w:p>
    <w:p>
      <w:pPr>
        <w:pStyle w:val="ListParagraph"/>
        <w:numPr>
          <w:ilvl w:val="0"/>
          <w:numId w:val="2"/>
        </w:numPr>
        <w:spacing w:after="40" w:before="40"/>
      </w:pPr>
      <w:r>
        <w:rPr>
          <w:rFonts w:ascii="Arial" w:cs="Arial" w:eastAsia="Arial" w:hAnsi="Arial"/>
          <w:sz w:val="20"/>
          <w:szCs w:val="20"/>
        </w:rPr>
        <w:t xml:space="preserve">Following a significant security incident where competence or awareness gaps were identified as a contributing factor</w:t>
      </w:r>
    </w:p>
    <w:p>
      <w:pPr>
        <w:pStyle w:val="ListParagraph"/>
        <w:numPr>
          <w:ilvl w:val="0"/>
          <w:numId w:val="2"/>
        </w:numPr>
        <w:spacing w:after="40" w:before="40"/>
      </w:pPr>
      <w:r>
        <w:rPr>
          <w:rFonts w:ascii="Arial" w:cs="Arial" w:eastAsia="Arial" w:hAnsi="Arial"/>
          <w:sz w:val="20"/>
          <w:szCs w:val="20"/>
        </w:rPr>
        <w:t xml:space="preserve">When the ISMS document register requires updating due to new, revised, or retired documents</w:t>
      </w:r>
    </w:p>
    <w:p>
      <w:pPr>
        <w:pStyle w:val="ListParagraph"/>
        <w:numPr>
          <w:ilvl w:val="0"/>
          <w:numId w:val="2"/>
        </w:numPr>
        <w:spacing w:after="40" w:before="40"/>
      </w:pPr>
      <w:r>
        <w:rPr>
          <w:rFonts w:ascii="Arial" w:cs="Arial" w:eastAsia="Arial" w:hAnsi="Arial"/>
          <w:sz w:val="20"/>
          <w:szCs w:val="20"/>
        </w:rPr>
        <w:t xml:space="preserve">When the training register requires updating due to new mandatory training obligations</w:t>
      </w:r>
    </w:p>
    <w:p>
      <w:pPr>
        <w:pStyle w:val="ListParagraph"/>
        <w:numPr>
          <w:ilvl w:val="0"/>
          <w:numId w:val="2"/>
        </w:numPr>
        <w:spacing w:after="40" w:before="40"/>
      </w:pPr>
      <w:r>
        <w:rPr>
          <w:rFonts w:ascii="Arial" w:cs="Arial" w:eastAsia="Arial" w:hAnsi="Arial"/>
          <w:sz w:val="20"/>
          <w:szCs w:val="20"/>
        </w:rPr>
        <w:t xml:space="preserve">At the discretion of the Information Security Manager</w:t>
      </w:r>
    </w:p>
    <w:p>
      <w:pPr>
        <w:spacing w:after="60" w:before="60"/>
      </w:pPr>
    </w:p>
    <w:p>
      <w:pPr>
        <w:spacing w:after="80" w:before="80"/>
        <w:jc w:val="left"/>
      </w:pPr>
      <w:r>
        <w:rPr>
          <w:rFonts w:ascii="Arial" w:cs="Arial" w:eastAsia="Arial" w:hAnsi="Arial"/>
          <w:b w:val="false"/>
          <w:bCs w:val="false"/>
          <w:color w:val="000000"/>
          <w:sz w:val="20"/>
          <w:szCs w:val="20"/>
        </w:rPr>
        <w:t xml:space="preserve">Changes to the ISMS Document Register (Section 6.4) may be made by the ISM without full document revision, provided the change log is updated and the revision date on the register is incremented. Changes affecting the competency framework, awareness programme, or communication plan require full ISM review and MD notification.</w:t>
      </w:r>
    </w:p>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9. References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Reference</w:t>
            </w:r>
          </w:p>
        </w:tc>
        <w:tc>
          <w:tcPr>
            <w:tcW w:type="dxa" w:w="6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 Standard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ISO/IEC 27001:2022</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Clauses 7.1, 7.2, 7.3, 7.4, 7.5.1, 7.5.2, 7.5.3 — Support.</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UK GDPR / DPA 2018</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UK General Data Protection Regulation — informing communication obligations (breach notification) and records retention.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NIS Regulations 2018</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Network and Information Systems Regulations — awareness and competency in regulatory obligations for relevant client sectors.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NCSC Cyber Essentials</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NCSC Cyber Essentials scheme — baseline competency standard for technical controls referenced in training register.</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ISMS-PLN-001</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Planning document — security objectives OBJ-004 (awareness) and OBJ-002 (MFA competency) directly drive requirements in this document.</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ISMS-DIC-001</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Documented Information Control Procedure — operational implementation of §6.2 and §6.3.</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ISMS-HR-002</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 Awareness Training Procedure — operational delivery of the awareness programme in §4.</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ISMS-TRN-REC</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Training and Competence Records — evidence repository for Clause 7.2(d) compliance.</w:t>
            </w:r>
          </w:p>
        </w:tc>
      </w:tr>
    </w:tbl>
    <w:p>
      <w:pPr>
        <w:spacing w:after="0" w:before="240"/>
      </w:pPr>
    </w:p>
    <w:p>
      <w:pPr>
        <w:spacing w:after="0" w:before="240"/>
      </w:pPr>
      <w:r>
        <w:rPr>
          <w:rFonts w:ascii="Arial" w:cs="Arial" w:eastAsia="Arial" w:hAnsi="Arial"/>
          <w:color w:val="AAAAAA"/>
          <w:sz w:val="16"/>
          <w:szCs w:val="16"/>
        </w:rPr>
        <w:t xml:space="preserve">END OF DOCUMENT — ISMS-SPT-001 v1.0</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026"/>
      </w:tabs>
      <w:spacing w:before="120"/>
    </w:pPr>
    <w:r>
      <w:rPr>
        <w:rFonts w:ascii="Arial" w:cs="Arial" w:eastAsia="Arial" w:hAnsi="Arial"/>
        <w:b/>
        <w:bCs/>
        <w:color w:val="2E75B6"/>
        <w:sz w:val="16"/>
        <w:szCs w:val="16"/>
      </w:rPr>
      <w:t xml:space="preserve">INTERNAL</w:t>
    </w:r>
    <w:r>
      <w:rPr>
        <w:rFonts w:ascii="Arial" w:cs="Arial" w:eastAsia="Arial" w:hAnsi="Arial"/>
        <w:color w:val="888888"/>
        <w:sz w:val="16"/>
        <w:szCs w:val="16"/>
      </w:rPr>
      <w:t xml:space="preserve">	Page </w:t>
    </w:r>
    <w:fldSimple w:instr="PAGE">
      <w:r>
        <w:rPr>
          <w:rFonts w:ascii="Arial" w:cs="Arial" w:eastAsia="Arial" w:hAnsi="Arial"/>
          <w:color w:val="888888"/>
          <w:sz w:val="16"/>
          <w:szCs w:val="16"/>
        </w:rPr>
      </w:r>
    </w:fldSimple>
    <w:r>
      <w:rPr>
        <w:rFonts w:ascii="Arial" w:cs="Arial" w:eastAsia="Arial" w:hAnsi="Arial"/>
        <w:color w:val="888888"/>
        <w:sz w:val="16"/>
        <w:szCs w:val="16"/>
      </w:rPr>
      <w:t xml:space="preserve">	02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20"/>
    </w:pPr>
    <w:r>
      <w:rPr>
        <w:rFonts w:ascii="Arial" w:cs="Arial" w:eastAsia="Arial" w:hAnsi="Arial"/>
        <w:b/>
        <w:bCs/>
        <w:color w:val="1F3864"/>
        <w:sz w:val="18"/>
        <w:szCs w:val="18"/>
      </w:rPr>
      <w:t xml:space="preserve">Apex Managed Services Ltd — ISMS Support: Clause 7</w:t>
    </w:r>
    <w:r>
      <w:rPr>
        <w:rFonts w:ascii="Arial" w:cs="Arial" w:eastAsia="Arial" w:hAnsi="Arial"/>
        <w:color w:val="888888"/>
        <w:sz w:val="16"/>
        <w:szCs w:val="16"/>
      </w:rPr>
      <w:t xml:space="preserve">	ISMS-SPT-001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2026-04-02T19:43:59.133Z</dcterms:created>
  <dcterms:modified xsi:type="dcterms:W3CDTF">2026-04-02T19:43:59.134Z</dcterms:modified>
</cp:coreProperties>
</file>

<file path=docProps/custom.xml><?xml version="1.0" encoding="utf-8"?>
<Properties xmlns="http://schemas.openxmlformats.org/officeDocument/2006/custom-properties" xmlns:vt="http://schemas.openxmlformats.org/officeDocument/2006/docPropsVTypes"/>
</file>