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00"/>
      </w:pPr>
    </w:p>
    <w:p>
      <w:pPr>
        <w:pBdr>
          <w:bottom w:val="single" w:color="2E75B6" w:sz="18" w:space="4"/>
        </w:pBdr>
        <w:spacing w:after="160" w:before="0"/>
        <w:jc w:val="center"/>
      </w:pPr>
      <w:r>
        <w:rPr>
          <w:rFonts w:ascii="Arial" w:cs="Arial" w:eastAsia="Arial" w:hAnsi="Arial"/>
          <w:b/>
          <w:bCs/>
          <w:color w:val="1F3864"/>
          <w:sz w:val="44"/>
          <w:szCs w:val="44"/>
        </w:rPr>
        <w:t xml:space="preserve">Apex Managed Services Ltd</w:t>
      </w:r>
    </w:p>
    <w:p>
      <w:pPr>
        <w:spacing w:after="80" w:before="160"/>
        <w:jc w:val="center"/>
      </w:pPr>
      <w:r>
        <w:rPr>
          <w:rFonts w:ascii="Arial" w:cs="Arial" w:eastAsia="Arial" w:hAnsi="Arial"/>
          <w:color w:val="404040"/>
          <w:sz w:val="26"/>
          <w:szCs w:val="26"/>
        </w:rPr>
        <w:t xml:space="preserve">Information Security Management System</w:t>
      </w:r>
    </w:p>
    <w:p>
      <w:pPr>
        <w:spacing w:after="60" w:before="0"/>
        <w:jc w:val="center"/>
      </w:pPr>
      <w:r>
        <w:rPr>
          <w:rFonts w:ascii="Arial" w:cs="Arial" w:eastAsia="Arial" w:hAnsi="Arial"/>
          <w:b/>
          <w:bCs/>
          <w:color w:val="2E75B6"/>
          <w:sz w:val="36"/>
          <w:szCs w:val="36"/>
        </w:rPr>
        <w:t xml:space="preserve">Supplier Security Policy</w:t>
      </w:r>
    </w:p>
    <w:p>
      <w:pPr>
        <w:spacing w:after="300" w:before="0"/>
        <w:jc w:val="center"/>
      </w:pPr>
      <w:r>
        <w:rPr>
          <w:rFonts w:ascii="Arial" w:cs="Arial" w:eastAsia="Arial" w:hAnsi="Arial"/>
          <w:b/>
          <w:bCs/>
          <w:color w:val="2E75B6"/>
          <w:sz w:val="28"/>
          <w:szCs w:val="28"/>
        </w:rPr>
        <w:t xml:space="preserve">and Risk Assessment Register</w:t>
      </w:r>
    </w:p>
    <w:p>
      <w:pPr>
        <w:spacing w:after="60" w:before="0"/>
        <w:jc w:val="center"/>
      </w:pPr>
      <w:r>
        <w:rPr>
          <w:rFonts w:ascii="Arial" w:cs="Arial" w:eastAsia="Arial" w:hAnsi="Arial"/>
          <w:color w:val="404040"/>
          <w:sz w:val="18"/>
          <w:szCs w:val="18"/>
        </w:rPr>
        <w:t xml:space="preserve">ISO/IEC 27001:2022 — A.5.19, A.5.20, A.5.21, A.5.22</w:t>
      </w:r>
    </w:p>
    <w:p>
      <w:pPr>
        <w:spacing w:after="300" w:before="0"/>
        <w:jc w:val="center"/>
      </w:pPr>
      <w:r>
        <w:rPr>
          <w:rFonts w:ascii="Arial" w:cs="Arial" w:eastAsia="Arial" w:hAnsi="Arial"/>
          <w:color w:val="888888"/>
          <w:sz w:val="17"/>
          <w:szCs w:val="17"/>
        </w:rPr>
        <w:t xml:space="preserve">ISMS-SUP-001  |  Version 1.0  |  02 April 2026  |  INTERNAL</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560"/>
        <w:gridCol w:w="1800"/>
        <w:gridCol w:w="1900"/>
      </w:tblGrid>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Reference</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ISMS-SUP-001</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Version</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1.0</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Title</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Supplier Security Policy — and Risk Assessment Register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Date</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02 April 2026</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Organisation</w:t>
            </w:r>
          </w:p>
        </w:tc>
        <w:tc>
          <w:tcPr>
            <w:tcW w:type="dxa" w:w="35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Apex Managed Services Ltd</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Classification</w:t>
            </w:r>
          </w:p>
        </w:tc>
        <w:tc>
          <w:tcPr>
            <w:tcW w:type="dxa" w:w="1900"/>
            <w:gridSpan w:val="1"/>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INTERNAL</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 Owner</w:t>
            </w:r>
          </w:p>
        </w:tc>
        <w:tc>
          <w:tcPr>
            <w:tcW w:type="dxa" w:w="35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Information Security Manager</w:t>
            </w:r>
          </w:p>
        </w:tc>
        <w:tc>
          <w:tcPr>
            <w:tcW w:type="dxa" w:w="1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ISO 27001:2022</w:t>
            </w:r>
          </w:p>
        </w:tc>
        <w:tc>
          <w:tcPr>
            <w:tcW w:type="dxa" w:w="19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bCs/>
                <w:color w:val="000000"/>
                <w:sz w:val="20"/>
                <w:szCs w:val="20"/>
              </w:rPr>
              <w:t xml:space="preserve">A.5.19, A.5.20, A.5.21, A.5.22</w:t>
            </w:r>
          </w:p>
        </w:tc>
      </w:tr>
      <w:t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Approved By</w:t>
            </w:r>
          </w:p>
        </w:tc>
        <w:tc>
          <w:tcPr>
            <w:tcW w:type="dxa" w:w="7260"/>
            <w:gridSpan w:val="3"/>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20"/>
                <w:szCs w:val="20"/>
              </w:rPr>
              <w:t xml:space="preserve">Managing Director — Signature: __________________  Date: __________________</w:t>
            </w:r>
          </w:p>
        </w:tc>
      </w:tr>
    </w:tbl>
    <w:p>
      <w:r>
        <w:br w:type="page"/>
      </w:r>
    </w:p>
    <w:p>
      <w:pPr>
        <w:pStyle w:val="Heading1"/>
        <w:pBdr>
          <w:bottom w:val="single" w:color="2E75B6" w:sz="8" w:space="4"/>
        </w:pBdr>
        <w:spacing w:after="100" w:before="300"/>
      </w:pPr>
      <w:r>
        <w:rPr>
          <w:rFonts w:ascii="Arial" w:cs="Arial" w:eastAsia="Arial" w:hAnsi="Arial"/>
          <w:b/>
          <w:bCs/>
          <w:color w:val="1F3864"/>
          <w:sz w:val="30"/>
          <w:szCs w:val="30"/>
        </w:rPr>
        <w:t xml:space="preserve">1.  Purpose and Scope</w:t>
      </w:r>
    </w:p>
    <w:p>
      <w:pPr>
        <w:spacing w:after="80" w:before="80"/>
        <w:jc w:val="left"/>
      </w:pPr>
      <w:r>
        <w:rPr>
          <w:rFonts w:ascii="Arial" w:cs="Arial" w:eastAsia="Arial" w:hAnsi="Arial"/>
          <w:b w:val="false"/>
          <w:bCs w:val="false"/>
          <w:color w:val="000000"/>
          <w:sz w:val="20"/>
          <w:szCs w:val="20"/>
        </w:rPr>
        <w:t xml:space="preserve">This document establishes the Supplier Security Policy and operational risk assessment register for Apex Managed Services Ltd. It defines how the organisation identifies, assesses, manages, and monitors the security risks arising from its suppliers, sub-contractors, and third-party service providers. It implements Annex A controls A.5.19 through A.5.22 and feeds KPI-021 (supplier risk assessment coverage).</w:t>
      </w:r>
    </w:p>
    <w:p>
      <w:pPr>
        <w:spacing w:after="60" w:before="60"/>
      </w:pPr>
    </w:p>
    <w:p>
      <w:pPr>
        <w:spacing w:after="80" w:before="80"/>
        <w:jc w:val="left"/>
      </w:pPr>
      <w:r>
        <w:rPr>
          <w:rFonts w:ascii="Arial" w:cs="Arial" w:eastAsia="Arial" w:hAnsi="Arial"/>
          <w:b w:val="false"/>
          <w:bCs w:val="false"/>
          <w:color w:val="000000"/>
          <w:sz w:val="20"/>
          <w:szCs w:val="20"/>
        </w:rPr>
        <w:t xml:space="preserve">'Supplier' means any external organisation that provides goods, services, or technology to Apex Managed Services Ltd in connection with the delivery of its ISMS-scoped services, or that processes personal data on its behalf. This includes cloud service providers, software vendors, security tooling providers, professional service firms, and sub-contractors engaged in client delivery.</w:t>
      </w:r>
    </w:p>
    <w:p>
      <w:pPr>
        <w:spacing w:after="100" w:before="100"/>
      </w:pPr>
    </w:p>
    <w:p>
      <w:pPr>
        <w:pStyle w:val="Heading1"/>
        <w:pBdr>
          <w:bottom w:val="single" w:color="2E75B6" w:sz="8" w:space="4"/>
        </w:pBdr>
        <w:spacing w:after="100" w:before="300"/>
      </w:pPr>
      <w:r>
        <w:rPr>
          <w:rFonts w:ascii="Arial" w:cs="Arial" w:eastAsia="Arial" w:hAnsi="Arial"/>
          <w:b/>
          <w:bCs/>
          <w:color w:val="1F3864"/>
          <w:sz w:val="30"/>
          <w:szCs w:val="30"/>
        </w:rPr>
        <w:t xml:space="preserve">2.  Supplier Security Requirements</w:t>
      </w:r>
    </w:p>
    <w:p>
      <w:pPr>
        <w:pStyle w:val="Heading2"/>
        <w:spacing w:after="80" w:before="200"/>
      </w:pPr>
      <w:r>
        <w:rPr>
          <w:rFonts w:ascii="Arial" w:cs="Arial" w:eastAsia="Arial" w:hAnsi="Arial"/>
          <w:b/>
          <w:bCs/>
          <w:color w:val="2E75B6"/>
          <w:sz w:val="24"/>
          <w:szCs w:val="24"/>
        </w:rPr>
        <w:t xml:space="preserve">2.1  Minimum Security Baseline</w:t>
      </w:r>
    </w:p>
    <w:p>
      <w:pPr>
        <w:spacing w:after="80" w:before="80"/>
        <w:jc w:val="left"/>
      </w:pPr>
      <w:r>
        <w:rPr>
          <w:rFonts w:ascii="Arial" w:cs="Arial" w:eastAsia="Arial" w:hAnsi="Arial"/>
          <w:b w:val="false"/>
          <w:bCs w:val="false"/>
          <w:color w:val="000000"/>
          <w:sz w:val="20"/>
          <w:szCs w:val="20"/>
        </w:rPr>
        <w:t xml:space="preserve">All suppliers with access to organisational systems, client data, or ISMS documentation must meet the following minimum security baseline as a condition of engagement:</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3000"/>
        <w:gridCol w:w="6260"/>
      </w:tblGrid>
      <w:tr>
        <w:trPr>
          <w:tblHeader/>
        </w:trPr>
        <w:tc>
          <w:tcPr>
            <w:tcW w:type="dxa" w:w="3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Requirement</w:t>
            </w:r>
          </w:p>
        </w:tc>
        <w:tc>
          <w:tcPr>
            <w:tcW w:type="dxa" w:w="6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Detail</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Information Security Policy</w:t>
            </w:r>
          </w:p>
        </w:tc>
        <w:tc>
          <w:tcPr>
            <w:tcW w:type="dxa" w:w="6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The supplier must have a documented information security policy applicable to the services provided to the organisation.</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Access Controls</w:t>
            </w:r>
          </w:p>
        </w:tc>
        <w:tc>
          <w:tcPr>
            <w:tcW w:type="dxa" w:w="6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The supplier must enforce MFA on all accounts with access to organisational or client systems. Least-privilege access principles must apply.</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Encryption</w:t>
            </w:r>
          </w:p>
        </w:tc>
        <w:tc>
          <w:tcPr>
            <w:tcW w:type="dxa" w:w="6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Data in transit must be encrypted using TLS 1.2 or higher. Data at rest must be encrypted. Credentials must not be transmitted in plaintext.</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Vulnerability Management</w:t>
            </w:r>
          </w:p>
        </w:tc>
        <w:tc>
          <w:tcPr>
            <w:tcW w:type="dxa" w:w="6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The supplier must maintain a patching programme that addresses Critical vulnerabilities within 30 days of public disclosure (or equivalent to our A.8.8 controls).</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Incident Notification</w:t>
            </w:r>
          </w:p>
        </w:tc>
        <w:tc>
          <w:tcPr>
            <w:tcW w:type="dxa" w:w="6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The supplier must notify the organisation of any security incident affecting the organisation's data or systems without undue delay — and within 72 hours for any personal data breach.</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Sub-processor Management</w:t>
            </w:r>
          </w:p>
        </w:tc>
        <w:tc>
          <w:tcPr>
            <w:tcW w:type="dxa" w:w="6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The supplier must not engage sub-processors with access to personal data without prior written consent. Sub-processors must be bound by equivalent obligations.</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Data Protection</w:t>
            </w:r>
          </w:p>
        </w:tc>
        <w:tc>
          <w:tcPr>
            <w:tcW w:type="dxa" w:w="6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Where processing personal data, the supplier must comply with UK GDPR, DPA 2018, and execute a written DPA with the organisation (per ISMS-RoPA-001).</w:t>
            </w:r>
          </w:p>
        </w:tc>
      </w:tr>
      <w:tr>
        <w:tc>
          <w:tcPr>
            <w:tcW w:type="dxa" w:w="3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Right to Audit</w:t>
            </w:r>
          </w:p>
        </w:tc>
        <w:tc>
          <w:tcPr>
            <w:tcW w:type="dxa" w:w="6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The organisation reserves the right to audit the supplier's security controls relevant to the services provided, or to require completion of a security questionnaire, on reasonable notice.</w:t>
            </w:r>
          </w:p>
        </w:tc>
      </w:tr>
      <w:tr>
        <w:tc>
          <w:tcPr>
            <w:tcW w:type="dxa" w:w="3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Certification (preferred)</w:t>
            </w:r>
          </w:p>
        </w:tc>
        <w:tc>
          <w:tcPr>
            <w:tcW w:type="dxa" w:w="6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ISO 27001:2022 certification or Cyber Essentials Plus certification is preferred for critical suppliers. SOC 2 Type II reports are an acceptable alternative for cloud service providers.</w:t>
            </w:r>
          </w:p>
        </w:tc>
      </w:tr>
    </w:tbl>
    <w:p>
      <w:pPr>
        <w:spacing w:after="100" w:before="100"/>
      </w:pPr>
    </w:p>
    <w:p>
      <w:pPr>
        <w:pStyle w:val="Heading1"/>
        <w:pBdr>
          <w:bottom w:val="single" w:color="2E75B6" w:sz="8" w:space="4"/>
        </w:pBdr>
        <w:spacing w:after="100" w:before="300"/>
      </w:pPr>
      <w:r>
        <w:rPr>
          <w:rFonts w:ascii="Arial" w:cs="Arial" w:eastAsia="Arial" w:hAnsi="Arial"/>
          <w:b/>
          <w:bCs/>
          <w:color w:val="1F3864"/>
          <w:sz w:val="30"/>
          <w:szCs w:val="30"/>
        </w:rPr>
        <w:t xml:space="preserve">3.  Supplier Risk Assessment Methodology</w:t>
      </w:r>
    </w:p>
    <w:p>
      <w:pPr>
        <w:spacing w:after="80" w:before="80"/>
        <w:jc w:val="left"/>
      </w:pPr>
      <w:r>
        <w:rPr>
          <w:rFonts w:ascii="Arial" w:cs="Arial" w:eastAsia="Arial" w:hAnsi="Arial"/>
          <w:b w:val="false"/>
          <w:bCs w:val="false"/>
          <w:color w:val="000000"/>
          <w:sz w:val="20"/>
          <w:szCs w:val="20"/>
        </w:rPr>
        <w:t xml:space="preserve">All suppliers are risk-assessed before engagement and reviewed annually thereafter (KPI-021: 100% of critical/high suppliers assessed within 12 months). The risk rating determines the depth of due diligence and the contractual security requirements.</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1400"/>
        <w:gridCol w:w="2260"/>
        <w:gridCol w:w="5600"/>
      </w:tblGrid>
      <w:tr>
        <w:trPr>
          <w:tblHeader/>
        </w:trPr>
        <w:tc>
          <w:tcPr>
            <w:tcW w:type="dxa" w:w="14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Tier</w:t>
            </w:r>
          </w:p>
        </w:tc>
        <w:tc>
          <w:tcPr>
            <w:tcW w:type="dxa" w:w="2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Criteria</w:t>
            </w:r>
          </w:p>
        </w:tc>
        <w:tc>
          <w:tcPr>
            <w:tcW w:type="dxa" w:w="5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Due Diligence Required</w:t>
            </w:r>
          </w:p>
        </w:tc>
      </w:tr>
      <w:tr>
        <w:tc>
          <w:tcPr>
            <w:tcW w:type="dxa" w:w="14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Critical</w:t>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Supplier processes client personal data or has privileged access to client environments. Failure would cause significant business or regulatory impact.</w:t>
            </w:r>
          </w:p>
        </w:tc>
        <w:tc>
          <w:tcPr>
            <w:tcW w:type="dxa" w:w="5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Full security questionnaire. ISO 27001 certificate or SOC 2 report review. Written DPA (mandatory). Contractual security schedule. Annual review. Right to audit clause. Incident notification clause. Named contact for security escalation.</w:t>
            </w:r>
          </w:p>
        </w:tc>
      </w:tr>
      <w:tr>
        <w:tc>
          <w:tcPr>
            <w:tcW w:type="dxa" w:w="14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High</w:t>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Supplier processes organisational data or provides security-relevant tooling. Failure would cause material service disruption.</w:t>
            </w:r>
          </w:p>
        </w:tc>
        <w:tc>
          <w:tcPr>
            <w:tcW w:type="dxa" w:w="5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Security questionnaire (abridged). DPA where personal data involved. Contractual security clauses. Annual review. Incident notification clause. Cyber Essentials or equivalent preferred.</w:t>
            </w:r>
          </w:p>
        </w:tc>
      </w:tr>
      <w:tr>
        <w:tc>
          <w:tcPr>
            <w:tcW w:type="dxa" w:w="14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Medium</w:t>
            </w:r>
          </w:p>
        </w:tc>
        <w:tc>
          <w:tcPr>
            <w:tcW w:type="dxa" w:w="2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Supplier provides non-critical tooling or services with limited data access.</w:t>
            </w:r>
          </w:p>
        </w:tc>
        <w:tc>
          <w:tcPr>
            <w:tcW w:type="dxa" w:w="5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Lightweight questionnaire or publicly available security documentation review. Standard contractual terms. Annual review.</w:t>
            </w:r>
          </w:p>
        </w:tc>
      </w:tr>
      <w:tr>
        <w:tc>
          <w:tcPr>
            <w:tcW w:type="dxa" w:w="1400"/>
            <w:tcBorders>
              <w:top w:val="single" w:color="CCCCCC" w:sz="1"/>
              <w:left w:val="single" w:color="CCCCCC" w:sz="1"/>
              <w:bottom w:val="single" w:color="CCCCCC" w:sz="1"/>
              <w:right w:val="single" w:color="CCCCCC" w:sz="1"/>
            </w:tcBorders>
            <w:shd w:fill="70AD47" w:val="clear"/>
            <w:tcMar>
              <w:top w:type="dxa" w:w="80"/>
              <w:left w:type="dxa" w:w="80"/>
              <w:bottom w:type="dxa" w:w="80"/>
              <w:right w:type="dxa" w:w="80"/>
            </w:tcMar>
            <w:vAlign w:val="center"/>
          </w:tcPr>
          <w:p>
            <w:pPr>
              <w:jc w:val="center"/>
            </w:pPr>
            <w:r>
              <w:rPr>
                <w:rFonts w:ascii="Arial" w:cs="Arial" w:eastAsia="Arial" w:hAnsi="Arial"/>
                <w:b/>
                <w:bCs/>
                <w:color w:val="FFFFFF"/>
                <w:sz w:val="16"/>
                <w:szCs w:val="16"/>
              </w:rPr>
              <w:t xml:space="preserve">Low</w:t>
            </w:r>
          </w:p>
        </w:tc>
        <w:tc>
          <w:tcPr>
            <w:tcW w:type="dxa" w:w="226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Supplier provides commodity services with no data access (e.g. utilities, stationery, non-IT services).</w:t>
            </w:r>
          </w:p>
        </w:tc>
        <w:tc>
          <w:tcPr>
            <w:tcW w:type="dxa" w:w="560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Standard commercial due diligence only. No specific security assessment required. Review if scope changes.</w:t>
            </w:r>
          </w:p>
        </w:tc>
      </w:tr>
    </w:tbl>
    <w:p>
      <w:pPr>
        <w:spacing w:after="100" w:before="100"/>
      </w:pPr>
    </w:p>
    <w:p>
      <w:pPr>
        <w:pStyle w:val="Heading1"/>
        <w:pBdr>
          <w:bottom w:val="single" w:color="2E75B6" w:sz="8" w:space="4"/>
        </w:pBdr>
        <w:spacing w:after="100" w:before="300"/>
      </w:pPr>
      <w:r>
        <w:rPr>
          <w:rFonts w:ascii="Arial" w:cs="Arial" w:eastAsia="Arial" w:hAnsi="Arial"/>
          <w:b/>
          <w:bCs/>
          <w:color w:val="1F3864"/>
          <w:sz w:val="30"/>
          <w:szCs w:val="30"/>
        </w:rPr>
        <w:t xml:space="preserve">4.  Supplier Risk Register</w:t>
      </w:r>
    </w:p>
    <w:p>
      <w:pPr>
        <w:spacing w:after="80" w:before="80"/>
        <w:jc w:val="left"/>
      </w:pPr>
      <w:r>
        <w:rPr>
          <w:rFonts w:ascii="Arial" w:cs="Arial" w:eastAsia="Arial" w:hAnsi="Arial"/>
          <w:b w:val="false"/>
          <w:bCs w:val="false"/>
          <w:color w:val="000000"/>
          <w:sz w:val="20"/>
          <w:szCs w:val="20"/>
        </w:rPr>
        <w:t xml:space="preserve">The following register records all assessed suppliers. KPI-021 tracks the percentage of Critical and High suppliers with a current (≤12 months) assessment on file. Update within 30 days of any new supplier engagement or material change to an existing engagement.</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1000"/>
        <w:gridCol w:w="1200"/>
        <w:gridCol w:w="1200"/>
        <w:gridCol w:w="1200"/>
        <w:gridCol w:w="1660"/>
      </w:tblGrid>
      <w:tr>
        <w:trPr>
          <w:tblHeader/>
        </w:trPr>
        <w:tc>
          <w:tcPr>
            <w:tcW w:type="dxa" w:w="8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Supplier ID</w:t>
            </w:r>
          </w:p>
        </w:tc>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Supplier Name</w:t>
            </w:r>
          </w:p>
        </w:tc>
        <w:tc>
          <w:tcPr>
            <w:tcW w:type="dxa" w:w="1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Service</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Risk Tier</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DPA?</w:t>
            </w:r>
          </w:p>
        </w:tc>
        <w:tc>
          <w:tcPr>
            <w:tcW w:type="dxa" w:w="1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Last Assessed</w:t>
            </w:r>
          </w:p>
        </w:tc>
        <w:tc>
          <w:tcPr>
            <w:tcW w:type="dxa" w:w="16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Next Review</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SP-001</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Microsoft Corporation</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3"/>
                <w:szCs w:val="13"/>
              </w:rPr>
              <w:t xml:space="preserve">Cloud infrastructure (Azure, M365, Defender, Sentinel, Intune, Entra ID)</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Critical</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bCs/>
                <w:color w:val="70AD47"/>
                <w:sz w:val="13"/>
                <w:szCs w:val="13"/>
              </w:rPr>
              <w:t xml:space="preserve">Yes — Microsoft DPA</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02 Apr 2026</w:t>
            </w:r>
          </w:p>
        </w:tc>
        <w:tc>
          <w:tcPr>
            <w:tcW w:type="dxa" w:w="1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Apr 2027</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SP-002</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[IR Retainer — TBC]</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3"/>
                <w:szCs w:val="13"/>
              </w:rPr>
              <w:t xml:space="preserve">External incident response</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Critical</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ED7D31"/>
                <w:sz w:val="13"/>
                <w:szCs w:val="13"/>
              </w:rPr>
              <w:t xml:space="preserve">[Pending]</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[Pending]</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On engagement</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SP-003</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[Backup Platform — TBC]</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3"/>
                <w:szCs w:val="13"/>
              </w:rPr>
              <w:t xml:space="preserve">Backup and restore services</w:t>
            </w:r>
          </w:p>
        </w:tc>
        <w:tc>
          <w:tcPr>
            <w:tcW w:type="dxa" w:w="1200"/>
            <w:tcBorders>
              <w:top w:val="single" w:color="CCCCCC" w:sz="1"/>
              <w:left w:val="single" w:color="CCCCCC" w:sz="1"/>
              <w:bottom w:val="single" w:color="CCCCCC" w:sz="1"/>
              <w:right w:val="single" w:color="CCCCCC" w:sz="1"/>
            </w:tcBorders>
            <w:shd w:fill="C00000"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Critical</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ED7D31"/>
                <w:sz w:val="13"/>
                <w:szCs w:val="13"/>
              </w:rPr>
              <w:t xml:space="preserve">[Pending]</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[Pending]</w:t>
            </w:r>
          </w:p>
        </w:tc>
        <w:tc>
          <w:tcPr>
            <w:tcW w:type="dxa" w:w="1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On selection</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SP-004</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[RMM Tool — TBC]</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3"/>
                <w:szCs w:val="13"/>
              </w:rPr>
              <w:t xml:space="preserve">Remote monitoring and management</w:t>
            </w:r>
          </w:p>
        </w:tc>
        <w:tc>
          <w:tcPr>
            <w:tcW w:type="dxa" w:w="12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High</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ED7D31"/>
                <w:sz w:val="13"/>
                <w:szCs w:val="13"/>
              </w:rPr>
              <w:t xml:space="preserve">[Pending]</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[Pending]</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On selection</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SP-005</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[Awareness Platform — TBC]</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3"/>
                <w:szCs w:val="13"/>
              </w:rPr>
              <w:t xml:space="preserve">Security awareness training</w:t>
            </w:r>
          </w:p>
        </w:tc>
        <w:tc>
          <w:tcPr>
            <w:tcW w:type="dxa" w:w="1200"/>
            <w:tcBorders>
              <w:top w:val="single" w:color="CCCCCC" w:sz="1"/>
              <w:left w:val="single" w:color="CCCCCC" w:sz="1"/>
              <w:bottom w:val="single" w:color="CCCCCC" w:sz="1"/>
              <w:right w:val="single" w:color="CCCCCC" w:sz="1"/>
            </w:tcBorders>
            <w:shd w:fill="ED7D31"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High</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ED7D31"/>
                <w:sz w:val="13"/>
                <w:szCs w:val="13"/>
              </w:rPr>
              <w:t xml:space="preserve">[Pending]</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[Pending]</w:t>
            </w:r>
          </w:p>
        </w:tc>
        <w:tc>
          <w:tcPr>
            <w:tcW w:type="dxa" w:w="1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On selection</w:t>
            </w:r>
          </w:p>
        </w:tc>
      </w:tr>
      <w:tr>
        <w:tc>
          <w:tcPr>
            <w:tcW w:type="dxa" w:w="8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SP-006</w:t>
            </w:r>
          </w:p>
        </w:tc>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[Accountant / Bookkeeper]</w:t>
            </w:r>
          </w:p>
        </w:tc>
        <w:tc>
          <w:tcPr>
            <w:tcW w:type="dxa" w:w="1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595959"/>
                <w:sz w:val="13"/>
                <w:szCs w:val="13"/>
              </w:rPr>
              <w:t xml:space="preserve">Payroll and financial records</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Medium</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center"/>
            </w:pPr>
            <w:r>
              <w:rPr>
                <w:rFonts w:ascii="Arial" w:cs="Arial" w:eastAsia="Arial" w:hAnsi="Arial"/>
                <w:b w:val="false"/>
                <w:bCs w:val="false"/>
                <w:color w:val="ED7D31"/>
                <w:sz w:val="13"/>
                <w:szCs w:val="13"/>
              </w:rPr>
              <w:t xml:space="preserve">Review needed</w:t>
            </w:r>
          </w:p>
        </w:tc>
        <w:tc>
          <w:tcPr>
            <w:tcW w:type="dxa" w:w="1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[Date]</w:t>
            </w:r>
          </w:p>
        </w:tc>
        <w:tc>
          <w:tcPr>
            <w:tcW w:type="dxa" w:w="16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r>
      <w:tr>
        <w:tc>
          <w:tcPr>
            <w:tcW w:type="dxa" w:w="8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2E75B6"/>
                <w:sz w:val="14"/>
                <w:szCs w:val="14"/>
              </w:rPr>
              <w:t xml:space="preserve">SP-007</w:t>
            </w:r>
          </w:p>
        </w:tc>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4"/>
                <w:szCs w:val="14"/>
              </w:rPr>
              <w:t xml:space="preserve">[Legal Counsel]</w:t>
            </w:r>
          </w:p>
        </w:tc>
        <w:tc>
          <w:tcPr>
            <w:tcW w:type="dxa" w:w="1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595959"/>
                <w:sz w:val="13"/>
                <w:szCs w:val="13"/>
              </w:rPr>
              <w:t xml:space="preserve">Legal services</w:t>
            </w:r>
          </w:p>
        </w:tc>
        <w:tc>
          <w:tcPr>
            <w:tcW w:type="dxa" w:w="1200"/>
            <w:tcBorders>
              <w:top w:val="single" w:color="CCCCCC" w:sz="1"/>
              <w:left w:val="single" w:color="CCCCCC" w:sz="1"/>
              <w:bottom w:val="single" w:color="CCCCCC" w:sz="1"/>
              <w:right w:val="single" w:color="CCCCCC" w:sz="1"/>
            </w:tcBorders>
            <w:shd w:fill="2E75B6" w:val="clear"/>
            <w:tcMar>
              <w:top w:type="dxa" w:w="80"/>
              <w:left w:type="dxa" w:w="80"/>
              <w:bottom w:type="dxa" w:w="80"/>
              <w:right w:type="dxa" w:w="80"/>
            </w:tcMar>
            <w:vAlign w:val="center"/>
          </w:tcPr>
          <w:p>
            <w:pPr>
              <w:jc w:val="center"/>
            </w:pPr>
            <w:r>
              <w:rPr>
                <w:rFonts w:ascii="Arial" w:cs="Arial" w:eastAsia="Arial" w:hAnsi="Arial"/>
                <w:b/>
                <w:bCs/>
                <w:color w:val="FFFFFF"/>
                <w:sz w:val="13"/>
                <w:szCs w:val="13"/>
              </w:rPr>
              <w:t xml:space="preserve">Medium</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center"/>
            </w:pPr>
            <w:r>
              <w:rPr>
                <w:rFonts w:ascii="Arial" w:cs="Arial" w:eastAsia="Arial" w:hAnsi="Arial"/>
                <w:b w:val="false"/>
                <w:bCs w:val="false"/>
                <w:color w:val="ED7D31"/>
                <w:sz w:val="13"/>
                <w:szCs w:val="13"/>
              </w:rPr>
              <w:t xml:space="preserve">NDA in place</w:t>
            </w:r>
          </w:p>
        </w:tc>
        <w:tc>
          <w:tcPr>
            <w:tcW w:type="dxa" w:w="1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[Date]</w:t>
            </w:r>
          </w:p>
        </w:tc>
        <w:tc>
          <w:tcPr>
            <w:tcW w:type="dxa" w:w="16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3"/>
                <w:szCs w:val="13"/>
              </w:rPr>
              <w:t xml:space="preserve">Annual</w:t>
            </w:r>
          </w:p>
        </w:tc>
      </w:tr>
    </w:tbl>
    <w:p>
      <w:pPr>
        <w:spacing w:after="60" w:before="60"/>
      </w:pPr>
    </w:p>
    <w:p>
      <w:pPr>
        <w:spacing w:after="80" w:before="80"/>
        <w:jc w:val="left"/>
      </w:pPr>
      <w:r>
        <w:rPr>
          <w:rFonts w:ascii="Arial" w:cs="Arial" w:eastAsia="Arial" w:hAnsi="Arial"/>
          <w:b w:val="false"/>
          <w:bCs w:val="false"/>
          <w:color w:val="595959"/>
          <w:sz w:val="17"/>
          <w:szCs w:val="17"/>
        </w:rPr>
        <w:t xml:space="preserve">Supplier IDs SP-001 to SP-007 align with sub-processor references in ISMS-RoPA-001 §4. Complete supplier name, service, DPA status, and assessment date as each supplier is confirmed and onboarded.</w:t>
      </w:r>
    </w:p>
    <w:p>
      <w:pPr>
        <w:spacing w:after="100" w:before="100"/>
      </w:pPr>
    </w:p>
    <w:p>
      <w:pPr>
        <w:pStyle w:val="Heading1"/>
        <w:pBdr>
          <w:bottom w:val="single" w:color="2E75B6" w:sz="8" w:space="4"/>
        </w:pBdr>
        <w:spacing w:after="100" w:before="300"/>
      </w:pPr>
      <w:r>
        <w:rPr>
          <w:rFonts w:ascii="Arial" w:cs="Arial" w:eastAsia="Arial" w:hAnsi="Arial"/>
          <w:b/>
          <w:bCs/>
          <w:color w:val="1F3864"/>
          <w:sz w:val="30"/>
          <w:szCs w:val="30"/>
        </w:rPr>
        <w:t xml:space="preserve">5.  Contractual Security Schedule</w:t>
      </w:r>
    </w:p>
    <w:p>
      <w:pPr>
        <w:spacing w:after="80" w:before="80"/>
        <w:jc w:val="left"/>
      </w:pPr>
      <w:r>
        <w:rPr>
          <w:rFonts w:ascii="Arial" w:cs="Arial" w:eastAsia="Arial" w:hAnsi="Arial"/>
          <w:b w:val="false"/>
          <w:bCs w:val="false"/>
          <w:color w:val="000000"/>
          <w:sz w:val="20"/>
          <w:szCs w:val="20"/>
        </w:rPr>
        <w:t xml:space="preserve">All Critical and High suppliers must execute a Contractual Security Schedule alongside the main commercial agreement. The schedule must include the following clauses as a minimum:</w:t>
      </w:r>
    </w:p>
    <w:p>
      <w:pPr>
        <w:spacing w:after="40" w:before="40"/>
      </w:pPr>
    </w:p>
    <w:p>
      <w:pPr>
        <w:pStyle w:val="ListParagraph"/>
        <w:numPr>
          <w:ilvl w:val="0"/>
          <w:numId w:val="2"/>
        </w:numPr>
        <w:spacing w:after="40" w:before="40"/>
      </w:pPr>
      <w:r>
        <w:rPr>
          <w:rFonts w:ascii="Arial" w:cs="Arial" w:eastAsia="Arial" w:hAnsi="Arial"/>
          <w:sz w:val="20"/>
          <w:szCs w:val="20"/>
        </w:rPr>
        <w:t xml:space="preserve">Compliance with applicable data protection law (UK GDPR, DPA 2018) where personal data is processed.</w:t>
      </w:r>
    </w:p>
    <w:p>
      <w:pPr>
        <w:pStyle w:val="ListParagraph"/>
        <w:numPr>
          <w:ilvl w:val="0"/>
          <w:numId w:val="2"/>
        </w:numPr>
        <w:spacing w:after="40" w:before="40"/>
      </w:pPr>
      <w:r>
        <w:rPr>
          <w:rFonts w:ascii="Arial" w:cs="Arial" w:eastAsia="Arial" w:hAnsi="Arial"/>
          <w:sz w:val="20"/>
          <w:szCs w:val="20"/>
        </w:rPr>
        <w:t xml:space="preserve">Right of the organisation to audit the supplier's security controls relevant to the services provided, with reasonable notice.</w:t>
      </w:r>
    </w:p>
    <w:p>
      <w:pPr>
        <w:pStyle w:val="ListParagraph"/>
        <w:numPr>
          <w:ilvl w:val="0"/>
          <w:numId w:val="2"/>
        </w:numPr>
        <w:spacing w:after="40" w:before="40"/>
      </w:pPr>
      <w:r>
        <w:rPr>
          <w:rFonts w:ascii="Arial" w:cs="Arial" w:eastAsia="Arial" w:hAnsi="Arial"/>
          <w:sz w:val="20"/>
          <w:szCs w:val="20"/>
        </w:rPr>
        <w:t xml:space="preserve">Obligation to notify the organisation of any security incident affecting organisational or client data within 72 hours of the supplier becoming aware.</w:t>
      </w:r>
    </w:p>
    <w:p>
      <w:pPr>
        <w:pStyle w:val="ListParagraph"/>
        <w:numPr>
          <w:ilvl w:val="0"/>
          <w:numId w:val="2"/>
        </w:numPr>
        <w:spacing w:after="40" w:before="40"/>
      </w:pPr>
      <w:r>
        <w:rPr>
          <w:rFonts w:ascii="Arial" w:cs="Arial" w:eastAsia="Arial" w:hAnsi="Arial"/>
          <w:sz w:val="20"/>
          <w:szCs w:val="20"/>
        </w:rPr>
        <w:t xml:space="preserve">Prohibition on sub-contracting any element of the services involving personal data without prior written consent.</w:t>
      </w:r>
    </w:p>
    <w:p>
      <w:pPr>
        <w:pStyle w:val="ListParagraph"/>
        <w:numPr>
          <w:ilvl w:val="0"/>
          <w:numId w:val="2"/>
        </w:numPr>
        <w:spacing w:after="40" w:before="40"/>
      </w:pPr>
      <w:r>
        <w:rPr>
          <w:rFonts w:ascii="Arial" w:cs="Arial" w:eastAsia="Arial" w:hAnsi="Arial"/>
          <w:sz w:val="20"/>
          <w:szCs w:val="20"/>
        </w:rPr>
        <w:t xml:space="preserve">Obligation to apply the minimum security baseline (Section 2.1) throughout the engagement.</w:t>
      </w:r>
    </w:p>
    <w:p>
      <w:pPr>
        <w:pStyle w:val="ListParagraph"/>
        <w:numPr>
          <w:ilvl w:val="0"/>
          <w:numId w:val="2"/>
        </w:numPr>
        <w:spacing w:after="40" w:before="40"/>
      </w:pPr>
      <w:r>
        <w:rPr>
          <w:rFonts w:ascii="Arial" w:cs="Arial" w:eastAsia="Arial" w:hAnsi="Arial"/>
          <w:sz w:val="20"/>
          <w:szCs w:val="20"/>
        </w:rPr>
        <w:t xml:space="preserve">Obligation to cooperate with incident response and forensic investigation where the supplier's systems are involved.</w:t>
      </w:r>
    </w:p>
    <w:p>
      <w:pPr>
        <w:pStyle w:val="ListParagraph"/>
        <w:numPr>
          <w:ilvl w:val="0"/>
          <w:numId w:val="2"/>
        </w:numPr>
        <w:spacing w:after="40" w:before="40"/>
      </w:pPr>
      <w:r>
        <w:rPr>
          <w:rFonts w:ascii="Arial" w:cs="Arial" w:eastAsia="Arial" w:hAnsi="Arial"/>
          <w:sz w:val="20"/>
          <w:szCs w:val="20"/>
        </w:rPr>
        <w:t xml:space="preserve">Liability provisions for security failures. Insurance requirements (cyber liability insurance recommended for Critical suppliers).</w:t>
      </w:r>
    </w:p>
    <w:p>
      <w:pPr>
        <w:pStyle w:val="ListParagraph"/>
        <w:numPr>
          <w:ilvl w:val="0"/>
          <w:numId w:val="2"/>
        </w:numPr>
        <w:spacing w:after="40" w:before="40"/>
      </w:pPr>
      <w:r>
        <w:rPr>
          <w:rFonts w:ascii="Arial" w:cs="Arial" w:eastAsia="Arial" w:hAnsi="Arial"/>
          <w:sz w:val="20"/>
          <w:szCs w:val="20"/>
        </w:rPr>
        <w:t xml:space="preserve">Clear termination and data return/destruction provisions — all organisational and client data must be returned or securely deleted within 30 days of termination.</w:t>
      </w:r>
    </w:p>
    <w:p>
      <w:pPr>
        <w:spacing w:after="100" w:before="100"/>
      </w:pPr>
    </w:p>
    <w:p>
      <w:pPr>
        <w:pStyle w:val="Heading1"/>
        <w:pBdr>
          <w:bottom w:val="single" w:color="2E75B6" w:sz="8" w:space="4"/>
        </w:pBdr>
        <w:spacing w:after="100" w:before="300"/>
      </w:pPr>
      <w:r>
        <w:rPr>
          <w:rFonts w:ascii="Arial" w:cs="Arial" w:eastAsia="Arial" w:hAnsi="Arial"/>
          <w:b/>
          <w:bCs/>
          <w:color w:val="1F3864"/>
          <w:sz w:val="30"/>
          <w:szCs w:val="30"/>
        </w:rPr>
        <w:t xml:space="preserve">6.  Supplier Performance Monitoring (A.5.22)</w:t>
      </w:r>
    </w:p>
    <w:p>
      <w:pPr>
        <w:spacing w:after="80" w:before="80"/>
        <w:jc w:val="left"/>
      </w:pPr>
      <w:r>
        <w:rPr>
          <w:rFonts w:ascii="Arial" w:cs="Arial" w:eastAsia="Arial" w:hAnsi="Arial"/>
          <w:b w:val="false"/>
          <w:bCs w:val="false"/>
          <w:color w:val="000000"/>
          <w:sz w:val="20"/>
          <w:szCs w:val="20"/>
        </w:rPr>
        <w:t xml:space="preserve">Critical and High suppliers are monitored on an ongoing basis to ensure their security posture remains adequate:</w:t>
      </w:r>
    </w:p>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200"/>
        <w:gridCol w:w="3460"/>
        <w:gridCol w:w="3600"/>
      </w:tblGrid>
      <w:tr>
        <w:trPr>
          <w:tblHeader/>
        </w:trPr>
        <w:tc>
          <w:tcPr>
            <w:tcW w:type="dxa" w:w="22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Activity</w:t>
            </w:r>
          </w:p>
        </w:tc>
        <w:tc>
          <w:tcPr>
            <w:tcW w:type="dxa" w:w="34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Frequency</w:t>
            </w:r>
          </w:p>
        </w:tc>
        <w:tc>
          <w:tcPr>
            <w:tcW w:type="dxa" w:w="36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Method</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Annual security questionnaire</w:t>
            </w:r>
          </w:p>
        </w:tc>
        <w:tc>
          <w:tcPr>
            <w:tcW w:type="dxa" w:w="3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Annually — ≤12 months (KPI-021)</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sends structured questionnaire. Reviews responses for changes in security posture. Updates risk tier if needed.</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Certificate validity check</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Annually</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verifies ISO 27001 / Cyber Essentials / SOC 2 certification is current and in-scope. Downloads certificate. Files in supplier records.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Incident review</w:t>
            </w:r>
          </w:p>
        </w:tc>
        <w:tc>
          <w:tcPr>
            <w:tcW w:type="dxa" w:w="3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Per event</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Any supplier security incident is reviewed by ISM to assess impact on organisation. Incident recorded in ISMS-IRP-001 incident log.</w:t>
            </w:r>
          </w:p>
        </w:tc>
      </w:tr>
      <w:tr>
        <w:tc>
          <w:tcPr>
            <w:tcW w:type="dxa" w:w="22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Contract renewal review</w:t>
            </w:r>
          </w:p>
        </w:tc>
        <w:tc>
          <w:tcPr>
            <w:tcW w:type="dxa" w:w="34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On renewal</w:t>
            </w:r>
          </w:p>
        </w:tc>
        <w:tc>
          <w:tcPr>
            <w:tcW w:type="dxa" w:w="36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ISM reviews contractual security schedule on each contract renewal — update to reflect current requirements.</w:t>
            </w:r>
          </w:p>
        </w:tc>
      </w:tr>
      <w:tr>
        <w:tc>
          <w:tcPr>
            <w:tcW w:type="dxa" w:w="22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Microsoft-specific CSPM review</w:t>
            </w:r>
          </w:p>
        </w:tc>
        <w:tc>
          <w:tcPr>
            <w:tcW w:type="dxa" w:w="34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Monthly</w:t>
            </w:r>
          </w:p>
        </w:tc>
        <w:tc>
          <w:tcPr>
            <w:tcW w:type="dxa" w:w="36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HoT reviews Defender for Cloud recommendations related to Microsoft services. Tracks Secure Score (KPI-008). Any Microsoft security advisory assessed for impact.</w:t>
            </w:r>
          </w:p>
        </w:tc>
      </w:tr>
    </w:tbl>
    <w:p>
      <w:pPr>
        <w:spacing w:after="60" w:before="60"/>
      </w:pP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2000"/>
        <w:gridCol w:w="3260"/>
        <w:gridCol w:w="4000"/>
      </w:tblGrid>
      <w:tr>
        <w:trPr>
          <w:tblHeader/>
        </w:trPr>
        <w:tc>
          <w:tcPr>
            <w:tcW w:type="dxa" w:w="2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Document</w:t>
            </w:r>
          </w:p>
        </w:tc>
        <w:tc>
          <w:tcPr>
            <w:tcW w:type="dxa" w:w="326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Title</w:t>
            </w:r>
          </w:p>
        </w:tc>
        <w:tc>
          <w:tcPr>
            <w:tcW w:type="dxa" w:w="4000"/>
            <w:gridSpan w:val="1"/>
            <w:tcBorders>
              <w:top w:val="single" w:color="CCCCCC" w:sz="1"/>
              <w:left w:val="single" w:color="CCCCCC" w:sz="1"/>
              <w:bottom w:val="single" w:color="CCCCCC" w:sz="1"/>
              <w:right w:val="single" w:color="CCCCCC" w:sz="1"/>
            </w:tcBorders>
            <w:shd w:fill="1F3864" w:val="clear"/>
            <w:tcMar>
              <w:top w:type="dxa" w:w="80"/>
              <w:left w:type="dxa" w:w="120"/>
              <w:bottom w:type="dxa" w:w="80"/>
              <w:right w:type="dxa" w:w="120"/>
            </w:tcMar>
            <w:vAlign w:val="center"/>
          </w:tcPr>
          <w:p>
            <w:pPr>
              <w:jc w:val="left"/>
            </w:pPr>
            <w:r>
              <w:rPr>
                <w:rFonts w:ascii="Arial" w:cs="Arial" w:eastAsia="Arial" w:hAnsi="Arial"/>
                <w:b/>
                <w:bCs/>
                <w:color w:val="FFFFFF"/>
                <w:sz w:val="18"/>
                <w:szCs w:val="18"/>
              </w:rPr>
              <w:t xml:space="preserve">Relationship</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ISMS-RoPA-001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Record of Processing Activities</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Sub-processors requiring DPAs align with supplier records here. DPA status must be consistent between both documents.</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ISMS-PLN-001</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Risk Register</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ISK-003 (supply chain attack) and ISK-012 (supplier failure) are treated by this policy.</w:t>
            </w:r>
          </w:p>
        </w:tc>
      </w:tr>
      <w:tr>
        <w:tc>
          <w:tcPr>
            <w:tcW w:type="dxa" w:w="2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ISMS-PEV-001</w:t>
            </w:r>
          </w:p>
        </w:tc>
        <w:tc>
          <w:tcPr>
            <w:tcW w:type="dxa" w:w="326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Performance Evaluation</w:t>
            </w:r>
          </w:p>
        </w:tc>
        <w:tc>
          <w:tcPr>
            <w:tcW w:type="dxa" w:w="4000"/>
            <w:gridSpan w:val="1"/>
            <w:tcBorders>
              <w:top w:val="single" w:color="CCCCCC" w:sz="1"/>
              <w:left w:val="single" w:color="CCCCCC" w:sz="1"/>
              <w:bottom w:val="single" w:color="CCCCCC" w:sz="1"/>
              <w:right w:val="single" w:color="CCCCCC" w:sz="1"/>
            </w:tcBorders>
            <w:shd w:fill="F2F2F2"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KPI-021 (supplier assessment coverage) tracked monthly.</w:t>
            </w:r>
          </w:p>
        </w:tc>
      </w:tr>
      <w:tr>
        <w:tc>
          <w:tcPr>
            <w:tcW w:type="dxa" w:w="2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bCs/>
                <w:color w:val="000000"/>
                <w:sz w:val="17"/>
                <w:szCs w:val="17"/>
              </w:rPr>
              <w:t xml:space="preserve">ISMS-IRP-001</w:t>
            </w:r>
          </w:p>
        </w:tc>
        <w:tc>
          <w:tcPr>
            <w:tcW w:type="dxa" w:w="326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7"/>
                <w:szCs w:val="17"/>
              </w:rPr>
              <w:t xml:space="preserve">Incident Response Plan</w:t>
            </w:r>
          </w:p>
        </w:tc>
        <w:tc>
          <w:tcPr>
            <w:tcW w:type="dxa" w:w="4000"/>
            <w:gridSpan w:val="1"/>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center"/>
          </w:tcPr>
          <w:p>
            <w:pPr>
              <w:jc w:val="left"/>
            </w:pPr>
            <w:r>
              <w:rPr>
                <w:rFonts w:ascii="Arial" w:cs="Arial" w:eastAsia="Arial" w:hAnsi="Arial"/>
                <w:b w:val="false"/>
                <w:bCs w:val="false"/>
                <w:color w:val="000000"/>
                <w:sz w:val="16"/>
                <w:szCs w:val="16"/>
              </w:rPr>
              <w:t xml:space="preserve">Supplier security incidents are logged in the IRP incident log and may trigger playbooks.</w:t>
            </w:r>
          </w:p>
        </w:tc>
      </w:tr>
    </w:tbl>
    <w:p>
      <w:pPr>
        <w:spacing w:after="60" w:before="120"/>
      </w:pPr>
    </w:p>
    <w:p>
      <w:pPr>
        <w:spacing w:after="0" w:before="60"/>
        <w:jc w:val="center"/>
      </w:pPr>
      <w:r>
        <w:rPr>
          <w:rFonts w:ascii="Arial" w:cs="Arial" w:eastAsia="Arial" w:hAnsi="Arial"/>
          <w:color w:val="AAAAAA"/>
          <w:sz w:val="14"/>
          <w:szCs w:val="14"/>
        </w:rPr>
        <w:t xml:space="preserve">END OF DOCUMENT — ISMS-SUP-001 v1.0</w:t>
      </w:r>
    </w:p>
    <w:sectPr>
      <w:headerReference w:type="default" r:id="rId7"/>
      <w:footerReference w:type="default" r:id="rId8"/>
      <w:pgSz w:w="11906" w:h="16838" w:orient="portrait"/>
      <w:pgMar w:top="1260" w:right="1134" w:bottom="126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4"/>
      </w:pBdr>
      <w:tabs>
        <w:tab w:val="center" w:pos="4680"/>
        <w:tab w:val="right" w:pos="9026"/>
      </w:tabs>
      <w:spacing w:before="100"/>
    </w:pPr>
    <w:r>
      <w:rPr>
        <w:rFonts w:ascii="Arial" w:cs="Arial" w:eastAsia="Arial" w:hAnsi="Arial"/>
        <w:b/>
        <w:bCs/>
        <w:color w:val="2E75B6"/>
        <w:sz w:val="15"/>
        <w:szCs w:val="15"/>
      </w:rPr>
      <w:t xml:space="preserve">INTERNAL</w:t>
    </w:r>
    <w:r>
      <w:rPr>
        <w:rFonts w:ascii="Arial" w:cs="Arial" w:eastAsia="Arial" w:hAnsi="Arial"/>
        <w:color w:val="888888"/>
        <w:sz w:val="15"/>
        <w:szCs w:val="15"/>
      </w:rPr>
      <w:t xml:space="preserve">	Page </w:t>
    </w:r>
    <w:fldSimple w:instr="PAGE">
      <w:r>
        <w:rPr>
          <w:rFonts w:ascii="Arial" w:cs="Arial" w:eastAsia="Arial" w:hAnsi="Arial"/>
          <w:color w:val="888888"/>
          <w:sz w:val="15"/>
          <w:szCs w:val="15"/>
        </w:rPr>
      </w:r>
    </w:fldSimple>
    <w:r>
      <w:rPr>
        <w:rFonts w:ascii="Arial" w:cs="Arial" w:eastAsia="Arial" w:hAnsi="Arial"/>
        <w:color w:val="888888"/>
        <w:sz w:val="15"/>
        <w:szCs w:val="15"/>
      </w:rPr>
      <w:t xml:space="preserve">	02 April 2026</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4"/>
      </w:pBdr>
      <w:tabs>
        <w:tab w:val="right" w:pos="9026"/>
      </w:tabs>
      <w:spacing w:after="100"/>
    </w:pPr>
    <w:r>
      <w:rPr>
        <w:rFonts w:ascii="Arial" w:cs="Arial" w:eastAsia="Arial" w:hAnsi="Arial"/>
        <w:b/>
        <w:bCs/>
        <w:color w:val="1F3864"/>
        <w:sz w:val="17"/>
        <w:szCs w:val="17"/>
      </w:rPr>
      <w:t xml:space="preserve">Apex Managed Services Ltd — Supplier Security Policy &amp; Risk Register</w:t>
    </w:r>
    <w:r>
      <w:rPr>
        <w:rFonts w:ascii="Arial" w:cs="Arial" w:eastAsia="Arial" w:hAnsi="Arial"/>
        <w:color w:val="888888"/>
        <w:sz w:val="15"/>
        <w:szCs w:val="15"/>
      </w:rPr>
      <w:t xml:space="preserve">	ISMS-SUP-001 v1.0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00" w:before="300"/>
      <w:outlineLvl w:val="0"/>
    </w:pPr>
    <w:rPr>
      <w:rFonts w:ascii="Arial" w:cs="Arial" w:eastAsia="Arial" w:hAnsi="Arial"/>
      <w:b/>
      <w:bCs/>
      <w:color w:val="1F3864"/>
      <w:sz w:val="30"/>
      <w:szCs w:val="30"/>
    </w:rPr>
  </w:style>
  <w:style w:type="paragraph" w:styleId="Heading2">
    <w:name w:val="Heading 2"/>
    <w:basedOn w:val="Normal"/>
    <w:next w:val="Normal"/>
    <w:qFormat/>
    <w:pPr>
      <w:spacing w:after="80" w:before="200"/>
      <w:outlineLvl w:val="1"/>
    </w:pPr>
    <w:rPr>
      <w:rFonts w:ascii="Arial" w:cs="Arial" w:eastAsia="Arial" w:hAnsi="Arial"/>
      <w:b/>
      <w:bCs/>
      <w:color w:val="2E75B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2026-04-03T11:22:00.983Z</dcterms:created>
  <dcterms:modified xsi:type="dcterms:W3CDTF">2026-04-03T11:22:00.983Z</dcterms:modified>
</cp:coreProperties>
</file>

<file path=docProps/custom.xml><?xml version="1.0" encoding="utf-8"?>
<Properties xmlns="http://schemas.openxmlformats.org/officeDocument/2006/custom-properties" xmlns:vt="http://schemas.openxmlformats.org/officeDocument/2006/docPropsVTypes"/>
</file>