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pBdr>
          <w:bottom w:val="single" w:color="2E75B6" w:sz="18" w:space="4"/>
        </w:pBdr>
        <w:spacing w:after="200" w:before="0"/>
        <w:jc w:val="center"/>
      </w:pPr>
      <w:r>
        <w:rPr>
          <w:rFonts w:ascii="Arial" w:cs="Arial" w:eastAsia="Arial" w:hAnsi="Arial"/>
          <w:b/>
          <w:bCs/>
          <w:color w:val="1F3864"/>
          <w:sz w:val="48"/>
          <w:szCs w:val="48"/>
        </w:rPr>
        <w:t xml:space="preserve">Apex Managed Services Ltd</w:t>
      </w:r>
    </w:p>
    <w:p>
      <w:pPr>
        <w:spacing w:after="100" w:before="200"/>
        <w:jc w:val="center"/>
      </w:pPr>
      <w:r>
        <w:rPr>
          <w:rFonts w:ascii="Arial" w:cs="Arial" w:eastAsia="Arial" w:hAnsi="Arial"/>
          <w:color w:val="404040"/>
          <w:sz w:val="28"/>
          <w:szCs w:val="28"/>
        </w:rPr>
        <w:t xml:space="preserve">Information Security Management System</w:t>
      </w:r>
    </w:p>
    <w:p>
      <w:pPr>
        <w:spacing w:after="400" w:before="0"/>
        <w:jc w:val="center"/>
      </w:pPr>
      <w:r>
        <w:rPr>
          <w:rFonts w:ascii="Arial" w:cs="Arial" w:eastAsia="Arial" w:hAnsi="Arial"/>
          <w:b/>
          <w:bCs/>
          <w:color w:val="2E75B6"/>
          <w:sz w:val="38"/>
          <w:szCs w:val="38"/>
        </w:rPr>
        <w:t xml:space="preserve">Vulnerability Management Procedure</w:t>
      </w:r>
    </w:p>
    <w:p>
      <w:pPr>
        <w:spacing w:after="60" w:before="0"/>
        <w:jc w:val="center"/>
      </w:pPr>
      <w:r>
        <w:rPr>
          <w:rFonts w:ascii="Arial" w:cs="Arial" w:eastAsia="Arial" w:hAnsi="Arial"/>
          <w:color w:val="404040"/>
          <w:sz w:val="19"/>
          <w:szCs w:val="19"/>
        </w:rPr>
        <w:t xml:space="preserve">ISO/IEC 27001:2022 — A.8.8, A.8.19 — OBJ-005</w:t>
      </w:r>
    </w:p>
    <w:p>
      <w:pPr>
        <w:spacing w:after="400" w:before="0"/>
        <w:jc w:val="center"/>
      </w:pPr>
      <w:r>
        <w:rPr>
          <w:rFonts w:ascii="Arial" w:cs="Arial" w:eastAsia="Arial" w:hAnsi="Arial"/>
          <w:color w:val="888888"/>
          <w:sz w:val="18"/>
          <w:szCs w:val="18"/>
        </w:rPr>
        <w:t xml:space="preserve">ISMS-VUL-001  |  Version 1.0  |  02 April 2026  |  INTERNAL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19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ISMS-VUL-001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Vulnerability Management Procedure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Head of Technology</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A.8.8, A.8.19</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7260"/>
            <w:gridSpan w:val="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 — Signature: ____________________  Date: ____________________</w:t>
            </w:r>
          </w:p>
        </w:tc>
      </w:tr>
    </w:tbl>
    <w:p>
      <w:r>
        <w:br w:type="page"/>
      </w:r>
    </w:p>
    <w:p>
      <w:pPr>
        <w:pStyle w:val="Heading1"/>
        <w:pBdr>
          <w:bottom w:val="single" w:color="2E75B6" w:sz="8" w:space="4"/>
        </w:pBdr>
        <w:spacing w:after="100" w:before="320"/>
      </w:pPr>
      <w:r>
        <w:rPr>
          <w:rFonts w:ascii="Arial" w:cs="Arial" w:eastAsia="Arial" w:hAnsi="Arial"/>
          <w:b/>
          <w:bCs/>
          <w:color w:val="1F3864"/>
          <w:sz w:val="32"/>
          <w:szCs w:val="32"/>
        </w:rPr>
        <w:t xml:space="preserve">1.  Purpose and Scope</w:t>
      </w:r>
    </w:p>
    <w:p>
      <w:pPr>
        <w:spacing w:after="80" w:before="80"/>
        <w:jc w:val="left"/>
      </w:pPr>
      <w:r>
        <w:rPr>
          <w:rFonts w:ascii="Arial" w:cs="Arial" w:eastAsia="Arial" w:hAnsi="Arial"/>
          <w:b w:val="false"/>
          <w:bCs w:val="false"/>
          <w:color w:val="000000"/>
          <w:sz w:val="20"/>
          <w:szCs w:val="20"/>
        </w:rPr>
        <w:t xml:space="preserve">This document defines the Vulnerability Management Procedure for Apex Managed Services Ltd. It establishes how technical vulnerabilities in information systems are identified, assessed, prioritised, remediated, and reported to ensure that the attack surface is minimised in line with the organisation's risk appetite.</w:t>
      </w:r>
    </w:p>
    <w:p>
      <w:pPr>
        <w:spacing w:after="60" w:before="60"/>
      </w:pPr>
    </w:p>
    <w:p>
      <w:pPr>
        <w:spacing w:after="80" w:before="80"/>
        <w:jc w:val="left"/>
      </w:pPr>
      <w:r>
        <w:rPr>
          <w:rFonts w:ascii="Arial" w:cs="Arial" w:eastAsia="Arial" w:hAnsi="Arial"/>
          <w:b w:val="false"/>
          <w:bCs w:val="false"/>
          <w:color w:val="000000"/>
          <w:sz w:val="20"/>
          <w:szCs w:val="20"/>
        </w:rPr>
        <w:t xml:space="preserve">This procedure applies to all technology assets within the ISMS scope (ISMS-SCO-001): endpoint devices managed via Microsoft Intune; cloud resources in Microsoft Azure and Microsoft 365; internet-facing services; and third-party SaaS platforms used in service delivery. It implements OPS-003 (vulnerability management operational process) and feeds KPI-005, KPI-006, KPI-007, and KPI-008.</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2.  Tooling and Scan Infrastructure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 and Scope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Microsoft Defender Vulnerability Management (Defender VM)</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Primary vulnerability scanning platform. Continuously assesses all Intune-enrolled endpoints for CVEs, missing patches, software inventory, and security configuration weaknesses. No scheduled scan required — agent-based continuous assessment.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Microsoft Defender for Cloud (CSPM tier)</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Cloud Security Posture Management for Azure subscriptions and M365 tenant. Assesses resource configurations against CIS benchmarks and Azure Security Benchmark. Contributes to Microsoft Secure Score (KPI-008).</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Microsoft Secure Score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Composite posture score aggregating Defender VM findings, Defender for Cloud recommendations, and Entra ID identity security signals. Tracked monthly as KPI-008. Target: ≥75.</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Intune Compliance Policies</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Enforces minimum OS version and security baseline compliance on enrolled endpoints. Non-compliant devices are blocked from accessing M365 resources via Conditional Access (CA-004). Feeds endpoint scan coverage metric (KPI-007).</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 Vulnerability Assessment (ad hoc)</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Annual or triggered external scan of internet-facing assets and attack surface. Conducted by HoT using approved tooling or engaged external penetration testing resource. Results fed into risk register and remediation tracker.</w:t>
            </w:r>
          </w:p>
        </w:tc>
      </w:tr>
    </w:tbl>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3.  Vulnerability Severity Ratings and Remediation SLAs</w:t>
      </w:r>
    </w:p>
    <w:p>
      <w:pPr>
        <w:spacing w:after="80" w:before="80"/>
        <w:jc w:val="left"/>
      </w:pPr>
      <w:r>
        <w:rPr>
          <w:rFonts w:ascii="Arial" w:cs="Arial" w:eastAsia="Arial" w:hAnsi="Arial"/>
          <w:b w:val="false"/>
          <w:bCs w:val="false"/>
          <w:color w:val="000000"/>
          <w:sz w:val="20"/>
          <w:szCs w:val="20"/>
        </w:rPr>
        <w:t xml:space="preserve">Severity ratings follow the Common Vulnerability Scoring System (CVSS v3.1) as the primary reference, supplemented by exploitability context (CISA KEV catalogue, active exploitation evidence, organisational exposure). The following SLAs apply from the date a vulnerability is identified in Defender VM:</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600"/>
        <w:gridCol w:w="386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CVSS Range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Remediation SLA</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w:t>
            </w:r>
          </w:p>
        </w:tc>
        <w:tc>
          <w:tcPr>
            <w:tcW w:type="dxa" w:w="3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Remediation Approach</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Critical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9.0–10.0</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 24 hours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16"/>
                <w:szCs w:val="16"/>
              </w:rPr>
              <w:t xml:space="preserve">KPI-005 ≥98%</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Emergency patch deployment via Intune. Isolate affected devices if patch unavailable within 4 hours. ISM and MD notified immediately. No exceptions without MD approval.</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High</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7.0–8.9</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 7 days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D7D31"/>
                <w:sz w:val="16"/>
                <w:szCs w:val="16"/>
              </w:rPr>
              <w:t xml:space="preserve">KPI-006 ≥95%</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Patch deployed via Intune in next scheduled deployment cycle. Expedited if actively exploited (CISA KEV). ISM notified. Exception requires ISM approval and risk acceptance.</w:t>
            </w:r>
          </w:p>
        </w:tc>
      </w:tr>
      <w:tr>
        <w:tc>
          <w:tcPr>
            <w:tcW w:type="dxa" w:w="1400"/>
            <w:tcBorders>
              <w:top w:val="single" w:color="CCCCCC" w:sz="1"/>
              <w:left w:val="single" w:color="CCCCCC" w:sz="1"/>
              <w:bottom w:val="single" w:color="CCCCCC" w:sz="1"/>
              <w:right w:val="single" w:color="CCCCCC" w:sz="1"/>
            </w:tcBorders>
            <w:shd w:fill="BF8F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Medium</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4.0–6.9</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 30 days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 reporting</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Addressed in next monthly patch cycle. Prioritised within the 30-day window based on exploitability and exposure. Tracked in vulnerability tracker.</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Low</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0.1–3.9</w:t>
            </w:r>
          </w:p>
        </w:tc>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 90 days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 reporting</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Addressed in quarterly patch cycle. May be deferred if remediation risk exceeds vulnerability risk — requires ISM documentation.</w:t>
            </w:r>
          </w:p>
        </w:tc>
      </w:tr>
      <w:tr>
        <w:tc>
          <w:tcPr>
            <w:tcW w:type="dxa" w:w="14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Informational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0.0</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Best effort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N/A</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Logged. No remediation SLA. Reviewed at quarterly posture review.</w:t>
            </w:r>
          </w:p>
        </w:tc>
      </w:tr>
    </w:tbl>
    <w:p>
      <w:pPr>
        <w:spacing w:after="60" w:before="60"/>
      </w:pPr>
    </w:p>
    <w:p>
      <w:pPr>
        <w:spacing w:after="80" w:before="80"/>
        <w:jc w:val="left"/>
      </w:pPr>
      <w:r>
        <w:rPr>
          <w:rFonts w:ascii="Arial" w:cs="Arial" w:eastAsia="Arial" w:hAnsi="Arial"/>
          <w:b/>
          <w:bCs/>
          <w:color w:val="C00000"/>
          <w:sz w:val="17"/>
          <w:szCs w:val="17"/>
        </w:rPr>
        <w:t xml:space="preserve">Actively exploited vulnerabilities (appearing in the CISA KEV catalogue or with confirmed in-the-wild exploitation evidence) are treated as one severity level higher than their CVSS score indicates, regardless of base score. The HoT checks the KEV catalogue weekly.</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4.  Vulnerability Management Workflow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200"/>
        <w:gridCol w:w="3860"/>
        <w:gridCol w:w="2200"/>
      </w:tblGrid>
      <w:tr>
        <w:trPr>
          <w:tblHeader/>
        </w:trPr>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3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 / Evidence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Continuous Detection</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HoT</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Defender VM agent continuously assesses all enrolled endpoints. Defender for Cloud continuously assesses Azure resources. New vulnerabilities surface in the Defender VM and Defender for Cloud dashboards as CVEs are published and signatures updated. No manual trigger required for endpoint scanning.</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Defender VM findings dashboard; Defender for Cloud recommendations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Weekly Review</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HoT</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HoT reviews the Defender VM dashboard every Monday morning. Triage all new Critical and High findings: confirm severity, check KEV status, assess exploitation likelihood, identify affected assets. Update the weekly vulnerability tracker (OPS-003 evidence).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Weekly vulnerability tracker entry; Defender VM export</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Prioritisation</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HoT / ISM</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Apply the SLA framework (Section 3). Critical vulnerabilities: immediate action initiated same day. High: scheduled for remediation within 7 days. Medium and Low: added to patch cycle queue.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Vulnerability tracker — priority and SLA target date assigned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Remediation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HoT</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Deploy patches via Intune for endpoint vulnerabilities. For Azure/cloud vulnerabilities: apply Defender for Cloud recommendation, update configuration, or apply compensating control. For third-party SaaS vulnerabilities: notify vendor and track their remediation timeline. Document all remediation actions with timestamp.</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Intune deployment records; Azure activity log; vendor correspondence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Verification</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HoT</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Confirm remediation is effective: Defender VM should no longer flag the vulnerability on the affected asset. For critical vulnerabilities, confirm within 24 hours of patch deployment. Run a targeted rescan where tooling allows.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Defender VM — vulnerability status cleared; rescan confirmation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SLA Tracking and Reporting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HoT / ISM</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Monthly: ISM exports SLA compliance metrics from Defender VM (Critical SLA met = KPI-005; High SLA met = KPI-006; scan coverage = KPI-007; Secure Score = KPI-008). Enter into ISMS-MR-002 KPI data entry sheet. Report in management summary for quarterly KPI review.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ISMS-MR-002 KPI data entry; Defender VM monthly SLA report</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Exception Handling</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(approval)</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Where a vulnerability cannot be remediated within SLA (e.g. vendor patch unavailable, business-critical system cannot be rebooted), complete an exception form (Section 6). Risk-accept with compensating controls. Document and track to closure.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Exception register (Section 6); compensating control documentation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Annual External Scan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HoT</w:t>
            </w:r>
          </w:p>
        </w:tc>
        <w:tc>
          <w:tcPr>
            <w:tcW w:type="dxa" w:w="3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Conduct an annual external vulnerability assessment of all internet-facing assets and attack surfaces. Use approved tooling or engage external resource. Compare findings against internal Defender VM results. Feed new findings into the remediation workflow.</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External scan report; remediation tracker</w:t>
            </w:r>
          </w:p>
        </w:tc>
      </w:tr>
    </w:tbl>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5.  Patch Deployment via Microsoft Intune</w:t>
      </w:r>
    </w:p>
    <w:p>
      <w:pPr>
        <w:spacing w:after="80" w:before="80"/>
        <w:jc w:val="left"/>
      </w:pPr>
      <w:r>
        <w:rPr>
          <w:rFonts w:ascii="Arial" w:cs="Arial" w:eastAsia="Arial" w:hAnsi="Arial"/>
          <w:b w:val="false"/>
          <w:bCs w:val="false"/>
          <w:color w:val="000000"/>
          <w:sz w:val="20"/>
          <w:szCs w:val="20"/>
        </w:rPr>
        <w:t xml:space="preserve">Patches and software updates are deployed to enrolled endpoints via Intune. The following deployment cadence applies: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260"/>
        <w:gridCol w:w="5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Update Type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Deployment Cadence</w:t>
            </w:r>
          </w:p>
        </w:tc>
        <w:tc>
          <w:tcPr>
            <w:tcW w:type="dxa" w:w="5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Critical OS Security Updates</w:t>
            </w:r>
          </w:p>
        </w:tc>
        <w:tc>
          <w:tcPr>
            <w:tcW w:type="dxa" w:w="22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Expedited — within 24h</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Intune Update Ring configured to deploy critical security updates within 24 hours of Microsoft release. Devices reboot as required. HoT confirms deployment in Intune monitoring. Exceptions require ISM approval.</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High-Severity Security Updates</w:t>
            </w:r>
          </w:p>
        </w:tc>
        <w:tc>
          <w:tcPr>
            <w:tcW w:type="dxa" w:w="2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Within 7 days</w:t>
            </w:r>
          </w:p>
        </w:tc>
        <w:tc>
          <w:tcPr>
            <w:tcW w:type="dxa" w:w="5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Intune Update Ring: 7-day deployment deadline for high-severity updates. Quality update deferral: 0 days. HoT reviews deployment success rate weekly — chase non-compliant devices.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Monthly Patch Tuesday Updates</w:t>
            </w:r>
          </w:p>
        </w:tc>
        <w:tc>
          <w:tcPr>
            <w:tcW w:type="dxa" w:w="2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Within 14 days</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Standard monthly Windows Update cycle. Feature update deferral: 365 days. Quality update deferral: 0 days. HoT reviews compliance in Intune after 14 days and follows up on non-compliant devices.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Third-Party Application Updates</w:t>
            </w:r>
          </w:p>
        </w:tc>
        <w:tc>
          <w:tcPr>
            <w:tcW w:type="dxa" w:w="226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Per SLA based on severity</w:t>
            </w:r>
          </w:p>
        </w:tc>
        <w:tc>
          <w:tcPr>
            <w:tcW w:type="dxa" w:w="5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Applications deployed via Intune Win32 apps or M365 Apps for Enterprise use automatic update channels. HoT configures update channels. For manually managed apps, HoT checks and deploys updates as part of weekly vulnerability review.</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Firmware / BIOS / Driver Updates</w:t>
            </w:r>
          </w:p>
        </w:tc>
        <w:tc>
          <w:tcPr>
            <w:tcW w:type="dxa" w:w="226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Quarterly or on critical release</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Deployed via Intune BIOS/firmware update capability where supported. HoT reviews available firmware updates quarterly against Defender VM firmware inventory. Critical firmware CVEs treated as Critical vulnerabilities.</w:t>
            </w:r>
          </w:p>
        </w:tc>
      </w:tr>
    </w:tbl>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6.  Exception Management</w:t>
      </w:r>
    </w:p>
    <w:p>
      <w:pPr>
        <w:spacing w:after="80" w:before="80"/>
        <w:jc w:val="left"/>
      </w:pPr>
      <w:r>
        <w:rPr>
          <w:rFonts w:ascii="Arial" w:cs="Arial" w:eastAsia="Arial" w:hAnsi="Arial"/>
          <w:b w:val="false"/>
          <w:bCs w:val="false"/>
          <w:color w:val="000000"/>
          <w:sz w:val="20"/>
          <w:szCs w:val="20"/>
        </w:rPr>
        <w:t xml:space="preserve">Where a vulnerability cannot be remediated within its SLA due to a documented operational constraint (vendor patch unavailable, system cannot be rebooted during a client engagement, third-party dependency), an exception must be raised. Exceptions are not approvals to ignore vulnerabilities — they are risk acceptance decisions with compensating controls and mandatory re-review dates.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rPr>
          <w:tblHeader/>
        </w:trP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Exception Field</w:t>
            </w:r>
          </w:p>
        </w:tc>
        <w:tc>
          <w:tcPr>
            <w:tcW w:type="dxa" w:w="6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 Required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CVE Reference(s)</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CVE ID(s) and Defender VM finding reference(s).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Affected Asset(s)</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Hostname, resource name, or scope of affected systems.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Severity</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[Critical / High / Medium / Low] — state if KEV-listed.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SLA Deadline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Date by which remediation was due.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Reason for Exception</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Specific documented reason: vendor patch unavailable (vendor advisory ref); system reboot risk during client engagement (client approval ref); compensating control applied; or other [specify].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Compensating Controls</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What mitigating controls are in place to reduce the risk while the patch is outstanding? Must be specific (e.g. network isolation, enhanced monitoring rule in Sentinel, application-layer control).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Residual Risk Assessment</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Is the residual risk acceptable given the compensating controls? Who accepts this risk?</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Exception Approved By</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ISM for Medium/Low; ISM + MD for Critical/High. Signature and date required.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Re-Review Date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Maximum 30 days for Critical/High; 90 days for Medium/Low. Exception must be re-assessed at re-review date.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Closure Date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6"/>
                <w:szCs w:val="16"/>
              </w:rPr>
              <w:t xml:space="preserve">Date vulnerability was remediated and exception closed.</w:t>
            </w:r>
          </w:p>
        </w:tc>
      </w:tr>
    </w:tbl>
    <w:p>
      <w:pPr>
        <w:spacing w:after="60" w:before="60"/>
      </w:pPr>
    </w:p>
    <w:p>
      <w:pPr>
        <w:spacing w:after="80" w:before="80"/>
        <w:jc w:val="left"/>
      </w:pPr>
      <w:r>
        <w:rPr>
          <w:rFonts w:ascii="Arial" w:cs="Arial" w:eastAsia="Arial" w:hAnsi="Arial"/>
          <w:b/>
          <w:bCs/>
          <w:color w:val="C00000"/>
          <w:sz w:val="17"/>
          <w:szCs w:val="17"/>
        </w:rPr>
        <w:t xml:space="preserve">A Critical or High vulnerability exception that persists beyond 30 days without re-approval is automatically escalated to MD. Any Critical vulnerability exception requires a CAR in ISMS-CAR-001 to be raised within 5 working days.</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7.  Cloud Security Posture Management (CSPM)</w:t>
      </w:r>
    </w:p>
    <w:p>
      <w:pPr>
        <w:spacing w:after="80" w:before="80"/>
        <w:jc w:val="left"/>
      </w:pPr>
      <w:r>
        <w:rPr>
          <w:rFonts w:ascii="Arial" w:cs="Arial" w:eastAsia="Arial" w:hAnsi="Arial"/>
          <w:b w:val="false"/>
          <w:bCs w:val="false"/>
          <w:color w:val="000000"/>
          <w:sz w:val="20"/>
          <w:szCs w:val="20"/>
        </w:rPr>
        <w:t xml:space="preserve">Microsoft Defender for Cloud provides continuous CSPM assessment of Azure subscriptions and M365 tenant. The following process governs CSPM finding management:</w:t>
      </w:r>
    </w:p>
    <w:p>
      <w:pPr>
        <w:spacing w:after="60" w:before="60"/>
      </w:pPr>
    </w:p>
    <w:p>
      <w:pPr>
        <w:pStyle w:val="ListParagraph"/>
        <w:numPr>
          <w:ilvl w:val="0"/>
          <w:numId w:val="2"/>
        </w:numPr>
        <w:spacing w:after="40" w:before="40"/>
      </w:pPr>
      <w:r>
        <w:rPr>
          <w:rFonts w:ascii="Arial" w:cs="Arial" w:eastAsia="Arial" w:hAnsi="Arial"/>
          <w:sz w:val="20"/>
          <w:szCs w:val="20"/>
        </w:rPr>
        <w:t xml:space="preserve">HoT reviews Defender for Cloud recommendations weekly, filtered by 'High' and 'Critical' severity.</w:t>
      </w:r>
    </w:p>
    <w:p>
      <w:pPr>
        <w:pStyle w:val="ListParagraph"/>
        <w:numPr>
          <w:ilvl w:val="0"/>
          <w:numId w:val="2"/>
        </w:numPr>
        <w:spacing w:after="40" w:before="40"/>
      </w:pPr>
      <w:r>
        <w:rPr>
          <w:rFonts w:ascii="Arial" w:cs="Arial" w:eastAsia="Arial" w:hAnsi="Arial"/>
          <w:sz w:val="20"/>
          <w:szCs w:val="20"/>
        </w:rPr>
        <w:t xml:space="preserve">All Critical CSPM recommendations are treated with the same urgency as Critical vulnerabilities — remediated within 24 hours or exception raised.</w:t>
      </w:r>
    </w:p>
    <w:p>
      <w:pPr>
        <w:pStyle w:val="ListParagraph"/>
        <w:numPr>
          <w:ilvl w:val="0"/>
          <w:numId w:val="2"/>
        </w:numPr>
        <w:spacing w:after="40" w:before="40"/>
      </w:pPr>
      <w:r>
        <w:rPr>
          <w:rFonts w:ascii="Arial" w:cs="Arial" w:eastAsia="Arial" w:hAnsi="Arial"/>
          <w:sz w:val="20"/>
          <w:szCs w:val="20"/>
        </w:rPr>
        <w:t xml:space="preserve">Microsoft Secure Score (KPI-008) is captured as a monthly snapshot on the last working day of each month by HoT, entered into ISMS-MR-002.</w:t>
      </w:r>
    </w:p>
    <w:p>
      <w:pPr>
        <w:pStyle w:val="ListParagraph"/>
        <w:numPr>
          <w:ilvl w:val="0"/>
          <w:numId w:val="2"/>
        </w:numPr>
        <w:spacing w:after="40" w:before="40"/>
      </w:pPr>
      <w:r>
        <w:rPr>
          <w:rFonts w:ascii="Arial" w:cs="Arial" w:eastAsia="Arial" w:hAnsi="Arial"/>
          <w:sz w:val="20"/>
          <w:szCs w:val="20"/>
        </w:rPr>
        <w:t xml:space="preserve">Secure Score declining by more than 5 points month-on-month triggers an immediate review by HoT and ISM to identify the cause. If the decline is due to a new unmitigated High/Critical recommendation, it is treated as a vulnerability SLA breach.</w:t>
      </w:r>
    </w:p>
    <w:p>
      <w:pPr>
        <w:pStyle w:val="ListParagraph"/>
        <w:numPr>
          <w:ilvl w:val="0"/>
          <w:numId w:val="2"/>
        </w:numPr>
        <w:spacing w:after="40" w:before="40"/>
      </w:pPr>
      <w:r>
        <w:rPr>
          <w:rFonts w:ascii="Arial" w:cs="Arial" w:eastAsia="Arial" w:hAnsi="Arial"/>
          <w:sz w:val="20"/>
          <w:szCs w:val="20"/>
        </w:rPr>
        <w:t xml:space="preserve">CIS Benchmark compliance (tracked in Defender for Cloud regulatory compliance) is reviewed quarterly by HoT. Deviations from CIS Level 1 controls are documented with justification.</w:t>
      </w:r>
    </w:p>
    <w:p>
      <w:pPr>
        <w:pStyle w:val="ListParagraph"/>
        <w:numPr>
          <w:ilvl w:val="0"/>
          <w:numId w:val="2"/>
        </w:numPr>
        <w:spacing w:after="40" w:before="40"/>
      </w:pPr>
      <w:r>
        <w:rPr>
          <w:rFonts w:ascii="Arial" w:cs="Arial" w:eastAsia="Arial" w:hAnsi="Arial"/>
          <w:sz w:val="20"/>
          <w:szCs w:val="20"/>
        </w:rPr>
        <w:t xml:space="preserve">Azure Policy is configured to audit and deny non-compliant resource configurations. HoT reviews Policy compliance state monthly.</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8.  KPI Reporting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60"/>
        <w:gridCol w:w="3000"/>
      </w:tblGrid>
      <w:tr>
        <w:trPr>
          <w:tblHeader/>
        </w:trPr>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Source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Reporting</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KPI-005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Critical vuln SLA compliance ≥98%</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Defender VM — filter by Critical severity, sort by SLA breach status. Export monthly.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Enter % met into ISMS-MR-002 by 5th of following month. HoT.</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KPI-006</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High vuln SLA compliance ≥95%</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Defender VM — filter by High severity, SLA compliance report.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Enter % met into ISMS-MR-002 by 5th of following month. HoT.</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KPI-007</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Endpoint scan coverage ≥99%</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Defender VM enrolled devices vs. Intune enrolled devices. Ratio = scan coverage.</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Enter % into ISMS-MR-002 monthly. HoT. Investigate any device not in Defender VM.</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7"/>
                <w:szCs w:val="17"/>
              </w:rPr>
              <w:t xml:space="preserve">KPI-008</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Microsoft Secure Score ≥75</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Microsoft Defender portal — Secure Score dashboard. Last working day of month snapshot.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Enter score into ISMS-MR-002 monthly. HoT. Declining trend triggers investigation.</w:t>
            </w:r>
          </w:p>
        </w:tc>
      </w:tr>
    </w:tbl>
    <w:p>
      <w:pPr>
        <w:spacing w:after="60" w:before="60"/>
      </w:pPr>
    </w:p>
    <w:p>
      <w:pPr>
        <w:spacing w:after="80" w:before="80"/>
        <w:jc w:val="left"/>
      </w:pPr>
      <w:r>
        <w:rPr>
          <w:rFonts w:ascii="Arial" w:cs="Arial" w:eastAsia="Arial" w:hAnsi="Arial"/>
          <w:b w:val="false"/>
          <w:bCs w:val="false"/>
          <w:color w:val="595959"/>
          <w:sz w:val="17"/>
          <w:szCs w:val="17"/>
        </w:rPr>
        <w:t xml:space="preserve">Monthly KPI data is entered by HoT into ISMS-MR-002 by the 5th working day of the following month. ISM reviews at the monthly KPI analysis cycle and raises CARs in ISMS-CAR-001 for any KPI breaching its target for two or more consecutive periods.</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9.  Linkage to Other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ISMS-PLN-001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Risk Register</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ISK-009 (unpatched vulnerability) is the primary risk treated by this procedure. Residual risk score reviewed quarterly.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ISMS-OPS-001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Operation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OPS-003 is the operational process reference for vulnerability management. This procedure operationalises it.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ISMS-AST-001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Asset Register</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Vulnerability management scope is defined by the asset register. Unmanaged assets not in Defender VM must be investigated.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ISMS-ACC-001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Access Control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Privileged access to Defender VM and Intune is governed by ISMS-ACC-001 role profiles.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ISMS-CAR-001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Corrective Action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SLA breaches and Critical exception escalations generate CARs. KPI breaches sustained over 2+ periods generate CARs.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ISMS-MR-002</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KPI Metrics Report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KPI-005, KPI-006, KPI-007, KPI-008 are entered monthly and presented at quarterly KPI review and annual management review.</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ISMS-SoA-001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Statement of Applicability</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A.8.8 (technical vulnerability management) and A.8.19 (software installation controls) — Partially Implemented — this procedure moves them toward Implemented.</w:t>
            </w:r>
          </w:p>
        </w:tc>
      </w:tr>
    </w:tbl>
    <w:p>
      <w:pPr>
        <w:spacing w:after="60" w:before="120"/>
      </w:pPr>
    </w:p>
    <w:p>
      <w:pPr>
        <w:spacing w:after="0" w:before="60"/>
        <w:jc w:val="center"/>
      </w:pPr>
      <w:r>
        <w:rPr>
          <w:rFonts w:ascii="Arial" w:cs="Arial" w:eastAsia="Arial" w:hAnsi="Arial"/>
          <w:color w:val="AAAAAA"/>
          <w:sz w:val="14"/>
          <w:szCs w:val="14"/>
        </w:rPr>
        <w:t xml:space="preserve">END OF DOCUMENT — ISMS-VUL-001 v1.0</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Vulnerability Management Procedure</w:t>
    </w:r>
    <w:r>
      <w:rPr>
        <w:rFonts w:ascii="Arial" w:cs="Arial" w:eastAsia="Arial" w:hAnsi="Arial"/>
        <w:color w:val="888888"/>
        <w:sz w:val="15"/>
        <w:szCs w:val="15"/>
      </w:rPr>
      <w:t xml:space="preserve">	ISMS-VUL-001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2026-04-03T10:40:58.520Z</dcterms:created>
  <dcterms:modified xsi:type="dcterms:W3CDTF">2026-04-03T10:40:58.521Z</dcterms:modified>
</cp:coreProperties>
</file>

<file path=docProps/custom.xml><?xml version="1.0" encoding="utf-8"?>
<Properties xmlns="http://schemas.openxmlformats.org/officeDocument/2006/custom-properties" xmlns:vt="http://schemas.openxmlformats.org/officeDocument/2006/docPropsVTypes"/>
</file>