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360"/>
      </w:pPr>
      <w:r>
        <w:rPr>
          <w:b/>
          <w:color w:val="087F83"/>
          <w:sz w:val="20"/>
        </w:rPr>
        <w:t>ARCHITECTURE  /  MARKETING  /  OPERATIONS</w:t>
      </w:r>
    </w:p>
    <w:p>
      <w:pPr>
        <w:pStyle w:val="Title"/>
        <w:spacing w:after="360" w:line="245" w:lineRule="auto"/>
      </w:pPr>
      <w:r>
        <w:t>WEBSITE</w:t>
        <w:br/>
        <w:t>MASTER</w:t>
        <w:br/>
        <w:t>BLUEPRINT</w:t>
      </w:r>
    </w:p>
    <w:p>
      <w:pPr>
        <w:pStyle w:val="Subtitle"/>
        <w:spacing w:after="520"/>
      </w:pPr>
      <w:r>
        <w:t>The reusable standard for building,</w:t>
        <w:br/>
        <w:t>operating, and improving dynamic websites.</w:t>
      </w:r>
    </w:p>
    <w:p>
      <w:pPr>
        <w:spacing w:after="480"/>
        <w:pBdr>
          <w:bottom w:val="single" w:sz="12" w:color="087F83" w:space="8"/>
        </w:pBdr>
      </w:pPr>
      <w:r>
        <w:t>Owner-controlled CMS and blogs. Marketing automation and trustworthy conversion evidence. Search and advertising readiness. Secure, portable engineering and operations.</w:t>
      </w:r>
    </w:p>
    <w:tbl>
      <w:tblPr>
        <w:tblW w:type="auto" w:w="0"/>
        <w:jc w:val="center"/>
        <w:tblLayout w:type="fixed"/>
        <w:tblLook w:firstColumn="1" w:firstRow="1" w:lastColumn="0" w:lastRow="0" w:noHBand="0" w:noVBand="1" w:val="04A0"/>
      </w:tblPr>
      <w:tblGrid>
        <w:gridCol w:w="3277"/>
        <w:gridCol w:w="3277"/>
        <w:gridCol w:w="3277"/>
      </w:tblGrid>
      <w:tr>
        <w:trPr>
          <w:tblHeader/>
        </w:trPr>
        <w:tc>
          <w:tcPr>
            <w:tcW w:type="dxa" w:w="3277"/>
          </w:tcPr>
          <w:p>
            <w:pPr>
              <w:spacing w:before="160" w:after="140"/>
            </w:pPr>
            <w:r>
              <w:rPr>
                <w:b/>
                <w:color w:val="087F83"/>
                <w:sz w:val="20"/>
              </w:rPr>
              <w:t>BUILD</w:t>
            </w:r>
          </w:p>
          <w:p>
            <w:pPr>
              <w:pStyle w:val="SmallNote"/>
              <w:spacing w:after="200"/>
            </w:pPr>
            <w:r>
              <w:t>Frontend, backend, database, APIs, and deployment.</w:t>
            </w:r>
          </w:p>
        </w:tc>
        <w:tc>
          <w:tcPr>
            <w:tcW w:type="dxa" w:w="3277"/>
          </w:tcPr>
          <w:p>
            <w:pPr>
              <w:spacing w:before="160" w:after="140"/>
            </w:pPr>
            <w:r>
              <w:rPr>
                <w:b/>
                <w:color w:val="087F83"/>
                <w:sz w:val="20"/>
              </w:rPr>
              <w:t>OPERATE</w:t>
            </w:r>
          </w:p>
          <w:p>
            <w:pPr>
              <w:pStyle w:val="SmallNote"/>
              <w:spacing w:after="200"/>
            </w:pPr>
            <w:r>
              <w:t>Content, leads, permissions, privacy, and recovery.</w:t>
            </w:r>
          </w:p>
        </w:tc>
        <w:tc>
          <w:tcPr>
            <w:tcW w:type="dxa" w:w="3277"/>
          </w:tcPr>
          <w:p>
            <w:pPr>
              <w:spacing w:before="160" w:after="140"/>
            </w:pPr>
            <w:r>
              <w:rPr>
                <w:b/>
                <w:color w:val="087F83"/>
                <w:sz w:val="20"/>
              </w:rPr>
              <w:t>IMPROVE</w:t>
            </w:r>
          </w:p>
          <w:p>
            <w:pPr>
              <w:pStyle w:val="SmallNote"/>
              <w:spacing w:after="200"/>
            </w:pPr>
            <w:r>
              <w:t>SEO, paid-media signals, reporting, and experiments.</w:t>
            </w:r>
          </w:p>
        </w:tc>
      </w:tr>
    </w:tbl>
    <w:p>
      <w:pPr>
        <w:spacing w:before="760"/>
      </w:pPr>
      <w:r>
        <w:rPr>
          <w:b/>
          <w:color w:val="163349"/>
          <w:sz w:val="24"/>
        </w:rPr>
        <w:t>VERSION 1.3  |  7 OCTOBER 2026</w:t>
      </w:r>
    </w:p>
    <w:p>
      <w:pPr>
        <w:pStyle w:val="SmallNote"/>
      </w:pPr>
      <w:r>
        <w:t>Final consolidated edition • Implementation blueprint • Acceptance standard</w:t>
      </w:r>
    </w:p>
    <w:p>
      <w:pPr>
        <w:pStyle w:val="SmallNote"/>
        <w:spacing w:before="200"/>
      </w:pPr>
      <w:r>
        <w:t>Use with a completed site brief. Rankings, complete tracking, and zero maintenance are not guaranteed.</w:t>
      </w:r>
    </w:p>
    <w:p>
      <w:pPr>
        <w:pStyle w:val="Heading1"/>
      </w:pPr>
      <w:bookmarkStart w:id="1" w:name="start"/>
      <w:r>
        <w:t>Read this first</w:t>
      </w:r>
      <w:bookmarkEnd w:id="1"/>
    </w:p>
    <w:p>
      <w:r>
        <w:t>A complete website is a working operating system for the business—not just a collection of attractive pages. This blueprint makes content editing, customer journeys, conversion evidence, data protection, and recovery part of the same delivery contract.</w:t>
      </w:r>
    </w:p>
    <w:p>
      <w:pPr>
        <w:pStyle w:val="Heading2"/>
      </w:pPr>
      <w:r>
        <w:t>The default build</w:t>
      </w:r>
    </w:p>
    <w:p>
      <w:r>
        <w:t>React/Next.js + TypeScript + semantic HTML/Tailwind/CSS → NestJS modular backend → PostgreSQL + object storage → durable worker/outbox → consent-aware measurement and provider adapters.</w:t>
      </w:r>
    </w:p>
    <w:p>
      <w:pPr>
        <w:pStyle w:val="Callout"/>
      </w:pPr>
      <w:r>
        <w:t>Redis, Python, GraphQL, SOAP, Kubernetes, replay, AI, commerce, and booking are activated only when justified. Native and Docker operation remain documented alternatives.</w:t>
      </w:r>
    </w:p>
    <w:p>
      <w:pPr>
        <w:pStyle w:val="Heading2"/>
      </w:pPr>
      <w:r>
        <w:t>How to apply the standard</w:t>
      </w:r>
    </w:p>
    <w:p>
      <w:r>
        <w:rPr>
          <w:b/>
        </w:rPr>
        <w:t xml:space="preserve">Decide the business scope. </w:t>
      </w:r>
      <w:r>
        <w:t>Complete Chapter 02 and Appendix A; select the primary outcome, audience, modules, ownership, budgets, and legal review.</w:t>
      </w:r>
    </w:p>
    <w:p>
      <w:r>
        <w:rPr>
          <w:b/>
        </w:rPr>
        <w:t xml:space="preserve">Build the owner experience. </w:t>
      </w:r>
      <w:r>
        <w:t>Use Chapters 04–10 to implement approved layouts, CMS workflows, blogs, media, forms, accessibility, and SEO.</w:t>
      </w:r>
    </w:p>
    <w:p>
      <w:r>
        <w:rPr>
          <w:b/>
        </w:rPr>
        <w:t xml:space="preserve">Instrument real outcomes. </w:t>
      </w:r>
      <w:r>
        <w:t>Use Chapters 12–20 to connect the journey from acquisition to accepted lead, qualification, and verified sale without collecting unnecessary private data.</w:t>
      </w:r>
    </w:p>
    <w:p>
      <w:r>
        <w:rPr>
          <w:b/>
        </w:rPr>
        <w:t xml:space="preserve">Engineer and prove reliability. </w:t>
      </w:r>
      <w:r>
        <w:t>Use Chapters 21–30 for backend, database, APIs, security, deployment, monitoring, tests, and recovery.</w:t>
      </w:r>
    </w:p>
    <w:p>
      <w:r>
        <w:t>Transfer and maintain. Use Chapters 31–33 and 65 for costs, handover and maintenance. Chapters 42–65 and Appendices H–L supply the comprehensive expansion; Chapters 66–78 and Appendices M–P complete the final consolidation and release contract.</w:t>
      </w:r>
    </w:p>
    <w:p>
      <w:pPr>
        <w:pStyle w:val="Heading2"/>
      </w:pPr>
      <w:r>
        <w:t>Non-negotiable release rule</w:t>
      </w:r>
    </w:p>
    <w:p>
      <w:r>
        <w:t>Do not launch with lost or falsely acknowledged leads, unauthorized access, prohibited tracking, leaking secrets, broken primary journeys, or untested recovery. Mark gaps honestly and attach evidence to every critical acceptance requirement.</w:t>
      </w:r>
    </w:p>
    <w:p>
      <w:pPr>
        <w:pStyle w:val="Heading2"/>
      </w:pPr>
      <w:r>
        <w:t>Using the contents and references</w:t>
      </w:r>
    </w:p>
    <w:p>
      <w:pPr>
        <w:pStyle w:val="SmallNote"/>
      </w:pPr>
      <w:r>
        <w:t>Contents entries and [Rxx] references are clickable. Word fields provide page references; update fields after editing. Source notes distinguish inherited guidance, new official research and account-level checks. Provider rules and legal applicability must be rechecked for each launch.</w:t>
      </w:r>
    </w:p>
    <w:p>
      <w:pPr>
        <w:pStyle w:val="Heading1"/>
        <w:keepNext/>
      </w:pPr>
      <w:r>
        <w:t>Version 1.3 | Final consolidated edition</w:t>
      </w:r>
      <w:bookmarkStart w:id="549" w:name="final_Version_1_3___Final_consolidate"/>
      <w:bookmarkEnd w:id="549"/>
    </w:p>
    <w:p>
      <w:pPr>
        <w:pStyle w:val="Subtitle"/>
      </w:pPr>
      <w:r>
        <w:t>Merged reference • 7 October 2026</w:t>
      </w:r>
    </w:p>
    <w:p>
      <w:r>
        <w:t>This edition consolidates the three supplied versions, preserves their substantive requirements and completes the final operating, measurement and acceptance expansion. It is one implementation reference—not three duplicated documents or a claim that a website has already been built.</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3096"/>
        <w:gridCol w:w="6735"/>
      </w:tblGrid>
      <w:tr>
        <w:trPr>
          <w:cantSplit/>
          <w:tblHeader/>
        </w:trPr>
        <w:tc>
          <w:tcPr>
            <w:tcW w:type="dxa" w:w="3096"/>
            <w:shd w:fill="163349"/>
          </w:tcPr>
          <w:p>
            <w:pPr>
              <w:pStyle w:val="TableText"/>
              <w:keepNext/>
            </w:pPr>
            <w:r>
              <w:rPr>
                <w:rFonts w:ascii="Lato" w:hAnsi="Lato"/>
                <w:b/>
                <w:color w:val="FFFFFF"/>
                <w:sz w:val="18"/>
              </w:rPr>
              <w:t>Final expansion</w:t>
            </w:r>
          </w:p>
        </w:tc>
        <w:tc>
          <w:tcPr>
            <w:tcW w:type="dxa" w:w="6735"/>
            <w:shd w:fill="163349"/>
          </w:tcPr>
          <w:p>
            <w:pPr>
              <w:pStyle w:val="TableText"/>
              <w:keepNext/>
            </w:pPr>
            <w:r>
              <w:rPr>
                <w:rFonts w:ascii="Lato" w:hAnsi="Lato"/>
                <w:b/>
                <w:color w:val="FFFFFF"/>
                <w:sz w:val="18"/>
              </w:rPr>
              <w:t>Where to use it</w:t>
            </w:r>
          </w:p>
        </w:tc>
      </w:tr>
      <w:tr>
        <w:trPr>
          <w:cantSplit/>
        </w:trPr>
        <w:tc>
          <w:tcPr>
            <w:tcW w:type="dxa" w:w="3096"/>
            <w:shd w:fill="F2F7FA"/>
          </w:tcPr>
          <w:p>
            <w:pPr>
              <w:pStyle w:val="TableText"/>
              <w:keepNext w:val="0"/>
            </w:pPr>
            <w:r>
              <w:rPr>
                <w:rFonts w:ascii="Lato" w:hAnsi="Lato"/>
                <w:b/>
                <w:color w:val="163349"/>
                <w:sz w:val="18"/>
              </w:rPr>
              <w:t>Current search and AI discovery</w:t>
            </w:r>
          </w:p>
        </w:tc>
        <w:tc>
          <w:tcPr>
            <w:tcW w:type="dxa" w:w="6735"/>
            <w:shd w:fill="F2F7FA"/>
          </w:tcPr>
          <w:p>
            <w:pPr>
              <w:pStyle w:val="TableText"/>
              <w:keepNext w:val="0"/>
            </w:pPr>
            <w:r>
              <w:rPr>
                <w:rFonts w:ascii="Lato" w:hAnsi="Lato"/>
                <w:sz w:val="18"/>
              </w:rPr>
              <w:t>66: eligibility, reporting, regional/preferred sources, AI-media provenance and agent boundaries.</w:t>
            </w:r>
          </w:p>
        </w:tc>
      </w:tr>
      <w:tr>
        <w:trPr>
          <w:cantSplit/>
        </w:trPr>
        <w:tc>
          <w:tcPr>
            <w:tcW w:type="dxa" w:w="3096"/>
            <w:shd w:fill="FFFFFF"/>
          </w:tcPr>
          <w:p>
            <w:pPr>
              <w:pStyle w:val="TableText"/>
              <w:keepNext w:val="0"/>
            </w:pPr>
            <w:r>
              <w:rPr>
                <w:rFonts w:ascii="Lato" w:hAnsi="Lato"/>
                <w:b/>
                <w:color w:val="163349"/>
                <w:sz w:val="18"/>
              </w:rPr>
              <w:t>Google and Meta operating playbooks</w:t>
            </w:r>
          </w:p>
        </w:tc>
        <w:tc>
          <w:tcPr>
            <w:tcW w:type="dxa" w:w="6735"/>
            <w:shd w:fill="FFFFFF"/>
          </w:tcPr>
          <w:p>
            <w:pPr>
              <w:pStyle w:val="TableText"/>
              <w:keepNext w:val="0"/>
            </w:pPr>
            <w:r>
              <w:rPr>
                <w:rFonts w:ascii="Lato" w:hAnsi="Lato"/>
                <w:sz w:val="18"/>
              </w:rPr>
              <w:t>67–68: visibility/economics, effective goals, creative, targeting, lead quality and controlled changes.</w:t>
            </w:r>
          </w:p>
        </w:tc>
      </w:tr>
      <w:tr>
        <w:trPr>
          <w:cantSplit/>
        </w:trPr>
        <w:tc>
          <w:tcPr>
            <w:tcW w:type="dxa" w:w="3096"/>
            <w:shd w:fill="F2F7FA"/>
          </w:tcPr>
          <w:p>
            <w:pPr>
              <w:pStyle w:val="TableText"/>
              <w:keepNext w:val="0"/>
            </w:pPr>
            <w:r>
              <w:rPr>
                <w:rFonts w:ascii="Lato" w:hAnsi="Lato"/>
                <w:b/>
                <w:color w:val="163349"/>
                <w:sz w:val="18"/>
              </w:rPr>
              <w:t>Conversion and browser correctness</w:t>
            </w:r>
          </w:p>
        </w:tc>
        <w:tc>
          <w:tcPr>
            <w:tcW w:type="dxa" w:w="6735"/>
            <w:shd w:fill="F2F7FA"/>
          </w:tcPr>
          <w:p>
            <w:pPr>
              <w:pStyle w:val="TableText"/>
              <w:keepNext w:val="0"/>
            </w:pPr>
            <w:r>
              <w:rPr>
                <w:rFonts w:ascii="Lato" w:hAnsi="Lato"/>
                <w:sz w:val="18"/>
              </w:rPr>
              <w:t>69, 72: ingestion contracts, final SDK payload policy, restoration, prerender, visibility and consent.</w:t>
            </w:r>
          </w:p>
        </w:tc>
      </w:tr>
      <w:tr>
        <w:trPr>
          <w:cantSplit/>
        </w:trPr>
        <w:tc>
          <w:tcPr>
            <w:tcW w:type="dxa" w:w="3096"/>
            <w:shd w:fill="FFFFFF"/>
          </w:tcPr>
          <w:p>
            <w:pPr>
              <w:pStyle w:val="TableText"/>
              <w:keepNext w:val="0"/>
            </w:pPr>
            <w:r>
              <w:rPr>
                <w:rFonts w:ascii="Lato" w:hAnsi="Lato"/>
                <w:b/>
                <w:color w:val="163349"/>
                <w:sz w:val="18"/>
              </w:rPr>
              <w:t>SEO, marketing and owner completeness</w:t>
            </w:r>
          </w:p>
        </w:tc>
        <w:tc>
          <w:tcPr>
            <w:tcW w:type="dxa" w:w="6735"/>
            <w:shd w:fill="FFFFFF"/>
          </w:tcPr>
          <w:p>
            <w:pPr>
              <w:pStyle w:val="TableText"/>
              <w:keepNext w:val="0"/>
            </w:pPr>
            <w:r>
              <w:rPr>
                <w:rFonts w:ascii="Lato" w:hAnsi="Lato"/>
                <w:sz w:val="18"/>
              </w:rPr>
              <w:t>70–73: edge routes, search incidents, distribution/lifecycle, CMS and accessibility tasks.</w:t>
            </w:r>
          </w:p>
        </w:tc>
      </w:tr>
      <w:tr>
        <w:trPr>
          <w:cantSplit/>
        </w:trPr>
        <w:tc>
          <w:tcPr>
            <w:tcW w:type="dxa" w:w="3096"/>
            <w:shd w:fill="F2F7FA"/>
          </w:tcPr>
          <w:p>
            <w:pPr>
              <w:pStyle w:val="TableText"/>
              <w:keepNext w:val="0"/>
            </w:pPr>
            <w:r>
              <w:rPr>
                <w:rFonts w:ascii="Lato" w:hAnsi="Lato"/>
                <w:b/>
                <w:color w:val="163349"/>
                <w:sz w:val="18"/>
              </w:rPr>
              <w:t>Technical and specialist completion</w:t>
            </w:r>
          </w:p>
        </w:tc>
        <w:tc>
          <w:tcPr>
            <w:tcW w:type="dxa" w:w="6735"/>
            <w:shd w:fill="F2F7FA"/>
          </w:tcPr>
          <w:p>
            <w:pPr>
              <w:pStyle w:val="TableText"/>
              <w:keepNext w:val="0"/>
            </w:pPr>
            <w:r>
              <w:rPr>
                <w:rFonts w:ascii="Lato" w:hAnsi="Lato"/>
                <w:sz w:val="18"/>
              </w:rPr>
              <w:t>74–76: security/recovery drills, conditional transactions, owner screens, APIs and durable records.</w:t>
            </w:r>
          </w:p>
        </w:tc>
      </w:tr>
      <w:tr>
        <w:trPr>
          <w:cantSplit/>
        </w:trPr>
        <w:tc>
          <w:tcPr>
            <w:tcW w:type="dxa" w:w="3096"/>
            <w:shd w:fill="FFFFFF"/>
          </w:tcPr>
          <w:p>
            <w:pPr>
              <w:pStyle w:val="TableText"/>
              <w:keepNext w:val="0"/>
            </w:pPr>
            <w:r>
              <w:rPr>
                <w:rFonts w:ascii="Lato" w:hAnsi="Lato"/>
                <w:b/>
                <w:color w:val="163349"/>
                <w:sz w:val="18"/>
              </w:rPr>
              <w:t>Launch, evidence and consolidation</w:t>
            </w:r>
          </w:p>
        </w:tc>
        <w:tc>
          <w:tcPr>
            <w:tcW w:type="dxa" w:w="6735"/>
            <w:shd w:fill="FFFFFF"/>
          </w:tcPr>
          <w:p>
            <w:pPr>
              <w:pStyle w:val="TableText"/>
              <w:keepNext w:val="0"/>
            </w:pPr>
            <w:r>
              <w:rPr>
                <w:rFonts w:ascii="Lato" w:hAnsi="Lato"/>
                <w:sz w:val="18"/>
              </w:rPr>
              <w:t>77–78, M–P: paid-traffic gates, source comparison, 104 new scenarios and final sign-off.</w:t>
            </w:r>
          </w:p>
        </w:tc>
      </w:tr>
    </w:tbl>
    <w:p>
      <w:pPr>
        <w:spacing w:after="40"/>
      </w:pPr>
      <w:r/>
    </w:p>
    <w:p>
      <w:pPr>
        <w:pStyle w:val="SmallNote"/>
      </w:pPr>
      <w:r>
        <w:t>78 chapters • 16 appendices • 120 capability entries • 104 final acceptance scenarios in addition to the inherited packs • 128 source references and verification links.</w:t>
      </w:r>
    </w:p>
    <w:p>
      <w:r>
        <w:t>Preserved requirements: manual-only blog/source/trash deletion; attributable protected audit; consent-aware UTM and visitor journeys; explicit browser-location tasks; task-limited chatbot context; stable A/B assignment and honest business conversions. No automatic annual purge is enabled.</w:t>
      </w:r>
    </w:p>
    <w:p>
      <w:pPr>
        <w:pStyle w:val="Heading1"/>
        <w:keepNext/>
      </w:pPr>
      <w:r>
        <w:t>Reader guide | Build, operate and verify</w:t>
      </w:r>
      <w:bookmarkStart w:id="550" w:name="final_Reader_guide___Build__operate_a"/>
      <w:bookmarkEnd w:id="550"/>
    </w:p>
    <w:p>
      <w:r>
        <w:t>Use the same standard for each new website, with a completed site-specific brief. The comprehensive platform delivers its declared foundation and growth capabilities; individual sites activate only approved providers and relevant business modules.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3096"/>
        <w:gridCol w:w="6735"/>
      </w:tblGrid>
      <w:tr>
        <w:trPr>
          <w:cantSplit/>
          <w:tblHeader/>
        </w:trPr>
        <w:tc>
          <w:tcPr>
            <w:tcW w:type="dxa" w:w="3096"/>
            <w:shd w:fill="163349"/>
          </w:tcPr>
          <w:p>
            <w:pPr>
              <w:pStyle w:val="TableText"/>
              <w:keepNext/>
            </w:pPr>
            <w:r>
              <w:rPr>
                <w:rFonts w:ascii="Lato" w:hAnsi="Lato"/>
                <w:b/>
                <w:color w:val="FFFFFF"/>
                <w:sz w:val="18"/>
              </w:rPr>
              <w:t>Reader / decision</w:t>
            </w:r>
          </w:p>
        </w:tc>
        <w:tc>
          <w:tcPr>
            <w:tcW w:type="dxa" w:w="6735"/>
            <w:shd w:fill="163349"/>
          </w:tcPr>
          <w:p>
            <w:pPr>
              <w:pStyle w:val="TableText"/>
              <w:keepNext/>
            </w:pPr>
            <w:r>
              <w:rPr>
                <w:rFonts w:ascii="Lato" w:hAnsi="Lato"/>
                <w:b/>
                <w:color w:val="FFFFFF"/>
                <w:sz w:val="18"/>
              </w:rPr>
              <w:t>Primary reading path</w:t>
            </w:r>
          </w:p>
        </w:tc>
      </w:tr>
      <w:tr>
        <w:trPr>
          <w:cantSplit/>
        </w:trPr>
        <w:tc>
          <w:tcPr>
            <w:tcW w:type="dxa" w:w="3096"/>
            <w:shd w:fill="F2F7FA"/>
          </w:tcPr>
          <w:p>
            <w:pPr>
              <w:pStyle w:val="TableText"/>
              <w:keepNext w:val="0"/>
            </w:pPr>
            <w:r>
              <w:rPr>
                <w:rFonts w:ascii="Lato" w:hAnsi="Lato"/>
                <w:b/>
                <w:color w:val="163349"/>
                <w:sz w:val="18"/>
              </w:rPr>
              <w:t>Business owner and product lead</w:t>
            </w:r>
          </w:p>
        </w:tc>
        <w:tc>
          <w:tcPr>
            <w:tcW w:type="dxa" w:w="6735"/>
            <w:shd w:fill="F2F7FA"/>
          </w:tcPr>
          <w:p>
            <w:pPr>
              <w:pStyle w:val="TableText"/>
              <w:keepNext w:val="0"/>
            </w:pPr>
            <w:r>
              <w:rPr>
                <w:rFonts w:ascii="Lato" w:hAnsi="Lato"/>
                <w:sz w:val="18"/>
              </w:rPr>
              <w:t>02, 07–09, 42–48, 71, 73, 76, 78; Appendices A, H and P.</w:t>
            </w:r>
          </w:p>
        </w:tc>
      </w:tr>
      <w:tr>
        <w:trPr>
          <w:cantSplit/>
        </w:trPr>
        <w:tc>
          <w:tcPr>
            <w:tcW w:type="dxa" w:w="3096"/>
            <w:shd w:fill="FFFFFF"/>
          </w:tcPr>
          <w:p>
            <w:pPr>
              <w:pStyle w:val="TableText"/>
              <w:keepNext w:val="0"/>
            </w:pPr>
            <w:r>
              <w:rPr>
                <w:rFonts w:ascii="Lato" w:hAnsi="Lato"/>
                <w:b/>
                <w:color w:val="163349"/>
                <w:sz w:val="18"/>
              </w:rPr>
              <w:t>SEO and editorial team</w:t>
            </w:r>
          </w:p>
        </w:tc>
        <w:tc>
          <w:tcPr>
            <w:tcW w:type="dxa" w:w="6735"/>
            <w:shd w:fill="FFFFFF"/>
          </w:tcPr>
          <w:p>
            <w:pPr>
              <w:pStyle w:val="TableText"/>
              <w:keepNext w:val="0"/>
            </w:pPr>
            <w:r>
              <w:rPr>
                <w:rFonts w:ascii="Lato" w:hAnsi="Lato"/>
                <w:sz w:val="18"/>
              </w:rPr>
              <w:t>10–11, 49–50, 66, 70–71; route, claims, media and discovery evidence.</w:t>
            </w:r>
          </w:p>
        </w:tc>
      </w:tr>
      <w:tr>
        <w:trPr>
          <w:cantSplit/>
        </w:trPr>
        <w:tc>
          <w:tcPr>
            <w:tcW w:type="dxa" w:w="3096"/>
            <w:shd w:fill="F2F7FA"/>
          </w:tcPr>
          <w:p>
            <w:pPr>
              <w:pStyle w:val="TableText"/>
              <w:keepNext w:val="0"/>
            </w:pPr>
            <w:r>
              <w:rPr>
                <w:rFonts w:ascii="Lato" w:hAnsi="Lato"/>
                <w:b/>
                <w:color w:val="163349"/>
                <w:sz w:val="18"/>
              </w:rPr>
              <w:t>Google Ads and Meta operators</w:t>
            </w:r>
          </w:p>
        </w:tc>
        <w:tc>
          <w:tcPr>
            <w:tcW w:type="dxa" w:w="6735"/>
            <w:shd w:fill="F2F7FA"/>
          </w:tcPr>
          <w:p>
            <w:pPr>
              <w:pStyle w:val="TableText"/>
              <w:keepNext w:val="0"/>
            </w:pPr>
            <w:r>
              <w:rPr>
                <w:rFonts w:ascii="Lato" w:hAnsi="Lato"/>
                <w:sz w:val="18"/>
              </w:rPr>
              <w:t>12–13, 18–19, 34–35, 51–55, 67–69, 77; effective goals and destination gates.</w:t>
            </w:r>
          </w:p>
        </w:tc>
      </w:tr>
      <w:tr>
        <w:trPr>
          <w:cantSplit/>
        </w:trPr>
        <w:tc>
          <w:tcPr>
            <w:tcW w:type="dxa" w:w="3096"/>
            <w:shd w:fill="FFFFFF"/>
          </w:tcPr>
          <w:p>
            <w:pPr>
              <w:pStyle w:val="TableText"/>
              <w:keepNext w:val="0"/>
            </w:pPr>
            <w:r>
              <w:rPr>
                <w:rFonts w:ascii="Lato" w:hAnsi="Lato"/>
                <w:b/>
                <w:color w:val="163349"/>
                <w:sz w:val="18"/>
              </w:rPr>
              <w:t>Frontend/backend/database team</w:t>
            </w:r>
          </w:p>
        </w:tc>
        <w:tc>
          <w:tcPr>
            <w:tcW w:type="dxa" w:w="6735"/>
            <w:shd w:fill="FFFFFF"/>
          </w:tcPr>
          <w:p>
            <w:pPr>
              <w:pStyle w:val="TableText"/>
              <w:keepNext w:val="0"/>
            </w:pPr>
            <w:r>
              <w:rPr>
                <w:rFonts w:ascii="Lato" w:hAnsi="Lato"/>
                <w:sz w:val="18"/>
              </w:rPr>
              <w:t>03–06, 14–16, 20–24, 27–30, 36–40, 58–63, 69–76.</w:t>
            </w:r>
          </w:p>
        </w:tc>
      </w:tr>
      <w:tr>
        <w:trPr>
          <w:cantSplit/>
        </w:trPr>
        <w:tc>
          <w:tcPr>
            <w:tcW w:type="dxa" w:w="3096"/>
            <w:shd w:fill="F2F7FA"/>
          </w:tcPr>
          <w:p>
            <w:pPr>
              <w:pStyle w:val="TableText"/>
              <w:keepNext w:val="0"/>
            </w:pPr>
            <w:r>
              <w:rPr>
                <w:rFonts w:ascii="Lato" w:hAnsi="Lato"/>
                <w:b/>
                <w:color w:val="163349"/>
                <w:sz w:val="18"/>
              </w:rPr>
              <w:t>Privacy, security and operations</w:t>
            </w:r>
          </w:p>
        </w:tc>
        <w:tc>
          <w:tcPr>
            <w:tcW w:type="dxa" w:w="6735"/>
            <w:shd w:fill="F2F7FA"/>
          </w:tcPr>
          <w:p>
            <w:pPr>
              <w:pStyle w:val="TableText"/>
              <w:keepNext w:val="0"/>
            </w:pPr>
            <w:r>
              <w:rPr>
                <w:rFonts w:ascii="Lato" w:hAnsi="Lato"/>
                <w:sz w:val="18"/>
              </w:rPr>
              <w:t>17, 24, 28–29, 38–39, 57–60, 69, 72, 74, 78; source/retention and recovery proof.</w:t>
            </w:r>
          </w:p>
        </w:tc>
      </w:tr>
      <w:tr>
        <w:trPr>
          <w:cantSplit/>
        </w:trPr>
        <w:tc>
          <w:tcPr>
            <w:tcW w:type="dxa" w:w="3096"/>
            <w:shd w:fill="FFFFFF"/>
          </w:tcPr>
          <w:p>
            <w:pPr>
              <w:pStyle w:val="TableText"/>
              <w:keepNext w:val="0"/>
            </w:pPr>
            <w:r>
              <w:rPr>
                <w:rFonts w:ascii="Lato" w:hAnsi="Lato"/>
                <w:b/>
                <w:color w:val="163349"/>
                <w:sz w:val="18"/>
              </w:rPr>
              <w:t>QA and release reviewers</w:t>
            </w:r>
          </w:p>
        </w:tc>
        <w:tc>
          <w:tcPr>
            <w:tcW w:type="dxa" w:w="6735"/>
            <w:shd w:fill="FFFFFF"/>
          </w:tcPr>
          <w:p>
            <w:pPr>
              <w:pStyle w:val="TableText"/>
              <w:keepNext w:val="0"/>
            </w:pPr>
            <w:r>
              <w:rPr>
                <w:rFonts w:ascii="Lato" w:hAnsi="Lato"/>
                <w:sz w:val="18"/>
              </w:rPr>
              <w:t>30, 64, 77–78; Appendices B, G, I, N and P.</w:t>
            </w:r>
          </w:p>
        </w:tc>
      </w:tr>
      <w:tr>
        <w:trPr>
          <w:cantSplit/>
        </w:trPr>
        <w:tc>
          <w:tcPr>
            <w:tcW w:type="dxa" w:w="3096"/>
            <w:shd w:fill="F2F7FA"/>
          </w:tcPr>
          <w:p>
            <w:pPr>
              <w:pStyle w:val="TableText"/>
              <w:keepNext w:val="0"/>
            </w:pPr>
            <w:r>
              <w:rPr>
                <w:rFonts w:ascii="Lato" w:hAnsi="Lato"/>
                <w:b/>
                <w:color w:val="163349"/>
                <w:sz w:val="18"/>
              </w:rPr>
              <w:t>Source comparison and final changes</w:t>
            </w:r>
          </w:p>
        </w:tc>
        <w:tc>
          <w:tcPr>
            <w:tcW w:type="dxa" w:w="6735"/>
            <w:shd w:fill="F2F7FA"/>
          </w:tcPr>
          <w:p>
            <w:pPr>
              <w:pStyle w:val="TableText"/>
              <w:keepNext w:val="0"/>
            </w:pPr>
            <w:r>
              <w:rPr>
                <w:rFonts w:ascii="Lato" w:hAnsi="Lato"/>
                <w:sz w:val="18"/>
              </w:rPr>
              <w:t>Appendix M: supplied-file identities, normalized comparison and deliberate clarifications.</w:t>
            </w:r>
          </w:p>
        </w:tc>
      </w:tr>
    </w:tbl>
    <w:p>
      <w:pPr>
        <w:spacing w:after="40"/>
      </w:pPr>
      <w:r/>
    </w:p>
    <w:p>
      <w:r>
        <w:t>Final does not mean install every industry module or transmit every known visitor field. It means one controlling edition, explicit applicability, working owner journeys, tested contracts and a traceable release decision. Chapter 78 resolves precedence; Appendix P separates documented, implemented, activated and verified states.</w:t>
      </w:r>
    </w:p>
    <w:p>
      <w:pPr>
        <w:pStyle w:val="SmallNote"/>
      </w:pPr>
      <w:r>
        <w:t>Rankings and ad delivery are outcomes of competitive systems. This blueprint provides the implementation and operating controls that the business can own; it does not guarantee first place, profitable spend, worldwide legal compliance or zero maintenance.</w:t>
      </w:r>
    </w:p>
    <w:p>
      <w:pPr>
        <w:pStyle w:val="Heading1"/>
        <w:keepNext/>
      </w:pPr>
      <w:r>
        <w:t>Contents</w:t>
      </w:r>
      <w:bookmarkStart w:id="646" w:name="final_Contents"/>
      <w:bookmarkEnd w:id="646"/>
    </w:p>
    <w:p>
      <w:pPr>
        <w:pStyle w:val="SmallNote"/>
      </w:pPr>
      <w:r>
        <w:t>Select an entry to jump to the section. Page references are Word fields; update fields after editing.</w:t>
      </w:r>
    </w:p>
    <w:p>
      <w:pPr>
        <w:pStyle w:val="ContentsEntry"/>
        <w:keepNext w:val="0"/>
        <w:tabs>
          <w:tab w:pos="9831" w:val="right" w:leader="dot"/>
        </w:tabs>
        <w:spacing w:after="100" w:line="252" w:lineRule="auto"/>
      </w:pPr>
      <w:r/>
      <w:hyperlink w:anchor="tocfinal_ch_01">
        <w:r>
          <w:rPr>
            <w:color w:val="087F83"/>
            <w:rFonts w:ascii="Lato" w:hAnsi="Lato"/>
            <w:sz w:val="19"/>
          </w:rPr>
          <w:t xml:space="preserve">01 | The master standard</w:t>
        </w:r>
      </w:hyperlink>
      <w:r>
        <w:tab/>
      </w:r>
      <w:r>
        <w:fldChar w:fldCharType="begin"/>
      </w:r>
      <w:r>
        <w:instrText xml:space="preserve"> PAGEREF tocfinal_ch_01 \h </w:instrText>
      </w:r>
      <w:r>
        <w:fldChar w:fldCharType="separate"/>
      </w:r>
      <w:r>
        <w:t>9</w:t>
      </w:r>
      <w:r>
        <w:fldChar w:fldCharType="end"/>
      </w:r>
    </w:p>
    <w:p>
      <w:pPr>
        <w:pStyle w:val="ContentsEntry"/>
        <w:keepNext w:val="0"/>
        <w:tabs>
          <w:tab w:pos="9831" w:val="right" w:leader="dot"/>
        </w:tabs>
        <w:spacing w:after="100" w:line="252" w:lineRule="auto"/>
      </w:pPr>
      <w:r/>
      <w:hyperlink w:anchor="tocfinal_ch_02">
        <w:r>
          <w:rPr>
            <w:color w:val="087F83"/>
            <w:rFonts w:ascii="Lato" w:hAnsi="Lato"/>
            <w:sz w:val="19"/>
          </w:rPr>
          <w:t xml:space="preserve">02 | Discovery, scope, and feature tiers</w:t>
        </w:r>
      </w:hyperlink>
      <w:r>
        <w:tab/>
      </w:r>
      <w:r>
        <w:fldChar w:fldCharType="begin"/>
      </w:r>
      <w:r>
        <w:instrText xml:space="preserve"> PAGEREF tocfinal_ch_02 \h </w:instrText>
      </w:r>
      <w:r>
        <w:fldChar w:fldCharType="separate"/>
      </w:r>
      <w:r>
        <w:t>10</w:t>
      </w:r>
      <w:r>
        <w:fldChar w:fldCharType="end"/>
      </w:r>
    </w:p>
    <w:p>
      <w:pPr>
        <w:pStyle w:val="ContentsEntry"/>
        <w:keepNext w:val="0"/>
        <w:tabs>
          <w:tab w:pos="9831" w:val="right" w:leader="dot"/>
        </w:tabs>
        <w:spacing w:after="100" w:line="252" w:lineRule="auto"/>
      </w:pPr>
      <w:r/>
      <w:hyperlink w:anchor="tocfinal_ch_03">
        <w:r>
          <w:rPr>
            <w:color w:val="087F83"/>
            <w:rFonts w:ascii="Lato" w:hAnsi="Lato"/>
            <w:sz w:val="19"/>
          </w:rPr>
          <w:t xml:space="preserve">03 | Reference architecture and dependency strategy</w:t>
        </w:r>
      </w:hyperlink>
      <w:r>
        <w:tab/>
      </w:r>
      <w:r>
        <w:fldChar w:fldCharType="begin"/>
      </w:r>
      <w:r>
        <w:instrText xml:space="preserve"> PAGEREF tocfinal_ch_03 \h </w:instrText>
      </w:r>
      <w:r>
        <w:fldChar w:fldCharType="separate"/>
      </w:r>
      <w:r>
        <w:t>12</w:t>
      </w:r>
      <w:r>
        <w:fldChar w:fldCharType="end"/>
      </w:r>
    </w:p>
    <w:p>
      <w:pPr>
        <w:pStyle w:val="ContentsEntry"/>
        <w:keepNext w:val="0"/>
        <w:tabs>
          <w:tab w:pos="9831" w:val="right" w:leader="dot"/>
        </w:tabs>
        <w:spacing w:after="100" w:line="252" w:lineRule="auto"/>
      </w:pPr>
      <w:r/>
      <w:hyperlink w:anchor="tocfinal_ch_04">
        <w:r>
          <w:rPr>
            <w:color w:val="087F83"/>
            <w:rFonts w:ascii="Lato" w:hAnsi="Lato"/>
            <w:sz w:val="19"/>
          </w:rPr>
          <w:t xml:space="preserve">04 | Information architecture and conversion journeys</w:t>
        </w:r>
      </w:hyperlink>
      <w:r>
        <w:tab/>
      </w:r>
      <w:r>
        <w:fldChar w:fldCharType="begin"/>
      </w:r>
      <w:r>
        <w:instrText xml:space="preserve"> PAGEREF tocfinal_ch_04 \h </w:instrText>
      </w:r>
      <w:r>
        <w:fldChar w:fldCharType="separate"/>
      </w:r>
      <w:r>
        <w:t>13</w:t>
      </w:r>
      <w:r>
        <w:fldChar w:fldCharType="end"/>
      </w:r>
    </w:p>
    <w:p>
      <w:pPr>
        <w:pStyle w:val="ContentsEntry"/>
        <w:keepNext w:val="0"/>
        <w:tabs>
          <w:tab w:pos="9831" w:val="right" w:leader="dot"/>
        </w:tabs>
        <w:spacing w:after="100" w:line="252" w:lineRule="auto"/>
      </w:pPr>
      <w:r/>
      <w:hyperlink w:anchor="tocfinal_ch_05">
        <w:r>
          <w:rPr>
            <w:color w:val="087F83"/>
            <w:rFonts w:ascii="Lato" w:hAnsi="Lato"/>
            <w:sz w:val="19"/>
          </w:rPr>
          <w:t xml:space="preserve">05 | Design system, accessibility, and responsive behavior</w:t>
        </w:r>
      </w:hyperlink>
      <w:r>
        <w:tab/>
      </w:r>
      <w:r>
        <w:fldChar w:fldCharType="begin"/>
      </w:r>
      <w:r>
        <w:instrText xml:space="preserve"> PAGEREF tocfinal_ch_05 \h </w:instrText>
      </w:r>
      <w:r>
        <w:fldChar w:fldCharType="separate"/>
      </w:r>
      <w:r>
        <w:t>14</w:t>
      </w:r>
      <w:r>
        <w:fldChar w:fldCharType="end"/>
      </w:r>
    </w:p>
    <w:p>
      <w:pPr>
        <w:pStyle w:val="ContentsEntry"/>
        <w:keepNext w:val="0"/>
        <w:tabs>
          <w:tab w:pos="9831" w:val="right" w:leader="dot"/>
        </w:tabs>
        <w:spacing w:after="100" w:line="252" w:lineRule="auto"/>
      </w:pPr>
      <w:r/>
      <w:hyperlink w:anchor="tocfinal_ch_06">
        <w:r>
          <w:rPr>
            <w:color w:val="087F83"/>
            <w:rFonts w:ascii="Lato" w:hAnsi="Lato"/>
            <w:sz w:val="19"/>
          </w:rPr>
          <w:t xml:space="preserve">06 | Frontend engineering and performance</w:t>
        </w:r>
      </w:hyperlink>
      <w:r>
        <w:tab/>
      </w:r>
      <w:r>
        <w:fldChar w:fldCharType="begin"/>
      </w:r>
      <w:r>
        <w:instrText xml:space="preserve"> PAGEREF tocfinal_ch_06 \h </w:instrText>
      </w:r>
      <w:r>
        <w:fldChar w:fldCharType="separate"/>
      </w:r>
      <w:r>
        <w:t>15</w:t>
      </w:r>
      <w:r>
        <w:fldChar w:fldCharType="end"/>
      </w:r>
    </w:p>
    <w:p>
      <w:pPr>
        <w:pStyle w:val="ContentsEntry"/>
        <w:keepNext w:val="0"/>
        <w:tabs>
          <w:tab w:pos="9831" w:val="right" w:leader="dot"/>
        </w:tabs>
        <w:spacing w:after="100" w:line="252" w:lineRule="auto"/>
      </w:pPr>
      <w:r/>
      <w:hyperlink w:anchor="tocfinal_ch_07">
        <w:r>
          <w:rPr>
            <w:color w:val="087F83"/>
            <w:rFonts w:ascii="Lato" w:hAnsi="Lato"/>
            <w:sz w:val="19"/>
          </w:rPr>
          <w:t xml:space="preserve">07 | The owner console and autonomy contract</w:t>
        </w:r>
      </w:hyperlink>
      <w:r>
        <w:tab/>
      </w:r>
      <w:r>
        <w:fldChar w:fldCharType="begin"/>
      </w:r>
      <w:r>
        <w:instrText xml:space="preserve"> PAGEREF tocfinal_ch_07 \h </w:instrText>
      </w:r>
      <w:r>
        <w:fldChar w:fldCharType="separate"/>
      </w:r>
      <w:r>
        <w:t>17</w:t>
      </w:r>
      <w:r>
        <w:fldChar w:fldCharType="end"/>
      </w:r>
    </w:p>
    <w:p>
      <w:pPr>
        <w:pStyle w:val="ContentsEntry"/>
        <w:keepNext w:val="0"/>
        <w:tabs>
          <w:tab w:pos="9831" w:val="right" w:leader="dot"/>
        </w:tabs>
        <w:spacing w:after="100" w:line="252" w:lineRule="auto"/>
      </w:pPr>
      <w:r/>
      <w:hyperlink w:anchor="tocfinal_ch_08">
        <w:r>
          <w:rPr>
            <w:color w:val="087F83"/>
            <w:rFonts w:ascii="Lato" w:hAnsi="Lato"/>
            <w:sz w:val="19"/>
          </w:rPr>
          <w:t xml:space="preserve">08 | Visual builder, media, and publishing workflow</w:t>
        </w:r>
      </w:hyperlink>
      <w:r>
        <w:tab/>
      </w:r>
      <w:r>
        <w:fldChar w:fldCharType="begin"/>
      </w:r>
      <w:r>
        <w:instrText xml:space="preserve"> PAGEREF tocfinal_ch_08 \h </w:instrText>
      </w:r>
      <w:r>
        <w:fldChar w:fldCharType="separate"/>
      </w:r>
      <w:r>
        <w:t>19</w:t>
      </w:r>
      <w:r>
        <w:fldChar w:fldCharType="end"/>
      </w:r>
    </w:p>
    <w:p>
      <w:pPr>
        <w:pStyle w:val="ContentsEntry"/>
        <w:keepNext w:val="0"/>
        <w:tabs>
          <w:tab w:pos="9831" w:val="right" w:leader="dot"/>
        </w:tabs>
        <w:spacing w:after="100" w:line="252" w:lineRule="auto"/>
      </w:pPr>
      <w:r/>
      <w:hyperlink w:anchor="tocfinal_ch_09">
        <w:r>
          <w:rPr>
            <w:color w:val="087F83"/>
            <w:rFonts w:ascii="Lato" w:hAnsi="Lato"/>
            <w:sz w:val="19"/>
          </w:rPr>
          <w:t xml:space="preserve">09 | Blogs, resources, and editorial operations</w:t>
        </w:r>
      </w:hyperlink>
      <w:r>
        <w:tab/>
      </w:r>
      <w:r>
        <w:fldChar w:fldCharType="begin"/>
      </w:r>
      <w:r>
        <w:instrText xml:space="preserve"> PAGEREF tocfinal_ch_09 \h </w:instrText>
      </w:r>
      <w:r>
        <w:fldChar w:fldCharType="separate"/>
      </w:r>
      <w:r>
        <w:t>20</w:t>
      </w:r>
      <w:r>
        <w:fldChar w:fldCharType="end"/>
      </w:r>
    </w:p>
    <w:p>
      <w:pPr>
        <w:pStyle w:val="ContentsEntry"/>
        <w:keepNext w:val="0"/>
        <w:tabs>
          <w:tab w:pos="9831" w:val="right" w:leader="dot"/>
        </w:tabs>
        <w:spacing w:after="100" w:line="252" w:lineRule="auto"/>
      </w:pPr>
      <w:r/>
      <w:hyperlink w:anchor="tocfinal_ch_10">
        <w:r>
          <w:rPr>
            <w:color w:val="087F83"/>
            <w:rFonts w:ascii="Lato" w:hAnsi="Lato"/>
            <w:sz w:val="19"/>
          </w:rPr>
          <w:t xml:space="preserve">10 | Technical SEO and safe migration</w:t>
        </w:r>
      </w:hyperlink>
      <w:r>
        <w:tab/>
      </w:r>
      <w:r>
        <w:fldChar w:fldCharType="begin"/>
      </w:r>
      <w:r>
        <w:instrText xml:space="preserve"> PAGEREF tocfinal_ch_10 \h </w:instrText>
      </w:r>
      <w:r>
        <w:fldChar w:fldCharType="separate"/>
      </w:r>
      <w:r>
        <w:t>22</w:t>
      </w:r>
      <w:r>
        <w:fldChar w:fldCharType="end"/>
      </w:r>
    </w:p>
    <w:p>
      <w:pPr>
        <w:pStyle w:val="ContentsEntry"/>
        <w:keepNext w:val="0"/>
        <w:tabs>
          <w:tab w:pos="9831" w:val="right" w:leader="dot"/>
        </w:tabs>
        <w:spacing w:after="100" w:line="252" w:lineRule="auto"/>
      </w:pPr>
      <w:r/>
      <w:hyperlink w:anchor="tocfinal_ch_11">
        <w:r>
          <w:rPr>
            <w:color w:val="087F83"/>
            <w:rFonts w:ascii="Lato" w:hAnsi="Lato"/>
            <w:sz w:val="19"/>
          </w:rPr>
          <w:t xml:space="preserve">11 | Organic growth, local discovery, and AI search</w:t>
        </w:r>
      </w:hyperlink>
      <w:r>
        <w:tab/>
      </w:r>
      <w:r>
        <w:fldChar w:fldCharType="begin"/>
      </w:r>
      <w:r>
        <w:instrText xml:space="preserve"> PAGEREF tocfinal_ch_11 \h </w:instrText>
      </w:r>
      <w:r>
        <w:fldChar w:fldCharType="separate"/>
      </w:r>
      <w:r>
        <w:t>23</w:t>
      </w:r>
      <w:r>
        <w:fldChar w:fldCharType="end"/>
      </w:r>
    </w:p>
    <w:p>
      <w:pPr>
        <w:pStyle w:val="ContentsEntry"/>
        <w:keepNext w:val="0"/>
        <w:tabs>
          <w:tab w:pos="9831" w:val="right" w:leader="dot"/>
        </w:tabs>
        <w:spacing w:after="100" w:line="252" w:lineRule="auto"/>
      </w:pPr>
      <w:r/>
      <w:hyperlink w:anchor="tocfinal_ch_12">
        <w:r>
          <w:rPr>
            <w:color w:val="087F83"/>
            <w:rFonts w:ascii="Lato" w:hAnsi="Lato"/>
            <w:sz w:val="19"/>
          </w:rPr>
          <w:t xml:space="preserve">12 | Google Ads readiness and closed-loop conversion</w:t>
        </w:r>
      </w:hyperlink>
      <w:r>
        <w:tab/>
      </w:r>
      <w:r>
        <w:fldChar w:fldCharType="begin"/>
      </w:r>
      <w:r>
        <w:instrText xml:space="preserve"> PAGEREF tocfinal_ch_12 \h </w:instrText>
      </w:r>
      <w:r>
        <w:fldChar w:fldCharType="separate"/>
      </w:r>
      <w:r>
        <w:t>24</w:t>
      </w:r>
      <w:r>
        <w:fldChar w:fldCharType="end"/>
      </w:r>
    </w:p>
    <w:p>
      <w:pPr>
        <w:pStyle w:val="ContentsEntry"/>
        <w:keepNext w:val="0"/>
        <w:tabs>
          <w:tab w:pos="9831" w:val="right" w:leader="dot"/>
        </w:tabs>
        <w:spacing w:after="100" w:line="252" w:lineRule="auto"/>
      </w:pPr>
      <w:r/>
      <w:hyperlink w:anchor="tocfinal_ch_13">
        <w:r>
          <w:rPr>
            <w:color w:val="087F83"/>
            <w:rFonts w:ascii="Lato" w:hAnsi="Lato"/>
            <w:sz w:val="19"/>
          </w:rPr>
          <w:t xml:space="preserve">13 | Meta Ads, Pixel, and Conversions API</w:t>
        </w:r>
      </w:hyperlink>
      <w:r>
        <w:tab/>
      </w:r>
      <w:r>
        <w:fldChar w:fldCharType="begin"/>
      </w:r>
      <w:r>
        <w:instrText xml:space="preserve"> PAGEREF tocfinal_ch_13 \h </w:instrText>
      </w:r>
      <w:r>
        <w:fldChar w:fldCharType="separate"/>
      </w:r>
      <w:r>
        <w:t>26</w:t>
      </w:r>
      <w:r>
        <w:fldChar w:fldCharType="end"/>
      </w:r>
    </w:p>
    <w:p>
      <w:pPr>
        <w:pStyle w:val="ContentsEntry"/>
        <w:keepNext w:val="0"/>
        <w:tabs>
          <w:tab w:pos="9831" w:val="right" w:leader="dot"/>
        </w:tabs>
        <w:spacing w:after="100" w:line="252" w:lineRule="auto"/>
      </w:pPr>
      <w:r/>
      <w:hyperlink w:anchor="tocfinal_ch_14">
        <w:r>
          <w:rPr>
            <w:color w:val="087F83"/>
            <w:rFonts w:ascii="Lato" w:hAnsi="Lato"/>
            <w:sz w:val="19"/>
          </w:rPr>
          <w:t xml:space="preserve">14 | Measurement architecture and event catalogue</w:t>
        </w:r>
      </w:hyperlink>
      <w:r>
        <w:tab/>
      </w:r>
      <w:r>
        <w:fldChar w:fldCharType="begin"/>
      </w:r>
      <w:r>
        <w:instrText xml:space="preserve"> PAGEREF tocfinal_ch_14 \h </w:instrText>
      </w:r>
      <w:r>
        <w:fldChar w:fldCharType="separate"/>
      </w:r>
      <w:r>
        <w:t>27</w:t>
      </w:r>
      <w:r>
        <w:fldChar w:fldCharType="end"/>
      </w:r>
    </w:p>
    <w:p>
      <w:pPr>
        <w:pStyle w:val="ContentsEntry"/>
        <w:keepNext w:val="0"/>
        <w:tabs>
          <w:tab w:pos="9831" w:val="right" w:leader="dot"/>
        </w:tabs>
        <w:spacing w:after="100" w:line="252" w:lineRule="auto"/>
      </w:pPr>
      <w:r/>
      <w:hyperlink w:anchor="tocfinal_ch_15">
        <w:r>
          <w:rPr>
            <w:color w:val="087F83"/>
            <w:rFonts w:ascii="Lato" w:hAnsi="Lato"/>
            <w:sz w:val="19"/>
          </w:rPr>
          <w:t xml:space="preserve">15 | Visitor journey and frontend event contract</w:t>
        </w:r>
      </w:hyperlink>
      <w:r>
        <w:tab/>
      </w:r>
      <w:r>
        <w:fldChar w:fldCharType="begin"/>
      </w:r>
      <w:r>
        <w:instrText xml:space="preserve"> PAGEREF tocfinal_ch_15 \h </w:instrText>
      </w:r>
      <w:r>
        <w:fldChar w:fldCharType="separate"/>
      </w:r>
      <w:r>
        <w:t>29</w:t>
      </w:r>
      <w:r>
        <w:fldChar w:fldCharType="end"/>
      </w:r>
    </w:p>
    <w:p>
      <w:pPr>
        <w:pStyle w:val="ContentsEntry"/>
        <w:keepNext w:val="0"/>
        <w:tabs>
          <w:tab w:pos="9831" w:val="right" w:leader="dot"/>
        </w:tabs>
        <w:spacing w:after="100" w:line="252" w:lineRule="auto"/>
      </w:pPr>
      <w:r/>
      <w:hyperlink w:anchor="tocfinal_ch_16">
        <w:r>
          <w:rPr>
            <w:color w:val="087F83"/>
            <w:rFonts w:ascii="Lato" w:hAnsi="Lato"/>
            <w:sz w:val="19"/>
          </w:rPr>
          <w:t xml:space="preserve">16 | Event ingestion, server conversions, and delivery reliability</w:t>
        </w:r>
      </w:hyperlink>
      <w:r>
        <w:tab/>
      </w:r>
      <w:r>
        <w:fldChar w:fldCharType="begin"/>
      </w:r>
      <w:r>
        <w:instrText xml:space="preserve"> PAGEREF tocfinal_ch_16 \h </w:instrText>
      </w:r>
      <w:r>
        <w:fldChar w:fldCharType="separate"/>
      </w:r>
      <w:r>
        <w:t>31</w:t>
      </w:r>
      <w:r>
        <w:fldChar w:fldCharType="end"/>
      </w:r>
    </w:p>
    <w:p>
      <w:pPr>
        <w:pStyle w:val="ContentsEntry"/>
        <w:keepNext w:val="0"/>
        <w:tabs>
          <w:tab w:pos="9831" w:val="right" w:leader="dot"/>
        </w:tabs>
        <w:spacing w:after="100" w:line="252" w:lineRule="auto"/>
      </w:pPr>
      <w:r/>
      <w:hyperlink w:anchor="tocfinal_ch_17">
        <w:r>
          <w:rPr>
            <w:color w:val="087F83"/>
            <w:rFonts w:ascii="Lato" w:hAnsi="Lato"/>
            <w:sz w:val="19"/>
          </w:rPr>
          <w:t xml:space="preserve">17 | Consent, privacy, and retention governance</w:t>
        </w:r>
      </w:hyperlink>
      <w:r>
        <w:tab/>
      </w:r>
      <w:r>
        <w:fldChar w:fldCharType="begin"/>
      </w:r>
      <w:r>
        <w:instrText xml:space="preserve"> PAGEREF tocfinal_ch_17 \h </w:instrText>
      </w:r>
      <w:r>
        <w:fldChar w:fldCharType="separate"/>
      </w:r>
      <w:r>
        <w:t>33</w:t>
      </w:r>
      <w:r>
        <w:fldChar w:fldCharType="end"/>
      </w:r>
    </w:p>
    <w:p>
      <w:pPr>
        <w:pStyle w:val="ContentsEntry"/>
        <w:keepNext w:val="0"/>
        <w:tabs>
          <w:tab w:pos="9831" w:val="right" w:leader="dot"/>
        </w:tabs>
        <w:spacing w:after="100" w:line="252" w:lineRule="auto"/>
      </w:pPr>
      <w:r/>
      <w:hyperlink w:anchor="tocfinal_ch_18">
        <w:r>
          <w:rPr>
            <w:color w:val="087F83"/>
            <w:rFonts w:ascii="Lato" w:hAnsi="Lato"/>
            <w:sz w:val="19"/>
          </w:rPr>
          <w:t xml:space="preserve">18 | Identity, attribution, and CRM linkage</w:t>
        </w:r>
      </w:hyperlink>
      <w:r>
        <w:tab/>
      </w:r>
      <w:r>
        <w:fldChar w:fldCharType="begin"/>
      </w:r>
      <w:r>
        <w:instrText xml:space="preserve"> PAGEREF tocfinal_ch_18 \h </w:instrText>
      </w:r>
      <w:r>
        <w:fldChar w:fldCharType="separate"/>
      </w:r>
      <w:r>
        <w:t>35</w:t>
      </w:r>
      <w:r>
        <w:fldChar w:fldCharType="end"/>
      </w:r>
    </w:p>
    <w:p>
      <w:pPr>
        <w:pStyle w:val="ContentsEntry"/>
        <w:keepNext w:val="0"/>
        <w:tabs>
          <w:tab w:pos="9831" w:val="right" w:leader="dot"/>
        </w:tabs>
        <w:spacing w:after="100" w:line="252" w:lineRule="auto"/>
      </w:pPr>
      <w:r/>
      <w:hyperlink w:anchor="tocfinal_ch_19">
        <w:r>
          <w:rPr>
            <w:color w:val="087F83"/>
            <w:rFonts w:ascii="Lato" w:hAnsi="Lato"/>
            <w:sz w:val="19"/>
          </w:rPr>
          <w:t xml:space="preserve">19 | Reporting, experiments, heatmaps, and replay</w:t>
        </w:r>
      </w:hyperlink>
      <w:r>
        <w:tab/>
      </w:r>
      <w:r>
        <w:fldChar w:fldCharType="begin"/>
      </w:r>
      <w:r>
        <w:instrText xml:space="preserve"> PAGEREF tocfinal_ch_19 \h </w:instrText>
      </w:r>
      <w:r>
        <w:fldChar w:fldCharType="separate"/>
      </w:r>
      <w:r>
        <w:t>36</w:t>
      </w:r>
      <w:r>
        <w:fldChar w:fldCharType="end"/>
      </w:r>
    </w:p>
    <w:p>
      <w:pPr>
        <w:pStyle w:val="ContentsEntry"/>
        <w:keepNext w:val="0"/>
        <w:tabs>
          <w:tab w:pos="9831" w:val="right" w:leader="dot"/>
        </w:tabs>
        <w:spacing w:after="100" w:line="252" w:lineRule="auto"/>
      </w:pPr>
      <w:r/>
      <w:hyperlink w:anchor="tocfinal_ch_20">
        <w:r>
          <w:rPr>
            <w:color w:val="087F83"/>
            <w:rFonts w:ascii="Lato" w:hAnsi="Lato"/>
            <w:sz w:val="19"/>
          </w:rPr>
          <w:t xml:space="preserve">20 | Forms, lead management, and communications</w:t>
        </w:r>
      </w:hyperlink>
      <w:r>
        <w:tab/>
      </w:r>
      <w:r>
        <w:fldChar w:fldCharType="begin"/>
      </w:r>
      <w:r>
        <w:instrText xml:space="preserve"> PAGEREF tocfinal_ch_20 \h </w:instrText>
      </w:r>
      <w:r>
        <w:fldChar w:fldCharType="separate"/>
      </w:r>
      <w:r>
        <w:t>38</w:t>
      </w:r>
      <w:r>
        <w:fldChar w:fldCharType="end"/>
      </w:r>
    </w:p>
    <w:p>
      <w:pPr>
        <w:pStyle w:val="ContentsEntry"/>
        <w:keepNext w:val="0"/>
        <w:tabs>
          <w:tab w:pos="9831" w:val="right" w:leader="dot"/>
        </w:tabs>
        <w:spacing w:after="100" w:line="252" w:lineRule="auto"/>
      </w:pPr>
      <w:r/>
      <w:hyperlink w:anchor="tocfinal_ch_21">
        <w:r>
          <w:rPr>
            <w:color w:val="087F83"/>
            <w:rFonts w:ascii="Lato" w:hAnsi="Lato"/>
            <w:sz w:val="19"/>
          </w:rPr>
          <w:t xml:space="preserve">21 | Backend modules and business workflows</w:t>
        </w:r>
      </w:hyperlink>
      <w:r>
        <w:tab/>
      </w:r>
      <w:r>
        <w:fldChar w:fldCharType="begin"/>
      </w:r>
      <w:r>
        <w:instrText xml:space="preserve"> PAGEREF tocfinal_ch_21 \h </w:instrText>
      </w:r>
      <w:r>
        <w:fldChar w:fldCharType="separate"/>
      </w:r>
      <w:r>
        <w:t>39</w:t>
      </w:r>
      <w:r>
        <w:fldChar w:fldCharType="end"/>
      </w:r>
    </w:p>
    <w:p>
      <w:pPr>
        <w:pStyle w:val="ContentsEntry"/>
        <w:keepNext w:val="0"/>
        <w:tabs>
          <w:tab w:pos="9831" w:val="right" w:leader="dot"/>
        </w:tabs>
        <w:spacing w:after="100" w:line="252" w:lineRule="auto"/>
      </w:pPr>
      <w:r/>
      <w:hyperlink w:anchor="tocfinal_ch_22">
        <w:r>
          <w:rPr>
            <w:color w:val="087F83"/>
            <w:rFonts w:ascii="Lato" w:hAnsi="Lato"/>
            <w:sz w:val="19"/>
          </w:rPr>
          <w:t xml:space="preserve">22 | PostgreSQL schema, integrity, and storage lifecycle</w:t>
        </w:r>
      </w:hyperlink>
      <w:r>
        <w:tab/>
      </w:r>
      <w:r>
        <w:fldChar w:fldCharType="begin"/>
      </w:r>
      <w:r>
        <w:instrText xml:space="preserve"> PAGEREF tocfinal_ch_22 \h </w:instrText>
      </w:r>
      <w:r>
        <w:fldChar w:fldCharType="separate"/>
      </w:r>
      <w:r>
        <w:t>41</w:t>
      </w:r>
      <w:r>
        <w:fldChar w:fldCharType="end"/>
      </w:r>
    </w:p>
    <w:p>
      <w:pPr>
        <w:pStyle w:val="ContentsEntry"/>
        <w:keepNext w:val="0"/>
        <w:tabs>
          <w:tab w:pos="9831" w:val="right" w:leader="dot"/>
        </w:tabs>
        <w:spacing w:after="100" w:line="252" w:lineRule="auto"/>
      </w:pPr>
      <w:r/>
      <w:hyperlink w:anchor="tocfinal_ch_23">
        <w:r>
          <w:rPr>
            <w:color w:val="087F83"/>
            <w:rFonts w:ascii="Lato" w:hAnsi="Lato"/>
            <w:sz w:val="19"/>
          </w:rPr>
          <w:t xml:space="preserve">23 | REST, GraphQL, SOAP, and webhook contracts</w:t>
        </w:r>
      </w:hyperlink>
      <w:r>
        <w:tab/>
      </w:r>
      <w:r>
        <w:fldChar w:fldCharType="begin"/>
      </w:r>
      <w:r>
        <w:instrText xml:space="preserve"> PAGEREF tocfinal_ch_23 \h </w:instrText>
      </w:r>
      <w:r>
        <w:fldChar w:fldCharType="separate"/>
      </w:r>
      <w:r>
        <w:t>43</w:t>
      </w:r>
      <w:r>
        <w:fldChar w:fldCharType="end"/>
      </w:r>
    </w:p>
    <w:p>
      <w:pPr>
        <w:pStyle w:val="ContentsEntry"/>
        <w:keepNext w:val="0"/>
        <w:tabs>
          <w:tab w:pos="9831" w:val="right" w:leader="dot"/>
        </w:tabs>
        <w:spacing w:after="100" w:line="252" w:lineRule="auto"/>
      </w:pPr>
      <w:r/>
      <w:hyperlink w:anchor="tocfinal_ch_24">
        <w:r>
          <w:rPr>
            <w:color w:val="087F83"/>
            <w:rFonts w:ascii="Lato" w:hAnsi="Lato"/>
            <w:sz w:val="19"/>
          </w:rPr>
          <w:t xml:space="preserve">24 | Security, identity, and administrator control</w:t>
        </w:r>
      </w:hyperlink>
      <w:r>
        <w:tab/>
      </w:r>
      <w:r>
        <w:fldChar w:fldCharType="begin"/>
      </w:r>
      <w:r>
        <w:instrText xml:space="preserve"> PAGEREF tocfinal_ch_24 \h </w:instrText>
      </w:r>
      <w:r>
        <w:fldChar w:fldCharType="separate"/>
      </w:r>
      <w:r>
        <w:t>45</w:t>
      </w:r>
      <w:r>
        <w:fldChar w:fldCharType="end"/>
      </w:r>
    </w:p>
    <w:p>
      <w:pPr>
        <w:pStyle w:val="Heading1"/>
        <w:keepNext/>
      </w:pPr>
      <w:r>
        <w:t>Contents | continued</w:t>
      </w:r>
      <w:bookmarkStart w:id="647" w:name="final_Contents___continued"/>
      <w:bookmarkEnd w:id="647"/>
    </w:p>
    <w:p>
      <w:pPr>
        <w:pStyle w:val="SmallNote"/>
      </w:pPr>
      <w:r>
        <w:t>Select an entry to jump to the section. Page references are Word fields; update fields after editing.</w:t>
      </w:r>
    </w:p>
    <w:p>
      <w:pPr>
        <w:pStyle w:val="ContentsEntry"/>
        <w:keepNext w:val="0"/>
        <w:tabs>
          <w:tab w:pos="9831" w:val="right" w:leader="dot"/>
        </w:tabs>
        <w:spacing w:after="100" w:line="252" w:lineRule="auto"/>
      </w:pPr>
      <w:r/>
      <w:hyperlink w:anchor="tocfinal_ch_25">
        <w:r>
          <w:rPr>
            <w:color w:val="087F83"/>
            <w:rFonts w:ascii="Lato" w:hAnsi="Lato"/>
            <w:sz w:val="19"/>
          </w:rPr>
          <w:t xml:space="preserve">25 | Commerce, bookings, subscriptions, and portals</w:t>
        </w:r>
      </w:hyperlink>
      <w:r>
        <w:tab/>
      </w:r>
      <w:r>
        <w:fldChar w:fldCharType="begin"/>
      </w:r>
      <w:r>
        <w:instrText xml:space="preserve"> PAGEREF tocfinal_ch_25 \h </w:instrText>
      </w:r>
      <w:r>
        <w:fldChar w:fldCharType="separate"/>
      </w:r>
      <w:r>
        <w:t>47</w:t>
      </w:r>
      <w:r>
        <w:fldChar w:fldCharType="end"/>
      </w:r>
    </w:p>
    <w:p>
      <w:pPr>
        <w:pStyle w:val="ContentsEntry"/>
        <w:keepNext w:val="0"/>
        <w:tabs>
          <w:tab w:pos="9831" w:val="right" w:leader="dot"/>
        </w:tabs>
        <w:spacing w:after="100" w:line="252" w:lineRule="auto"/>
      </w:pPr>
      <w:r/>
      <w:hyperlink w:anchor="tocfinal_ch_26">
        <w:r>
          <w:rPr>
            <w:color w:val="087F83"/>
            <w:rFonts w:ascii="Lato" w:hAnsi="Lato"/>
            <w:sz w:val="19"/>
          </w:rPr>
          <w:t xml:space="preserve">26 | Search, localization, communications, and optional AI</w:t>
        </w:r>
      </w:hyperlink>
      <w:r>
        <w:tab/>
      </w:r>
      <w:r>
        <w:fldChar w:fldCharType="begin"/>
      </w:r>
      <w:r>
        <w:instrText xml:space="preserve"> PAGEREF tocfinal_ch_26 \h </w:instrText>
      </w:r>
      <w:r>
        <w:fldChar w:fldCharType="separate"/>
      </w:r>
      <w:r>
        <w:t>48</w:t>
      </w:r>
      <w:r>
        <w:fldChar w:fldCharType="end"/>
      </w:r>
    </w:p>
    <w:p>
      <w:pPr>
        <w:pStyle w:val="ContentsEntry"/>
        <w:keepNext w:val="0"/>
        <w:tabs>
          <w:tab w:pos="9831" w:val="right" w:leader="dot"/>
        </w:tabs>
        <w:spacing w:after="100" w:line="252" w:lineRule="auto"/>
      </w:pPr>
      <w:r/>
      <w:hyperlink w:anchor="tocfinal_ch_27">
        <w:r>
          <w:rPr>
            <w:color w:val="087F83"/>
            <w:rFonts w:ascii="Lato" w:hAnsi="Lato"/>
            <w:sz w:val="19"/>
          </w:rPr>
          <w:t xml:space="preserve">27 | Repository, folders, and coding standards</w:t>
        </w:r>
      </w:hyperlink>
      <w:r>
        <w:tab/>
      </w:r>
      <w:r>
        <w:fldChar w:fldCharType="begin"/>
      </w:r>
      <w:r>
        <w:instrText xml:space="preserve"> PAGEREF tocfinal_ch_27 \h </w:instrText>
      </w:r>
      <w:r>
        <w:fldChar w:fldCharType="separate"/>
      </w:r>
      <w:r>
        <w:t>50</w:t>
      </w:r>
      <w:r>
        <w:fldChar w:fldCharType="end"/>
      </w:r>
    </w:p>
    <w:p>
      <w:pPr>
        <w:pStyle w:val="ContentsEntry"/>
        <w:keepNext w:val="0"/>
        <w:tabs>
          <w:tab w:pos="9831" w:val="right" w:leader="dot"/>
        </w:tabs>
        <w:spacing w:after="100" w:line="252" w:lineRule="auto"/>
      </w:pPr>
      <w:r/>
      <w:hyperlink w:anchor="tocfinal_ch_28">
        <w:r>
          <w:rPr>
            <w:color w:val="087F83"/>
            <w:rFonts w:ascii="Lato" w:hAnsi="Lato"/>
            <w:sz w:val="19"/>
          </w:rPr>
          <w:t xml:space="preserve">28 | Hosting, Docker, Kubernetes, and Terraform</w:t>
        </w:r>
      </w:hyperlink>
      <w:r>
        <w:tab/>
      </w:r>
      <w:r>
        <w:fldChar w:fldCharType="begin"/>
      </w:r>
      <w:r>
        <w:instrText xml:space="preserve"> PAGEREF tocfinal_ch_28 \h </w:instrText>
      </w:r>
      <w:r>
        <w:fldChar w:fldCharType="separate"/>
      </w:r>
      <w:r>
        <w:t>52</w:t>
      </w:r>
      <w:r>
        <w:fldChar w:fldCharType="end"/>
      </w:r>
    </w:p>
    <w:p>
      <w:pPr>
        <w:pStyle w:val="ContentsEntry"/>
        <w:keepNext w:val="0"/>
        <w:tabs>
          <w:tab w:pos="9831" w:val="right" w:leader="dot"/>
        </w:tabs>
        <w:spacing w:after="100" w:line="252" w:lineRule="auto"/>
      </w:pPr>
      <w:r/>
      <w:hyperlink w:anchor="tocfinal_ch_29">
        <w:r>
          <w:rPr>
            <w:color w:val="087F83"/>
            <w:rFonts w:ascii="Lato" w:hAnsi="Lato"/>
            <w:sz w:val="19"/>
          </w:rPr>
          <w:t xml:space="preserve">29 | CI/CD, monitoring, backups, and incident recovery</w:t>
        </w:r>
      </w:hyperlink>
      <w:r>
        <w:tab/>
      </w:r>
      <w:r>
        <w:fldChar w:fldCharType="begin"/>
      </w:r>
      <w:r>
        <w:instrText xml:space="preserve"> PAGEREF tocfinal_ch_29 \h </w:instrText>
      </w:r>
      <w:r>
        <w:fldChar w:fldCharType="separate"/>
      </w:r>
      <w:r>
        <w:t>54</w:t>
      </w:r>
      <w:r>
        <w:fldChar w:fldCharType="end"/>
      </w:r>
    </w:p>
    <w:p>
      <w:pPr>
        <w:pStyle w:val="ContentsEntry"/>
        <w:keepNext w:val="0"/>
        <w:tabs>
          <w:tab w:pos="9831" w:val="right" w:leader="dot"/>
        </w:tabs>
        <w:spacing w:after="100" w:line="252" w:lineRule="auto"/>
      </w:pPr>
      <w:r/>
      <w:hyperlink w:anchor="tocfinal_ch_30">
        <w:r>
          <w:rPr>
            <w:color w:val="087F83"/>
            <w:rFonts w:ascii="Lato" w:hAnsi="Lato"/>
            <w:sz w:val="19"/>
          </w:rPr>
          <w:t xml:space="preserve">30 | Test strategy and production acceptance gates</w:t>
        </w:r>
      </w:hyperlink>
      <w:r>
        <w:tab/>
      </w:r>
      <w:r>
        <w:fldChar w:fldCharType="begin"/>
      </w:r>
      <w:r>
        <w:instrText xml:space="preserve"> PAGEREF tocfinal_ch_30 \h </w:instrText>
      </w:r>
      <w:r>
        <w:fldChar w:fldCharType="separate"/>
      </w:r>
      <w:r>
        <w:t>56</w:t>
      </w:r>
      <w:r>
        <w:fldChar w:fldCharType="end"/>
      </w:r>
    </w:p>
    <w:p>
      <w:pPr>
        <w:pStyle w:val="ContentsEntry"/>
        <w:keepNext w:val="0"/>
        <w:tabs>
          <w:tab w:pos="9831" w:val="right" w:leader="dot"/>
        </w:tabs>
        <w:spacing w:after="100" w:line="252" w:lineRule="auto"/>
      </w:pPr>
      <w:r/>
      <w:hyperlink w:anchor="tocfinal_ch_31">
        <w:r>
          <w:rPr>
            <w:color w:val="087F83"/>
            <w:rFonts w:ascii="Lato" w:hAnsi="Lato"/>
            <w:sz w:val="19"/>
          </w:rPr>
          <w:t xml:space="preserve">31 | Roadmap, team responsibilities, and cost model</w:t>
        </w:r>
      </w:hyperlink>
      <w:r>
        <w:tab/>
      </w:r>
      <w:r>
        <w:fldChar w:fldCharType="begin"/>
      </w:r>
      <w:r>
        <w:instrText xml:space="preserve"> PAGEREF tocfinal_ch_31 \h </w:instrText>
      </w:r>
      <w:r>
        <w:fldChar w:fldCharType="separate"/>
      </w:r>
      <w:r>
        <w:t>58</w:t>
      </w:r>
      <w:r>
        <w:fldChar w:fldCharType="end"/>
      </w:r>
    </w:p>
    <w:p>
      <w:pPr>
        <w:pStyle w:val="ContentsEntry"/>
        <w:keepNext w:val="0"/>
        <w:tabs>
          <w:tab w:pos="9831" w:val="right" w:leader="dot"/>
        </w:tabs>
        <w:spacing w:after="100" w:line="252" w:lineRule="auto"/>
      </w:pPr>
      <w:r/>
      <w:hyperlink w:anchor="tocfinal_ch_32">
        <w:r>
          <w:rPr>
            <w:color w:val="087F83"/>
            <w:rFonts w:ascii="Lato" w:hAnsi="Lato"/>
            <w:sz w:val="19"/>
          </w:rPr>
          <w:t xml:space="preserve">32 | Owner handbook, handover, and independence</w:t>
        </w:r>
      </w:hyperlink>
      <w:r>
        <w:tab/>
      </w:r>
      <w:r>
        <w:fldChar w:fldCharType="begin"/>
      </w:r>
      <w:r>
        <w:instrText xml:space="preserve"> PAGEREF tocfinal_ch_32 \h </w:instrText>
      </w:r>
      <w:r>
        <w:fldChar w:fldCharType="separate"/>
      </w:r>
      <w:r>
        <w:t>60</w:t>
      </w:r>
      <w:r>
        <w:fldChar w:fldCharType="end"/>
      </w:r>
    </w:p>
    <w:p>
      <w:pPr>
        <w:pStyle w:val="ContentsEntry"/>
        <w:keepNext w:val="0"/>
        <w:tabs>
          <w:tab w:pos="9831" w:val="right" w:leader="dot"/>
        </w:tabs>
        <w:spacing w:after="100" w:line="252" w:lineRule="auto"/>
      </w:pPr>
      <w:r/>
      <w:hyperlink w:anchor="tocfinal_ch_33">
        <w:r>
          <w:rPr>
            <w:color w:val="087F83"/>
            <w:rFonts w:ascii="Lato" w:hAnsi="Lato"/>
            <w:sz w:val="19"/>
          </w:rPr>
          <w:t xml:space="preserve">33 | Reusable implementation instructions</w:t>
        </w:r>
      </w:hyperlink>
      <w:r>
        <w:tab/>
      </w:r>
      <w:r>
        <w:fldChar w:fldCharType="begin"/>
      </w:r>
      <w:r>
        <w:instrText xml:space="preserve"> PAGEREF tocfinal_ch_33 \h </w:instrText>
      </w:r>
      <w:r>
        <w:fldChar w:fldCharType="separate"/>
      </w:r>
      <w:r>
        <w:t>61</w:t>
      </w:r>
      <w:r>
        <w:fldChar w:fldCharType="end"/>
      </w:r>
    </w:p>
    <w:p>
      <w:pPr>
        <w:pStyle w:val="ContentsEntry"/>
        <w:keepNext w:val="0"/>
        <w:tabs>
          <w:tab w:pos="9831" w:val="right" w:leader="dot"/>
        </w:tabs>
        <w:spacing w:after="100" w:line="252" w:lineRule="auto"/>
      </w:pPr>
      <w:r/>
      <w:hyperlink w:anchor="tocfinal_ch_34">
        <w:r>
          <w:rPr>
            <w:color w:val="087F83"/>
            <w:rFonts w:ascii="Lato" w:hAnsi="Lato"/>
            <w:sz w:val="19"/>
          </w:rPr>
          <w:t xml:space="preserve">34 | A/B testing and controlled experimentation</w:t>
        </w:r>
      </w:hyperlink>
      <w:r>
        <w:tab/>
      </w:r>
      <w:r>
        <w:fldChar w:fldCharType="begin"/>
      </w:r>
      <w:r>
        <w:instrText xml:space="preserve"> PAGEREF tocfinal_ch_34 \h </w:instrText>
      </w:r>
      <w:r>
        <w:fldChar w:fldCharType="separate"/>
      </w:r>
      <w:r>
        <w:t>63</w:t>
      </w:r>
      <w:r>
        <w:fldChar w:fldCharType="end"/>
      </w:r>
    </w:p>
    <w:p>
      <w:pPr>
        <w:pStyle w:val="ContentsEntry"/>
        <w:keepNext w:val="0"/>
        <w:tabs>
          <w:tab w:pos="9831" w:val="right" w:leader="dot"/>
        </w:tabs>
        <w:spacing w:after="100" w:line="252" w:lineRule="auto"/>
      </w:pPr>
      <w:r/>
      <w:hyperlink w:anchor="tocfinal_ch_35">
        <w:r>
          <w:rPr>
            <w:color w:val="087F83"/>
            <w:rFonts w:ascii="Lato" w:hAnsi="Lato"/>
            <w:sz w:val="19"/>
          </w:rPr>
          <w:t xml:space="preserve">35 | UTM parameters and end-to-end attribution</w:t>
        </w:r>
      </w:hyperlink>
      <w:r>
        <w:tab/>
      </w:r>
      <w:r>
        <w:fldChar w:fldCharType="begin"/>
      </w:r>
      <w:r>
        <w:instrText xml:space="preserve"> PAGEREF tocfinal_ch_35 \h </w:instrText>
      </w:r>
      <w:r>
        <w:fldChar w:fldCharType="separate"/>
      </w:r>
      <w:r>
        <w:t>66</w:t>
      </w:r>
      <w:r>
        <w:fldChar w:fldCharType="end"/>
      </w:r>
    </w:p>
    <w:p>
      <w:pPr>
        <w:pStyle w:val="ContentsEntry"/>
        <w:keepNext w:val="0"/>
        <w:tabs>
          <w:tab w:pos="9831" w:val="right" w:leader="dot"/>
        </w:tabs>
        <w:spacing w:after="100" w:line="252" w:lineRule="auto"/>
      </w:pPr>
      <w:r/>
      <w:hyperlink w:anchor="tocfinal_ch_36">
        <w:r>
          <w:rPr>
            <w:color w:val="087F83"/>
            <w:rFonts w:ascii="Lato" w:hAnsi="Lato"/>
            <w:sz w:val="19"/>
          </w:rPr>
          <w:t xml:space="preserve">36 | IP addresses, location and visitor context</w:t>
        </w:r>
      </w:hyperlink>
      <w:r>
        <w:tab/>
      </w:r>
      <w:r>
        <w:fldChar w:fldCharType="begin"/>
      </w:r>
      <w:r>
        <w:instrText xml:space="preserve"> PAGEREF tocfinal_ch_36 \h </w:instrText>
      </w:r>
      <w:r>
        <w:fldChar w:fldCharType="separate"/>
      </w:r>
      <w:r>
        <w:t>69</w:t>
      </w:r>
      <w:r>
        <w:fldChar w:fldCharType="end"/>
      </w:r>
    </w:p>
    <w:p>
      <w:pPr>
        <w:pStyle w:val="ContentsEntry"/>
        <w:keepNext w:val="0"/>
        <w:tabs>
          <w:tab w:pos="9831" w:val="right" w:leader="dot"/>
        </w:tabs>
        <w:spacing w:after="100" w:line="252" w:lineRule="auto"/>
      </w:pPr>
      <w:r/>
      <w:hyperlink w:anchor="tocfinal_ch_37">
        <w:r>
          <w:rPr>
            <w:color w:val="087F83"/>
            <w:rFonts w:ascii="Lato" w:hAnsi="Lato"/>
            <w:sz w:val="19"/>
          </w:rPr>
          <w:t xml:space="preserve">37 | Chatbot and shared visitor-context services</w:t>
        </w:r>
      </w:hyperlink>
      <w:r>
        <w:tab/>
      </w:r>
      <w:r>
        <w:fldChar w:fldCharType="begin"/>
      </w:r>
      <w:r>
        <w:instrText xml:space="preserve"> PAGEREF tocfinal_ch_37 \h </w:instrText>
      </w:r>
      <w:r>
        <w:fldChar w:fldCharType="separate"/>
      </w:r>
      <w:r>
        <w:t>72</w:t>
      </w:r>
      <w:r>
        <w:fldChar w:fldCharType="end"/>
      </w:r>
    </w:p>
    <w:p>
      <w:pPr>
        <w:pStyle w:val="ContentsEntry"/>
        <w:keepNext w:val="0"/>
        <w:tabs>
          <w:tab w:pos="9831" w:val="right" w:leader="dot"/>
        </w:tabs>
        <w:spacing w:after="100" w:line="252" w:lineRule="auto"/>
      </w:pPr>
      <w:r/>
      <w:hyperlink w:anchor="tocfinal_ch_38">
        <w:r>
          <w:rPr>
            <w:color w:val="087F83"/>
            <w:rFonts w:ascii="Lato" w:hAnsi="Lato"/>
            <w:sz w:val="19"/>
          </w:rPr>
          <w:t xml:space="preserve">38 | Manual-only blog deletion and content preservation</w:t>
        </w:r>
      </w:hyperlink>
      <w:r>
        <w:tab/>
      </w:r>
      <w:r>
        <w:fldChar w:fldCharType="begin"/>
      </w:r>
      <w:r>
        <w:instrText xml:space="preserve"> PAGEREF tocfinal_ch_38 \h </w:instrText>
      </w:r>
      <w:r>
        <w:fldChar w:fldCharType="separate"/>
      </w:r>
      <w:r>
        <w:t>75</w:t>
      </w:r>
      <w:r>
        <w:fldChar w:fldCharType="end"/>
      </w:r>
    </w:p>
    <w:p>
      <w:pPr>
        <w:pStyle w:val="ContentsEntry"/>
        <w:keepNext w:val="0"/>
        <w:tabs>
          <w:tab w:pos="9831" w:val="right" w:leader="dot"/>
        </w:tabs>
        <w:spacing w:after="100" w:line="252" w:lineRule="auto"/>
      </w:pPr>
      <w:r/>
      <w:hyperlink w:anchor="tocfinal_ch_39">
        <w:r>
          <w:rPr>
            <w:color w:val="087F83"/>
            <w:rFonts w:ascii="Lato" w:hAnsi="Lato"/>
            <w:sz w:val="19"/>
          </w:rPr>
          <w:t xml:space="preserve">39 | Audit trails and comprehensive system logging</w:t>
        </w:r>
      </w:hyperlink>
      <w:r>
        <w:tab/>
      </w:r>
      <w:r>
        <w:fldChar w:fldCharType="begin"/>
      </w:r>
      <w:r>
        <w:instrText xml:space="preserve"> PAGEREF tocfinal_ch_39 \h </w:instrText>
      </w:r>
      <w:r>
        <w:fldChar w:fldCharType="separate"/>
      </w:r>
      <w:r>
        <w:t>78</w:t>
      </w:r>
      <w:r>
        <w:fldChar w:fldCharType="end"/>
      </w:r>
    </w:p>
    <w:p>
      <w:pPr>
        <w:pStyle w:val="ContentsEntry"/>
        <w:keepNext w:val="0"/>
        <w:tabs>
          <w:tab w:pos="9831" w:val="right" w:leader="dot"/>
        </w:tabs>
        <w:spacing w:after="100" w:line="252" w:lineRule="auto"/>
      </w:pPr>
      <w:r/>
      <w:hyperlink w:anchor="tocfinal_ch_40">
        <w:r>
          <w:rPr>
            <w:color w:val="087F83"/>
            <w:rFonts w:ascii="Lato" w:hAnsi="Lato"/>
            <w:sz w:val="19"/>
          </w:rPr>
          <w:t xml:space="preserve">40 | Integrated implementation contracts: frontend, API and database</w:t>
        </w:r>
      </w:hyperlink>
      <w:r>
        <w:tab/>
      </w:r>
      <w:r>
        <w:fldChar w:fldCharType="begin"/>
      </w:r>
      <w:r>
        <w:instrText xml:space="preserve"> PAGEREF tocfinal_ch_40 \h </w:instrText>
      </w:r>
      <w:r>
        <w:fldChar w:fldCharType="separate"/>
      </w:r>
      <w:r>
        <w:t>81</w:t>
      </w:r>
      <w:r>
        <w:fldChar w:fldCharType="end"/>
      </w:r>
    </w:p>
    <w:p>
      <w:pPr>
        <w:pStyle w:val="ContentsEntry"/>
        <w:keepNext w:val="0"/>
        <w:tabs>
          <w:tab w:pos="9831" w:val="right" w:leader="dot"/>
        </w:tabs>
        <w:spacing w:after="100" w:line="252" w:lineRule="auto"/>
      </w:pPr>
      <w:r/>
      <w:hyperlink w:anchor="tocfinal_ch_41">
        <w:r>
          <w:rPr>
            <w:color w:val="087F83"/>
            <w:rFonts w:ascii="Lato" w:hAnsi="Lato"/>
            <w:sz w:val="19"/>
          </w:rPr>
          <w:t xml:space="preserve">41 | Integrated delivery, owner runbooks and acceptance</w:t>
        </w:r>
      </w:hyperlink>
      <w:r>
        <w:tab/>
      </w:r>
      <w:r>
        <w:fldChar w:fldCharType="begin"/>
      </w:r>
      <w:r>
        <w:instrText xml:space="preserve"> PAGEREF tocfinal_ch_41 \h </w:instrText>
      </w:r>
      <w:r>
        <w:fldChar w:fldCharType="separate"/>
      </w:r>
      <w:r>
        <w:t>85</w:t>
      </w:r>
      <w:r>
        <w:fldChar w:fldCharType="end"/>
      </w:r>
    </w:p>
    <w:p>
      <w:pPr>
        <w:pStyle w:val="ContentsEntry"/>
        <w:keepNext w:val="0"/>
        <w:tabs>
          <w:tab w:pos="9831" w:val="right" w:leader="dot"/>
        </w:tabs>
        <w:spacing w:after="100" w:line="252" w:lineRule="auto"/>
      </w:pPr>
      <w:r/>
      <w:hyperlink w:anchor="tocfinal_ch_42">
        <w:r>
          <w:rPr>
            <w:color w:val="087F83"/>
            <w:rFonts w:ascii="Lato" w:hAnsi="Lato"/>
            <w:sz w:val="19"/>
          </w:rPr>
          <w:t xml:space="preserve">42 | Completeness, applicability and gap-closure contract</w:t>
        </w:r>
      </w:hyperlink>
      <w:r>
        <w:tab/>
      </w:r>
      <w:r>
        <w:fldChar w:fldCharType="begin"/>
      </w:r>
      <w:r>
        <w:instrText xml:space="preserve"> PAGEREF tocfinal_ch_42 \h </w:instrText>
      </w:r>
      <w:r>
        <w:fldChar w:fldCharType="separate"/>
      </w:r>
      <w:r>
        <w:t>87</w:t>
      </w:r>
      <w:r>
        <w:fldChar w:fldCharType="end"/>
      </w:r>
    </w:p>
    <w:p>
      <w:pPr>
        <w:pStyle w:val="ContentsEntry"/>
        <w:keepNext w:val="0"/>
        <w:tabs>
          <w:tab w:pos="9831" w:val="right" w:leader="dot"/>
        </w:tabs>
        <w:spacing w:after="100" w:line="252" w:lineRule="auto"/>
      </w:pPr>
      <w:r/>
      <w:hyperlink w:anchor="tocfinal_ch_43">
        <w:r>
          <w:rPr>
            <w:color w:val="087F83"/>
            <w:rFonts w:ascii="Lato" w:hAnsi="Lato"/>
            <w:sz w:val="19"/>
          </w:rPr>
          <w:t xml:space="preserve">43 | Marketing strategy, offers and growth planning</w:t>
        </w:r>
      </w:hyperlink>
      <w:r>
        <w:tab/>
      </w:r>
      <w:r>
        <w:fldChar w:fldCharType="begin"/>
      </w:r>
      <w:r>
        <w:instrText xml:space="preserve"> PAGEREF tocfinal_ch_43 \h </w:instrText>
      </w:r>
      <w:r>
        <w:fldChar w:fldCharType="separate"/>
      </w:r>
      <w:r>
        <w:t>89</w:t>
      </w:r>
      <w:r>
        <w:fldChar w:fldCharType="end"/>
      </w:r>
    </w:p>
    <w:p>
      <w:pPr>
        <w:pStyle w:val="ContentsEntry"/>
        <w:keepNext w:val="0"/>
        <w:tabs>
          <w:tab w:pos="9831" w:val="right" w:leader="dot"/>
        </w:tabs>
        <w:spacing w:after="100" w:line="252" w:lineRule="auto"/>
      </w:pPr>
      <w:r/>
      <w:hyperlink w:anchor="tocfinal_ch_44">
        <w:r>
          <w:rPr>
            <w:color w:val="087F83"/>
            <w:rFonts w:ascii="Lato" w:hAnsi="Lato"/>
            <w:sz w:val="19"/>
          </w:rPr>
          <w:t xml:space="preserve">44 | Advanced owner CMS, collections and editing safety</w:t>
        </w:r>
      </w:hyperlink>
      <w:r>
        <w:tab/>
      </w:r>
      <w:r>
        <w:fldChar w:fldCharType="begin"/>
      </w:r>
      <w:r>
        <w:instrText xml:space="preserve"> PAGEREF tocfinal_ch_44 \h </w:instrText>
      </w:r>
      <w:r>
        <w:fldChar w:fldCharType="separate"/>
      </w:r>
      <w:r>
        <w:t>91</w:t>
      </w:r>
      <w:r>
        <w:fldChar w:fldCharType="end"/>
      </w:r>
    </w:p>
    <w:p>
      <w:pPr>
        <w:pStyle w:val="ContentsEntry"/>
        <w:keepNext w:val="0"/>
        <w:tabs>
          <w:tab w:pos="9831" w:val="right" w:leader="dot"/>
        </w:tabs>
        <w:spacing w:after="100" w:line="252" w:lineRule="auto"/>
      </w:pPr>
      <w:r/>
      <w:hyperlink w:anchor="tocfinal_ch_45">
        <w:r>
          <w:rPr>
            <w:color w:val="087F83"/>
            <w:rFonts w:ascii="Lato" w:hAnsi="Lato"/>
            <w:sz w:val="19"/>
          </w:rPr>
          <w:t xml:space="preserve">45 | Visual marketing automation and durable workflow execution</w:t>
        </w:r>
      </w:hyperlink>
      <w:r>
        <w:tab/>
      </w:r>
      <w:r>
        <w:fldChar w:fldCharType="begin"/>
      </w:r>
      <w:r>
        <w:instrText xml:space="preserve"> PAGEREF tocfinal_ch_45 \h </w:instrText>
      </w:r>
      <w:r>
        <w:fldChar w:fldCharType="separate"/>
      </w:r>
      <w:r>
        <w:t>93</w:t>
      </w:r>
      <w:r>
        <w:fldChar w:fldCharType="end"/>
      </w:r>
    </w:p>
    <w:p>
      <w:pPr>
        <w:pStyle w:val="ContentsEntry"/>
        <w:keepNext w:val="0"/>
        <w:tabs>
          <w:tab w:pos="9831" w:val="right" w:leader="dot"/>
        </w:tabs>
        <w:spacing w:after="100" w:line="252" w:lineRule="auto"/>
      </w:pPr>
      <w:r/>
      <w:hyperlink w:anchor="tocfinal_ch_46">
        <w:r>
          <w:rPr>
            <w:color w:val="087F83"/>
            <w:rFonts w:ascii="Lato" w:hAnsi="Lato"/>
            <w:sz w:val="19"/>
          </w:rPr>
          <w:t xml:space="preserve">46 | Lead scoring, segments and responsible personalization</w:t>
        </w:r>
      </w:hyperlink>
      <w:r>
        <w:tab/>
      </w:r>
      <w:r>
        <w:fldChar w:fldCharType="begin"/>
      </w:r>
      <w:r>
        <w:instrText xml:space="preserve"> PAGEREF tocfinal_ch_46 \h </w:instrText>
      </w:r>
      <w:r>
        <w:fldChar w:fldCharType="separate"/>
      </w:r>
      <w:r>
        <w:t>95</w:t>
      </w:r>
      <w:r>
        <w:fldChar w:fldCharType="end"/>
      </w:r>
    </w:p>
    <w:p>
      <w:pPr>
        <w:pStyle w:val="ContentsEntry"/>
        <w:keepNext w:val="0"/>
        <w:tabs>
          <w:tab w:pos="9831" w:val="right" w:leader="dot"/>
        </w:tabs>
        <w:spacing w:after="100" w:line="252" w:lineRule="auto"/>
      </w:pPr>
      <w:r/>
      <w:hyperlink w:anchor="tocfinal_ch_47">
        <w:r>
          <w:rPr>
            <w:color w:val="087F83"/>
            <w:rFonts w:ascii="Lato" w:hAnsi="Lato"/>
            <w:sz w:val="19"/>
          </w:rPr>
          <w:t xml:space="preserve">47 | Email authentication, deliverability and subscription operations</w:t>
        </w:r>
      </w:hyperlink>
      <w:r>
        <w:tab/>
      </w:r>
      <w:r>
        <w:fldChar w:fldCharType="begin"/>
      </w:r>
      <w:r>
        <w:instrText xml:space="preserve"> PAGEREF tocfinal_ch_47 \h </w:instrText>
      </w:r>
      <w:r>
        <w:fldChar w:fldCharType="separate"/>
      </w:r>
      <w:r>
        <w:t>97</w:t>
      </w:r>
      <w:r>
        <w:fldChar w:fldCharType="end"/>
      </w:r>
    </w:p>
    <w:p>
      <w:pPr>
        <w:pStyle w:val="ContentsEntry"/>
        <w:keepNext w:val="0"/>
        <w:tabs>
          <w:tab w:pos="9831" w:val="right" w:leader="dot"/>
        </w:tabs>
        <w:spacing w:after="100" w:line="252" w:lineRule="auto"/>
      </w:pPr>
      <w:r/>
      <w:hyperlink w:anchor="tocfinal_ch_48">
        <w:r>
          <w:rPr>
            <w:color w:val="087F83"/>
            <w:rFonts w:ascii="Lato" w:hAnsi="Lato"/>
            <w:sz w:val="19"/>
          </w:rPr>
          <w:t xml:space="preserve">48 | Omnichannel inbox, calls and offline acquisition</w:t>
        </w:r>
      </w:hyperlink>
      <w:r>
        <w:tab/>
      </w:r>
      <w:r>
        <w:fldChar w:fldCharType="begin"/>
      </w:r>
      <w:r>
        <w:instrText xml:space="preserve"> PAGEREF tocfinal_ch_48 \h </w:instrText>
      </w:r>
      <w:r>
        <w:fldChar w:fldCharType="separate"/>
      </w:r>
      <w:r>
        <w:t>99</w:t>
      </w:r>
      <w:r>
        <w:fldChar w:fldCharType="end"/>
      </w:r>
    </w:p>
    <w:p>
      <w:pPr>
        <w:pStyle w:val="Heading1"/>
        <w:keepNext/>
      </w:pPr>
      <w:r>
        <w:t>Contents | continued</w:t>
      </w:r>
      <w:bookmarkStart w:id="648" w:name="final_Contents___continued_648"/>
      <w:bookmarkEnd w:id="648"/>
    </w:p>
    <w:p>
      <w:pPr>
        <w:pStyle w:val="SmallNote"/>
      </w:pPr>
      <w:r>
        <w:t>Select an entry to jump to the section. Page references are Word fields; update fields after editing.</w:t>
      </w:r>
    </w:p>
    <w:p>
      <w:pPr>
        <w:pStyle w:val="ContentsEntry"/>
        <w:keepNext w:val="0"/>
        <w:tabs>
          <w:tab w:pos="9831" w:val="right" w:leader="dot"/>
        </w:tabs>
        <w:spacing w:after="100" w:line="252" w:lineRule="auto"/>
      </w:pPr>
      <w:r/>
      <w:hyperlink w:anchor="tocfinal_ch_49">
        <w:r>
          <w:rPr>
            <w:color w:val="087F83"/>
            <w:rFonts w:ascii="Lato" w:hAnsi="Lato"/>
            <w:sz w:val="19"/>
          </w:rPr>
          <w:t xml:space="preserve">49 | SEO strategy, editorial quality, local discovery and reputation</w:t>
        </w:r>
      </w:hyperlink>
      <w:r>
        <w:tab/>
      </w:r>
      <w:r>
        <w:fldChar w:fldCharType="begin"/>
      </w:r>
      <w:r>
        <w:instrText xml:space="preserve"> PAGEREF tocfinal_ch_49 \h </w:instrText>
      </w:r>
      <w:r>
        <w:fldChar w:fldCharType="separate"/>
      </w:r>
      <w:r>
        <w:t>101</w:t>
      </w:r>
      <w:r>
        <w:fldChar w:fldCharType="end"/>
      </w:r>
    </w:p>
    <w:p>
      <w:pPr>
        <w:pStyle w:val="ContentsEntry"/>
        <w:keepNext w:val="0"/>
        <w:tabs>
          <w:tab w:pos="9831" w:val="right" w:leader="dot"/>
        </w:tabs>
        <w:spacing w:after="100" w:line="252" w:lineRule="auto"/>
      </w:pPr>
      <w:r/>
      <w:hyperlink w:anchor="tocfinal_ch_50">
        <w:r>
          <w:rPr>
            <w:color w:val="087F83"/>
            <w:rFonts w:ascii="Lato" w:hAnsi="Lato"/>
            <w:sz w:val="19"/>
          </w:rPr>
          <w:t xml:space="preserve">50 | Technical SEO, crawl control and search-surface engineering</w:t>
        </w:r>
      </w:hyperlink>
      <w:r>
        <w:tab/>
      </w:r>
      <w:r>
        <w:fldChar w:fldCharType="begin"/>
      </w:r>
      <w:r>
        <w:instrText xml:space="preserve"> PAGEREF tocfinal_ch_50 \h </w:instrText>
      </w:r>
      <w:r>
        <w:fldChar w:fldCharType="separate"/>
      </w:r>
      <w:r>
        <w:t>103</w:t>
      </w:r>
      <w:r>
        <w:fldChar w:fldCharType="end"/>
      </w:r>
    </w:p>
    <w:p>
      <w:pPr>
        <w:pStyle w:val="ContentsEntry"/>
        <w:keepNext w:val="0"/>
        <w:tabs>
          <w:tab w:pos="9831" w:val="right" w:leader="dot"/>
        </w:tabs>
        <w:spacing w:after="100" w:line="252" w:lineRule="auto"/>
      </w:pPr>
      <w:r/>
      <w:hyperlink w:anchor="tocfinal_ch_51">
        <w:r>
          <w:rPr>
            <w:color w:val="087F83"/>
            <w:rFonts w:ascii="Lato" w:hAnsi="Lato"/>
            <w:sz w:val="19"/>
          </w:rPr>
          <w:t xml:space="preserve">51 | Google Ads operating specification and website integration</w:t>
        </w:r>
      </w:hyperlink>
      <w:r>
        <w:tab/>
      </w:r>
      <w:r>
        <w:fldChar w:fldCharType="begin"/>
      </w:r>
      <w:r>
        <w:instrText xml:space="preserve"> PAGEREF tocfinal_ch_51 \h </w:instrText>
      </w:r>
      <w:r>
        <w:fldChar w:fldCharType="separate"/>
      </w:r>
      <w:r>
        <w:t>105</w:t>
      </w:r>
      <w:r>
        <w:fldChar w:fldCharType="end"/>
      </w:r>
    </w:p>
    <w:p>
      <w:pPr>
        <w:pStyle w:val="ContentsEntry"/>
        <w:keepNext w:val="0"/>
        <w:tabs>
          <w:tab w:pos="9831" w:val="right" w:leader="dot"/>
        </w:tabs>
        <w:spacing w:after="100" w:line="252" w:lineRule="auto"/>
      </w:pPr>
      <w:r/>
      <w:hyperlink w:anchor="tocfinal_ch_52">
        <w:r>
          <w:rPr>
            <w:color w:val="087F83"/>
            <w:rFonts w:ascii="Lato" w:hAnsi="Lato"/>
            <w:sz w:val="19"/>
          </w:rPr>
          <w:t xml:space="preserve">52 | Meta Ads operating specification and conversion quality</w:t>
        </w:r>
      </w:hyperlink>
      <w:r>
        <w:tab/>
      </w:r>
      <w:r>
        <w:fldChar w:fldCharType="begin"/>
      </w:r>
      <w:r>
        <w:instrText xml:space="preserve"> PAGEREF tocfinal_ch_52 \h </w:instrText>
      </w:r>
      <w:r>
        <w:fldChar w:fldCharType="separate"/>
      </w:r>
      <w:r>
        <w:t>108</w:t>
      </w:r>
      <w:r>
        <w:fldChar w:fldCharType="end"/>
      </w:r>
    </w:p>
    <w:p>
      <w:pPr>
        <w:pStyle w:val="ContentsEntry"/>
        <w:keepNext w:val="0"/>
        <w:tabs>
          <w:tab w:pos="9831" w:val="right" w:leader="dot"/>
        </w:tabs>
        <w:spacing w:after="100" w:line="252" w:lineRule="auto"/>
      </w:pPr>
      <w:r/>
      <w:hyperlink w:anchor="tocfinal_ch_53">
        <w:r>
          <w:rPr>
            <w:color w:val="087F83"/>
            <w:rFonts w:ascii="Lato" w:hAnsi="Lato"/>
            <w:sz w:val="19"/>
          </w:rPr>
          <w:t xml:space="preserve">53 | Audience lifecycle, remarketing and paid-media control boundaries</w:t>
        </w:r>
      </w:hyperlink>
      <w:r>
        <w:tab/>
      </w:r>
      <w:r>
        <w:fldChar w:fldCharType="begin"/>
      </w:r>
      <w:r>
        <w:instrText xml:space="preserve"> PAGEREF tocfinal_ch_53 \h </w:instrText>
      </w:r>
      <w:r>
        <w:fldChar w:fldCharType="separate"/>
      </w:r>
      <w:r>
        <w:t>110</w:t>
      </w:r>
      <w:r>
        <w:fldChar w:fldCharType="end"/>
      </w:r>
    </w:p>
    <w:p>
      <w:pPr>
        <w:pStyle w:val="ContentsEntry"/>
        <w:keepNext w:val="0"/>
        <w:tabs>
          <w:tab w:pos="9831" w:val="right" w:leader="dot"/>
        </w:tabs>
        <w:spacing w:after="100" w:line="252" w:lineRule="auto"/>
      </w:pPr>
      <w:r/>
      <w:hyperlink w:anchor="tocfinal_ch_54">
        <w:r>
          <w:rPr>
            <w:color w:val="087F83"/>
            <w:rFonts w:ascii="Lato" w:hAnsi="Lato"/>
            <w:sz w:val="19"/>
          </w:rPr>
          <w:t xml:space="preserve">54 | Product catalogues, feeds and transaction growth</w:t>
        </w:r>
      </w:hyperlink>
      <w:r>
        <w:tab/>
      </w:r>
      <w:r>
        <w:fldChar w:fldCharType="begin"/>
      </w:r>
      <w:r>
        <w:instrText xml:space="preserve"> PAGEREF tocfinal_ch_54 \h </w:instrText>
      </w:r>
      <w:r>
        <w:fldChar w:fldCharType="separate"/>
      </w:r>
      <w:r>
        <w:t>112</w:t>
      </w:r>
      <w:r>
        <w:fldChar w:fldCharType="end"/>
      </w:r>
    </w:p>
    <w:p>
      <w:pPr>
        <w:pStyle w:val="ContentsEntry"/>
        <w:keepNext w:val="0"/>
        <w:tabs>
          <w:tab w:pos="9831" w:val="right" w:leader="dot"/>
        </w:tabs>
        <w:spacing w:after="100" w:line="252" w:lineRule="auto"/>
      </w:pPr>
      <w:r/>
      <w:hyperlink w:anchor="tocfinal_ch_55">
        <w:r>
          <w:rPr>
            <w:color w:val="087F83"/>
            <w:rFonts w:ascii="Lato" w:hAnsi="Lato"/>
            <w:sz w:val="19"/>
          </w:rPr>
          <w:t xml:space="preserve">55 | Reporting, warehouse, attribution and incrementality</w:t>
        </w:r>
      </w:hyperlink>
      <w:r>
        <w:tab/>
      </w:r>
      <w:r>
        <w:fldChar w:fldCharType="begin"/>
      </w:r>
      <w:r>
        <w:instrText xml:space="preserve"> PAGEREF tocfinal_ch_55 \h </w:instrText>
      </w:r>
      <w:r>
        <w:fldChar w:fldCharType="separate"/>
      </w:r>
      <w:r>
        <w:t>114</w:t>
      </w:r>
      <w:r>
        <w:fldChar w:fldCharType="end"/>
      </w:r>
    </w:p>
    <w:p>
      <w:pPr>
        <w:pStyle w:val="ContentsEntry"/>
        <w:keepNext w:val="0"/>
        <w:tabs>
          <w:tab w:pos="9831" w:val="right" w:leader="dot"/>
        </w:tabs>
        <w:spacing w:after="100" w:line="252" w:lineRule="auto"/>
      </w:pPr>
      <w:r/>
      <w:hyperlink w:anchor="tocfinal_ch_56">
        <w:r>
          <w:rPr>
            <w:color w:val="087F83"/>
            <w:rFonts w:ascii="Lato" w:hAnsi="Lato"/>
            <w:sz w:val="19"/>
          </w:rPr>
          <w:t xml:space="preserve">56 | Conversion optimization, research and interactive growth tools</w:t>
        </w:r>
      </w:hyperlink>
      <w:r>
        <w:tab/>
      </w:r>
      <w:r>
        <w:fldChar w:fldCharType="begin"/>
      </w:r>
      <w:r>
        <w:instrText xml:space="preserve"> PAGEREF tocfinal_ch_56 \h </w:instrText>
      </w:r>
      <w:r>
        <w:fldChar w:fldCharType="separate"/>
      </w:r>
      <w:r>
        <w:t>116</w:t>
      </w:r>
      <w:r>
        <w:fldChar w:fldCharType="end"/>
      </w:r>
    </w:p>
    <w:p>
      <w:pPr>
        <w:pStyle w:val="ContentsEntry"/>
        <w:keepNext w:val="0"/>
        <w:tabs>
          <w:tab w:pos="9831" w:val="right" w:leader="dot"/>
        </w:tabs>
        <w:spacing w:after="100" w:line="252" w:lineRule="auto"/>
      </w:pPr>
      <w:r/>
      <w:hyperlink w:anchor="tocfinal_ch_57">
        <w:r>
          <w:rPr>
            <w:color w:val="087F83"/>
            <w:rFonts w:ascii="Lato" w:hAnsi="Lato"/>
            <w:sz w:val="19"/>
          </w:rPr>
          <w:t xml:space="preserve">57 | Domain, DNS, TLS and account continuity</w:t>
        </w:r>
      </w:hyperlink>
      <w:r>
        <w:tab/>
      </w:r>
      <w:r>
        <w:fldChar w:fldCharType="begin"/>
      </w:r>
      <w:r>
        <w:instrText xml:space="preserve"> PAGEREF tocfinal_ch_57 \h </w:instrText>
      </w:r>
      <w:r>
        <w:fldChar w:fldCharType="separate"/>
      </w:r>
      <w:r>
        <w:t>118</w:t>
      </w:r>
      <w:r>
        <w:fldChar w:fldCharType="end"/>
      </w:r>
    </w:p>
    <w:p>
      <w:pPr>
        <w:pStyle w:val="ContentsEntry"/>
        <w:keepNext w:val="0"/>
        <w:tabs>
          <w:tab w:pos="9831" w:val="right" w:leader="dot"/>
        </w:tabs>
        <w:spacing w:after="100" w:line="252" w:lineRule="auto"/>
      </w:pPr>
      <w:r/>
      <w:hyperlink w:anchor="tocfinal_ch_58">
        <w:r>
          <w:rPr>
            <w:color w:val="087F83"/>
            <w:rFonts w:ascii="Lato" w:hAnsi="Lato"/>
            <w:sz w:val="19"/>
          </w:rPr>
          <w:t xml:space="preserve">58 | Security, identity, supply chain and abuse resistance</w:t>
        </w:r>
      </w:hyperlink>
      <w:r>
        <w:tab/>
      </w:r>
      <w:r>
        <w:fldChar w:fldCharType="begin"/>
      </w:r>
      <w:r>
        <w:instrText xml:space="preserve"> PAGEREF tocfinal_ch_58 \h </w:instrText>
      </w:r>
      <w:r>
        <w:fldChar w:fldCharType="separate"/>
      </w:r>
      <w:r>
        <w:t>120</w:t>
      </w:r>
      <w:r>
        <w:fldChar w:fldCharType="end"/>
      </w:r>
    </w:p>
    <w:p>
      <w:pPr>
        <w:pStyle w:val="ContentsEntry"/>
        <w:keepNext w:val="0"/>
        <w:tabs>
          <w:tab w:pos="9831" w:val="right" w:leader="dot"/>
        </w:tabs>
        <w:spacing w:after="100" w:line="252" w:lineRule="auto"/>
      </w:pPr>
      <w:r/>
      <w:hyperlink w:anchor="tocfinal_ch_59">
        <w:r>
          <w:rPr>
            <w:color w:val="087F83"/>
            <w:rFonts w:ascii="Lato" w:hAnsi="Lato"/>
            <w:sz w:val="19"/>
          </w:rPr>
          <w:t xml:space="preserve">59 | Privacy policy engine, rights and jurisdictional controls</w:t>
        </w:r>
      </w:hyperlink>
      <w:r>
        <w:tab/>
      </w:r>
      <w:r>
        <w:fldChar w:fldCharType="begin"/>
      </w:r>
      <w:r>
        <w:instrText xml:space="preserve"> PAGEREF tocfinal_ch_59 \h </w:instrText>
      </w:r>
      <w:r>
        <w:fldChar w:fldCharType="separate"/>
      </w:r>
      <w:r>
        <w:t>122</w:t>
      </w:r>
      <w:r>
        <w:fldChar w:fldCharType="end"/>
      </w:r>
    </w:p>
    <w:p>
      <w:pPr>
        <w:pStyle w:val="ContentsEntry"/>
        <w:keepNext w:val="0"/>
        <w:tabs>
          <w:tab w:pos="9831" w:val="right" w:leader="dot"/>
        </w:tabs>
        <w:spacing w:after="100" w:line="252" w:lineRule="auto"/>
      </w:pPr>
      <w:r/>
      <w:hyperlink w:anchor="tocfinal_ch_60">
        <w:r>
          <w:rPr>
            <w:color w:val="087F83"/>
            <w:rFonts w:ascii="Lato" w:hAnsi="Lato"/>
            <w:sz w:val="19"/>
          </w:rPr>
          <w:t xml:space="preserve">60 | Reliability, database operations, DevOps and cost control</w:t>
        </w:r>
      </w:hyperlink>
      <w:r>
        <w:tab/>
      </w:r>
      <w:r>
        <w:fldChar w:fldCharType="begin"/>
      </w:r>
      <w:r>
        <w:instrText xml:space="preserve"> PAGEREF tocfinal_ch_60 \h </w:instrText>
      </w:r>
      <w:r>
        <w:fldChar w:fldCharType="separate"/>
      </w:r>
      <w:r>
        <w:t>124</w:t>
      </w:r>
      <w:r>
        <w:fldChar w:fldCharType="end"/>
      </w:r>
    </w:p>
    <w:p>
      <w:pPr>
        <w:pStyle w:val="ContentsEntry"/>
        <w:keepNext w:val="0"/>
        <w:tabs>
          <w:tab w:pos="9831" w:val="right" w:leader="dot"/>
        </w:tabs>
        <w:spacing w:after="100" w:line="252" w:lineRule="auto"/>
      </w:pPr>
      <w:r/>
      <w:hyperlink w:anchor="tocfinal_ch_61">
        <w:r>
          <w:rPr>
            <w:color w:val="087F83"/>
            <w:rFonts w:ascii="Lato" w:hAnsi="Lato"/>
            <w:sz w:val="19"/>
          </w:rPr>
          <w:t xml:space="preserve">61 | Conditional business and industry capability catalogue</w:t>
        </w:r>
      </w:hyperlink>
      <w:r>
        <w:tab/>
      </w:r>
      <w:r>
        <w:fldChar w:fldCharType="begin"/>
      </w:r>
      <w:r>
        <w:instrText xml:space="preserve"> PAGEREF tocfinal_ch_61 \h </w:instrText>
      </w:r>
      <w:r>
        <w:fldChar w:fldCharType="separate"/>
      </w:r>
      <w:r>
        <w:t>126</w:t>
      </w:r>
      <w:r>
        <w:fldChar w:fldCharType="end"/>
      </w:r>
    </w:p>
    <w:p>
      <w:pPr>
        <w:pStyle w:val="ContentsEntry"/>
        <w:keepNext w:val="0"/>
        <w:tabs>
          <w:tab w:pos="9831" w:val="right" w:leader="dot"/>
        </w:tabs>
        <w:spacing w:after="100" w:line="252" w:lineRule="auto"/>
      </w:pPr>
      <w:r/>
      <w:hyperlink w:anchor="tocfinal_ch_62">
        <w:r>
          <w:rPr>
            <w:color w:val="087F83"/>
            <w:rFonts w:ascii="Lato" w:hAnsi="Lato"/>
            <w:sz w:val="19"/>
          </w:rPr>
          <w:t xml:space="preserve">62 | Extensibility, multisite, interoperability and portability</w:t>
        </w:r>
      </w:hyperlink>
      <w:r>
        <w:tab/>
      </w:r>
      <w:r>
        <w:fldChar w:fldCharType="begin"/>
      </w:r>
      <w:r>
        <w:instrText xml:space="preserve"> PAGEREF tocfinal_ch_62 \h </w:instrText>
      </w:r>
      <w:r>
        <w:fldChar w:fldCharType="separate"/>
      </w:r>
      <w:r>
        <w:t>129</w:t>
      </w:r>
      <w:r>
        <w:fldChar w:fldCharType="end"/>
      </w:r>
    </w:p>
    <w:p>
      <w:pPr>
        <w:pStyle w:val="ContentsEntry"/>
        <w:keepNext w:val="0"/>
        <w:tabs>
          <w:tab w:pos="9831" w:val="right" w:leader="dot"/>
        </w:tabs>
        <w:spacing w:after="100" w:line="252" w:lineRule="auto"/>
      </w:pPr>
      <w:r/>
      <w:hyperlink w:anchor="tocfinal_ch_63">
        <w:r>
          <w:rPr>
            <w:color w:val="087F83"/>
            <w:rFonts w:ascii="Lato" w:hAnsi="Lato"/>
            <w:sz w:val="19"/>
          </w:rPr>
          <w:t xml:space="preserve">63 | Integrated frontend, backend, database and delivery work packages</w:t>
        </w:r>
      </w:hyperlink>
      <w:r>
        <w:tab/>
      </w:r>
      <w:r>
        <w:fldChar w:fldCharType="begin"/>
      </w:r>
      <w:r>
        <w:instrText xml:space="preserve"> PAGEREF tocfinal_ch_63 \h </w:instrText>
      </w:r>
      <w:r>
        <w:fldChar w:fldCharType="separate"/>
      </w:r>
      <w:r>
        <w:t>131</w:t>
      </w:r>
      <w:r>
        <w:fldChar w:fldCharType="end"/>
      </w:r>
    </w:p>
    <w:p>
      <w:pPr>
        <w:pStyle w:val="ContentsEntry"/>
        <w:keepNext w:val="0"/>
        <w:tabs>
          <w:tab w:pos="9831" w:val="right" w:leader="dot"/>
        </w:tabs>
        <w:spacing w:after="100" w:line="252" w:lineRule="auto"/>
      </w:pPr>
      <w:r/>
      <w:hyperlink w:anchor="tocfinal_ch_64">
        <w:r>
          <w:rPr>
            <w:color w:val="087F83"/>
            <w:rFonts w:ascii="Lato" w:hAnsi="Lato"/>
            <w:sz w:val="19"/>
          </w:rPr>
          <w:t xml:space="preserve">64 | Master testing, acceptance and release evidence</w:t>
        </w:r>
      </w:hyperlink>
      <w:r>
        <w:tab/>
      </w:r>
      <w:r>
        <w:fldChar w:fldCharType="begin"/>
      </w:r>
      <w:r>
        <w:instrText xml:space="preserve"> PAGEREF tocfinal_ch_64 \h </w:instrText>
      </w:r>
      <w:r>
        <w:fldChar w:fldCharType="separate"/>
      </w:r>
      <w:r>
        <w:t>134</w:t>
      </w:r>
      <w:r>
        <w:fldChar w:fldCharType="end"/>
      </w:r>
    </w:p>
    <w:p>
      <w:pPr>
        <w:pStyle w:val="ContentsEntry"/>
        <w:keepNext w:val="0"/>
        <w:tabs>
          <w:tab w:pos="9831" w:val="right" w:leader="dot"/>
        </w:tabs>
        <w:spacing w:after="100" w:line="252" w:lineRule="auto"/>
      </w:pPr>
      <w:r/>
      <w:hyperlink w:anchor="tocfinal_ch_65">
        <w:r>
          <w:rPr>
            <w:color w:val="087F83"/>
            <w:rFonts w:ascii="Lato" w:hAnsi="Lato"/>
            <w:sz w:val="19"/>
          </w:rPr>
          <w:t xml:space="preserve">65 | Delivery governance, operating calendar and living standard</w:t>
        </w:r>
      </w:hyperlink>
      <w:r>
        <w:tab/>
      </w:r>
      <w:r>
        <w:fldChar w:fldCharType="begin"/>
      </w:r>
      <w:r>
        <w:instrText xml:space="preserve"> PAGEREF tocfinal_ch_65 \h </w:instrText>
      </w:r>
      <w:r>
        <w:fldChar w:fldCharType="separate"/>
      </w:r>
      <w:r>
        <w:t>136</w:t>
      </w:r>
      <w:r>
        <w:fldChar w:fldCharType="end"/>
      </w:r>
    </w:p>
    <w:p>
      <w:pPr>
        <w:pStyle w:val="ContentsEntry"/>
        <w:keepNext w:val="0"/>
        <w:tabs>
          <w:tab w:pos="9831" w:val="right" w:leader="dot"/>
        </w:tabs>
        <w:spacing w:after="100" w:line="252" w:lineRule="auto"/>
      </w:pPr>
      <w:r/>
      <w:hyperlink w:anchor="tocfinal_ch_66">
        <w:r>
          <w:rPr>
            <w:color w:val="087F83"/>
            <w:rFonts w:ascii="Lato" w:hAnsi="Lato"/>
            <w:sz w:val="19"/>
          </w:rPr>
          <w:t xml:space="preserve">66 | Current search surfaces, AI discovery and platform-change controls</w:t>
        </w:r>
      </w:hyperlink>
      <w:r>
        <w:tab/>
      </w:r>
      <w:r>
        <w:fldChar w:fldCharType="begin"/>
      </w:r>
      <w:r>
        <w:instrText xml:space="preserve"> PAGEREF tocfinal_ch_66 \h </w:instrText>
      </w:r>
      <w:r>
        <w:fldChar w:fldCharType="separate"/>
      </w:r>
      <w:r>
        <w:t>138</w:t>
      </w:r>
      <w:r>
        <w:fldChar w:fldCharType="end"/>
      </w:r>
    </w:p>
    <w:p>
      <w:pPr>
        <w:pStyle w:val="ContentsEntry"/>
        <w:keepNext w:val="0"/>
        <w:tabs>
          <w:tab w:pos="9831" w:val="right" w:leader="dot"/>
        </w:tabs>
        <w:spacing w:after="100" w:line="252" w:lineRule="auto"/>
      </w:pPr>
      <w:r/>
      <w:hyperlink w:anchor="tocfinal_ch_67">
        <w:r>
          <w:rPr>
            <w:color w:val="087F83"/>
            <w:rFonts w:ascii="Lato" w:hAnsi="Lato"/>
            <w:sz w:val="19"/>
          </w:rPr>
          <w:t xml:space="preserve">67 | Google Ads visibility, bidding economics and operating playbook</w:t>
        </w:r>
      </w:hyperlink>
      <w:r>
        <w:tab/>
      </w:r>
      <w:r>
        <w:fldChar w:fldCharType="begin"/>
      </w:r>
      <w:r>
        <w:instrText xml:space="preserve"> PAGEREF tocfinal_ch_67 \h </w:instrText>
      </w:r>
      <w:r>
        <w:fldChar w:fldCharType="separate"/>
      </w:r>
      <w:r>
        <w:t>140</w:t>
      </w:r>
      <w:r>
        <w:fldChar w:fldCharType="end"/>
      </w:r>
    </w:p>
    <w:p>
      <w:pPr>
        <w:pStyle w:val="ContentsEntry"/>
        <w:keepNext w:val="0"/>
        <w:tabs>
          <w:tab w:pos="9831" w:val="right" w:leader="dot"/>
        </w:tabs>
        <w:spacing w:after="100" w:line="252" w:lineRule="auto"/>
      </w:pPr>
      <w:r/>
      <w:hyperlink w:anchor="tocfinal_ch_68">
        <w:r>
          <w:rPr>
            <w:color w:val="087F83"/>
            <w:rFonts w:ascii="Lato" w:hAnsi="Lato"/>
            <w:sz w:val="19"/>
          </w:rPr>
          <w:t xml:space="preserve">68 | Meta Ads delivery, creative testing and lead-quality operations</w:t>
        </w:r>
      </w:hyperlink>
      <w:r>
        <w:tab/>
      </w:r>
      <w:r>
        <w:fldChar w:fldCharType="begin"/>
      </w:r>
      <w:r>
        <w:instrText xml:space="preserve"> PAGEREF tocfinal_ch_68 \h </w:instrText>
      </w:r>
      <w:r>
        <w:fldChar w:fldCharType="separate"/>
      </w:r>
      <w:r>
        <w:t>142</w:t>
      </w:r>
      <w:r>
        <w:fldChar w:fldCharType="end"/>
      </w:r>
    </w:p>
    <w:p>
      <w:pPr>
        <w:pStyle w:val="ContentsEntry"/>
        <w:keepNext w:val="0"/>
        <w:tabs>
          <w:tab w:pos="9831" w:val="right" w:leader="dot"/>
        </w:tabs>
        <w:spacing w:after="100" w:line="252" w:lineRule="auto"/>
      </w:pPr>
      <w:r/>
      <w:hyperlink w:anchor="tocfinal_ch_69">
        <w:r>
          <w:rPr>
            <w:color w:val="087F83"/>
            <w:rFonts w:ascii="Lato" w:hAnsi="Lato"/>
            <w:sz w:val="19"/>
          </w:rPr>
          <w:t xml:space="preserve">69 | Conversion engineering, SDK controls and destination contracts</w:t>
        </w:r>
      </w:hyperlink>
      <w:r>
        <w:tab/>
      </w:r>
      <w:r>
        <w:fldChar w:fldCharType="begin"/>
      </w:r>
      <w:r>
        <w:instrText xml:space="preserve"> PAGEREF tocfinal_ch_69 \h </w:instrText>
      </w:r>
      <w:r>
        <w:fldChar w:fldCharType="separate"/>
      </w:r>
      <w:r>
        <w:t>144</w:t>
      </w:r>
      <w:r>
        <w:fldChar w:fldCharType="end"/>
      </w:r>
    </w:p>
    <w:p>
      <w:pPr>
        <w:pStyle w:val="ContentsEntry"/>
        <w:keepNext w:val="0"/>
        <w:tabs>
          <w:tab w:pos="9831" w:val="right" w:leader="dot"/>
        </w:tabs>
        <w:spacing w:after="100" w:line="252" w:lineRule="auto"/>
      </w:pPr>
      <w:r/>
      <w:hyperlink w:anchor="tocfinal_ch_70">
        <w:r>
          <w:rPr>
            <w:color w:val="087F83"/>
            <w:rFonts w:ascii="Lato" w:hAnsi="Lato"/>
            <w:sz w:val="19"/>
          </w:rPr>
          <w:t xml:space="preserve">70 | Technical SEO edge cases and operational search reliability</w:t>
        </w:r>
      </w:hyperlink>
      <w:r>
        <w:tab/>
      </w:r>
      <w:r>
        <w:fldChar w:fldCharType="begin"/>
      </w:r>
      <w:r>
        <w:instrText xml:space="preserve"> PAGEREF tocfinal_ch_70 \h </w:instrText>
      </w:r>
      <w:r>
        <w:fldChar w:fldCharType="separate"/>
      </w:r>
      <w:r>
        <w:t>146</w:t>
      </w:r>
      <w:r>
        <w:fldChar w:fldCharType="end"/>
      </w:r>
    </w:p>
    <w:p>
      <w:pPr>
        <w:pStyle w:val="ContentsEntry"/>
        <w:keepNext w:val="0"/>
        <w:tabs>
          <w:tab w:pos="9831" w:val="right" w:leader="dot"/>
        </w:tabs>
        <w:spacing w:after="100" w:line="252" w:lineRule="auto"/>
      </w:pPr>
      <w:r/>
      <w:hyperlink w:anchor="tocfinal_ch_71">
        <w:r>
          <w:rPr>
            <w:color w:val="087F83"/>
            <w:rFonts w:ascii="Lato" w:hAnsi="Lato"/>
            <w:sz w:val="19"/>
          </w:rPr>
          <w:t xml:space="preserve">71 | Full-funnel marketing, distribution and customer lifecycle</w:t>
        </w:r>
      </w:hyperlink>
      <w:r>
        <w:tab/>
      </w:r>
      <w:r>
        <w:fldChar w:fldCharType="begin"/>
      </w:r>
      <w:r>
        <w:instrText xml:space="preserve"> PAGEREF tocfinal_ch_71 \h </w:instrText>
      </w:r>
      <w:r>
        <w:fldChar w:fldCharType="separate"/>
      </w:r>
      <w:r>
        <w:t>148</w:t>
      </w:r>
      <w:r>
        <w:fldChar w:fldCharType="end"/>
      </w:r>
    </w:p>
    <w:p>
      <w:pPr>
        <w:pStyle w:val="ContentsEntry"/>
        <w:keepNext w:val="0"/>
        <w:tabs>
          <w:tab w:pos="9831" w:val="right" w:leader="dot"/>
        </w:tabs>
        <w:spacing w:after="100" w:line="252" w:lineRule="auto"/>
      </w:pPr>
      <w:r/>
      <w:hyperlink w:anchor="tocfinal_ch_72">
        <w:r>
          <w:rPr>
            <w:color w:val="087F83"/>
            <w:rFonts w:ascii="Lato" w:hAnsi="Lato"/>
            <w:sz w:val="19"/>
          </w:rPr>
          <w:t xml:space="preserve">72 | Browser lifecycle, tracking accuracy and consent edge cases</w:t>
        </w:r>
      </w:hyperlink>
      <w:r>
        <w:tab/>
      </w:r>
      <w:r>
        <w:fldChar w:fldCharType="begin"/>
      </w:r>
      <w:r>
        <w:instrText xml:space="preserve"> PAGEREF tocfinal_ch_72 \h </w:instrText>
      </w:r>
      <w:r>
        <w:fldChar w:fldCharType="separate"/>
      </w:r>
      <w:r>
        <w:t>150</w:t>
      </w:r>
      <w:r>
        <w:fldChar w:fldCharType="end"/>
      </w:r>
    </w:p>
    <w:p>
      <w:pPr>
        <w:pStyle w:val="Heading1"/>
        <w:keepNext/>
      </w:pPr>
      <w:r>
        <w:t>Contents | continued</w:t>
      </w:r>
      <w:bookmarkStart w:id="649" w:name="final_Contents___continued_649"/>
      <w:bookmarkEnd w:id="649"/>
    </w:p>
    <w:p>
      <w:pPr>
        <w:pStyle w:val="SmallNote"/>
      </w:pPr>
      <w:r>
        <w:t>Select an entry to jump to the section. Page references are Word fields; update fields after editing.</w:t>
      </w:r>
    </w:p>
    <w:p>
      <w:pPr>
        <w:pStyle w:val="ContentsEntry"/>
        <w:keepNext w:val="0"/>
        <w:tabs>
          <w:tab w:pos="9831" w:val="right" w:leader="dot"/>
        </w:tabs>
        <w:spacing w:after="100" w:line="252" w:lineRule="auto"/>
      </w:pPr>
      <w:r/>
      <w:hyperlink w:anchor="tocfinal_ch_73">
        <w:r>
          <w:rPr>
            <w:color w:val="087F83"/>
            <w:rFonts w:ascii="Lato" w:hAnsi="Lato"/>
            <w:sz w:val="19"/>
          </w:rPr>
          <w:t xml:space="preserve">73 | Owner, public-experience and content-completeness contract</w:t>
        </w:r>
      </w:hyperlink>
      <w:r>
        <w:tab/>
      </w:r>
      <w:r>
        <w:fldChar w:fldCharType="begin"/>
      </w:r>
      <w:r>
        <w:instrText xml:space="preserve"> PAGEREF tocfinal_ch_73 \h </w:instrText>
      </w:r>
      <w:r>
        <w:fldChar w:fldCharType="separate"/>
      </w:r>
      <w:r>
        <w:t>152</w:t>
      </w:r>
      <w:r>
        <w:fldChar w:fldCharType="end"/>
      </w:r>
    </w:p>
    <w:p>
      <w:pPr>
        <w:pStyle w:val="ContentsEntry"/>
        <w:keepNext w:val="0"/>
        <w:tabs>
          <w:tab w:pos="9831" w:val="right" w:leader="dot"/>
        </w:tabs>
        <w:spacing w:after="100" w:line="252" w:lineRule="auto"/>
      </w:pPr>
      <w:r/>
      <w:hyperlink w:anchor="tocfinal_ch_74">
        <w:r>
          <w:rPr>
            <w:color w:val="087F83"/>
            <w:rFonts w:ascii="Lato" w:hAnsi="Lato"/>
            <w:sz w:val="19"/>
          </w:rPr>
          <w:t xml:space="preserve">74 | Security, data and service-failure completion drills</w:t>
        </w:r>
      </w:hyperlink>
      <w:r>
        <w:tab/>
      </w:r>
      <w:r>
        <w:fldChar w:fldCharType="begin"/>
      </w:r>
      <w:r>
        <w:instrText xml:space="preserve"> PAGEREF tocfinal_ch_74 \h </w:instrText>
      </w:r>
      <w:r>
        <w:fldChar w:fldCharType="separate"/>
      </w:r>
      <w:r>
        <w:t>154</w:t>
      </w:r>
      <w:r>
        <w:fldChar w:fldCharType="end"/>
      </w:r>
    </w:p>
    <w:p>
      <w:pPr>
        <w:pStyle w:val="ContentsEntry"/>
        <w:keepNext w:val="0"/>
        <w:tabs>
          <w:tab w:pos="9831" w:val="right" w:leader="dot"/>
        </w:tabs>
        <w:spacing w:after="100" w:line="252" w:lineRule="auto"/>
      </w:pPr>
      <w:r/>
      <w:hyperlink w:anchor="tocfinal_ch_75">
        <w:r>
          <w:rPr>
            <w:color w:val="087F83"/>
            <w:rFonts w:ascii="Lato" w:hAnsi="Lato"/>
            <w:sz w:val="19"/>
          </w:rPr>
          <w:t xml:space="preserve">75 | Conditional specialist capabilities and complete transaction lifecycles</w:t>
        </w:r>
      </w:hyperlink>
      <w:r>
        <w:tab/>
      </w:r>
      <w:r>
        <w:fldChar w:fldCharType="begin"/>
      </w:r>
      <w:r>
        <w:instrText xml:space="preserve"> PAGEREF tocfinal_ch_75 \h </w:instrText>
      </w:r>
      <w:r>
        <w:fldChar w:fldCharType="separate"/>
      </w:r>
      <w:r>
        <w:t>156</w:t>
      </w:r>
      <w:r>
        <w:fldChar w:fldCharType="end"/>
      </w:r>
    </w:p>
    <w:p>
      <w:pPr>
        <w:pStyle w:val="ContentsEntry"/>
        <w:keepNext w:val="0"/>
        <w:tabs>
          <w:tab w:pos="9831" w:val="right" w:leader="dot"/>
        </w:tabs>
        <w:spacing w:after="100" w:line="252" w:lineRule="auto"/>
      </w:pPr>
      <w:r/>
      <w:hyperlink w:anchor="tocfinal_ch_76">
        <w:r>
          <w:rPr>
            <w:color w:val="087F83"/>
            <w:rFonts w:ascii="Lato" w:hAnsi="Lato"/>
            <w:sz w:val="19"/>
          </w:rPr>
          <w:t xml:space="preserve">76 | Integrated build contracts and the complete owner console</w:t>
        </w:r>
      </w:hyperlink>
      <w:r>
        <w:tab/>
      </w:r>
      <w:r>
        <w:fldChar w:fldCharType="begin"/>
      </w:r>
      <w:r>
        <w:instrText xml:space="preserve"> PAGEREF tocfinal_ch_76 \h </w:instrText>
      </w:r>
      <w:r>
        <w:fldChar w:fldCharType="separate"/>
      </w:r>
      <w:r>
        <w:t>158</w:t>
      </w:r>
      <w:r>
        <w:fldChar w:fldCharType="end"/>
      </w:r>
    </w:p>
    <w:p>
      <w:pPr>
        <w:pStyle w:val="ContentsEntry"/>
        <w:keepNext w:val="0"/>
        <w:tabs>
          <w:tab w:pos="9831" w:val="right" w:leader="dot"/>
        </w:tabs>
        <w:spacing w:after="100" w:line="252" w:lineRule="auto"/>
      </w:pPr>
      <w:r/>
      <w:hyperlink w:anchor="tocfinal_ch_77">
        <w:r>
          <w:rPr>
            <w:color w:val="087F83"/>
            <w:rFonts w:ascii="Lato" w:hAnsi="Lato"/>
            <w:sz w:val="19"/>
          </w:rPr>
          <w:t xml:space="preserve">77 | Paid-traffic launch gates and the first 90 days</w:t>
        </w:r>
      </w:hyperlink>
      <w:r>
        <w:tab/>
      </w:r>
      <w:r>
        <w:fldChar w:fldCharType="begin"/>
      </w:r>
      <w:r>
        <w:instrText xml:space="preserve"> PAGEREF tocfinal_ch_77 \h </w:instrText>
      </w:r>
      <w:r>
        <w:fldChar w:fldCharType="separate"/>
      </w:r>
      <w:r>
        <w:t>160</w:t>
      </w:r>
      <w:r>
        <w:fldChar w:fldCharType="end"/>
      </w:r>
    </w:p>
    <w:p>
      <w:pPr>
        <w:pStyle w:val="ContentsEntry"/>
        <w:keepNext w:val="0"/>
        <w:tabs>
          <w:tab w:pos="9831" w:val="right" w:leader="dot"/>
        </w:tabs>
        <w:spacing w:after="100" w:line="252" w:lineRule="auto"/>
      </w:pPr>
      <w:r/>
      <w:hyperlink w:anchor="tocfinal_ch_78">
        <w:r>
          <w:rPr>
            <w:color w:val="087F83"/>
            <w:rFonts w:ascii="Lato" w:hAnsi="Lato"/>
            <w:sz w:val="19"/>
          </w:rPr>
          <w:t xml:space="preserve">78 | Final consolidated standard and no-silent-omission acceptance</w:t>
        </w:r>
      </w:hyperlink>
      <w:r>
        <w:tab/>
      </w:r>
      <w:r>
        <w:fldChar w:fldCharType="begin"/>
      </w:r>
      <w:r>
        <w:instrText xml:space="preserve"> PAGEREF tocfinal_ch_78 \h </w:instrText>
      </w:r>
      <w:r>
        <w:fldChar w:fldCharType="separate"/>
      </w:r>
      <w:r>
        <w:t>162</w:t>
      </w:r>
      <w:r>
        <w:fldChar w:fldCharType="end"/>
      </w:r>
    </w:p>
    <w:p>
      <w:pPr>
        <w:pStyle w:val="ContentsEntry"/>
        <w:keepNext w:val="0"/>
        <w:tabs>
          <w:tab w:pos="9831" w:val="right" w:leader="dot"/>
        </w:tabs>
        <w:spacing w:after="100" w:line="252" w:lineRule="auto"/>
      </w:pPr>
      <w:r/>
      <w:hyperlink w:anchor="tocfinal_app_A">
        <w:r>
          <w:rPr>
            <w:color w:val="087F83"/>
            <w:rFonts w:ascii="Lato" w:hAnsi="Lato"/>
            <w:sz w:val="19"/>
          </w:rPr>
          <w:t xml:space="preserve">Appendix A | Site brief and activation worksheet</w:t>
        </w:r>
      </w:hyperlink>
      <w:r>
        <w:tab/>
      </w:r>
      <w:r>
        <w:fldChar w:fldCharType="begin"/>
      </w:r>
      <w:r>
        <w:instrText xml:space="preserve"> PAGEREF tocfinal_app_A \h </w:instrText>
      </w:r>
      <w:r>
        <w:fldChar w:fldCharType="separate"/>
      </w:r>
      <w:r>
        <w:t>164</w:t>
      </w:r>
      <w:r>
        <w:fldChar w:fldCharType="end"/>
      </w:r>
    </w:p>
    <w:p>
      <w:pPr>
        <w:pStyle w:val="ContentsEntry"/>
        <w:keepNext w:val="0"/>
        <w:tabs>
          <w:tab w:pos="9831" w:val="right" w:leader="dot"/>
        </w:tabs>
        <w:spacing w:after="100" w:line="252" w:lineRule="auto"/>
      </w:pPr>
      <w:r/>
      <w:hyperlink w:anchor="tocfinal_app_B">
        <w:r>
          <w:rPr>
            <w:color w:val="087F83"/>
            <w:rFonts w:ascii="Lato" w:hAnsi="Lato"/>
            <w:sz w:val="19"/>
          </w:rPr>
          <w:t xml:space="preserve">Appendix B | Requirement traceability and release checklist</w:t>
        </w:r>
      </w:hyperlink>
      <w:r>
        <w:tab/>
      </w:r>
      <w:r>
        <w:fldChar w:fldCharType="begin"/>
      </w:r>
      <w:r>
        <w:instrText xml:space="preserve"> PAGEREF tocfinal_app_B \h </w:instrText>
      </w:r>
      <w:r>
        <w:fldChar w:fldCharType="separate"/>
      </w:r>
      <w:r>
        <w:t>166</w:t>
      </w:r>
      <w:r>
        <w:fldChar w:fldCharType="end"/>
      </w:r>
    </w:p>
    <w:p>
      <w:pPr>
        <w:pStyle w:val="ContentsEntry"/>
        <w:keepNext w:val="0"/>
        <w:tabs>
          <w:tab w:pos="9831" w:val="right" w:leader="dot"/>
        </w:tabs>
        <w:spacing w:after="100" w:line="252" w:lineRule="auto"/>
      </w:pPr>
      <w:r/>
      <w:hyperlink w:anchor="tocfinal_app_C">
        <w:r>
          <w:rPr>
            <w:color w:val="087F83"/>
            <w:rFonts w:ascii="Lato" w:hAnsi="Lato"/>
            <w:sz w:val="19"/>
          </w:rPr>
          <w:t xml:space="preserve">Appendix C | Data relationships and implementation contracts</w:t>
        </w:r>
      </w:hyperlink>
      <w:r>
        <w:tab/>
      </w:r>
      <w:r>
        <w:fldChar w:fldCharType="begin"/>
      </w:r>
      <w:r>
        <w:instrText xml:space="preserve"> PAGEREF tocfinal_app_C \h </w:instrText>
      </w:r>
      <w:r>
        <w:fldChar w:fldCharType="separate"/>
      </w:r>
      <w:r>
        <w:t>168</w:t>
      </w:r>
      <w:r>
        <w:fldChar w:fldCharType="end"/>
      </w:r>
    </w:p>
    <w:p>
      <w:pPr>
        <w:pStyle w:val="ContentsEntry"/>
        <w:keepNext w:val="0"/>
        <w:tabs>
          <w:tab w:pos="9831" w:val="right" w:leader="dot"/>
        </w:tabs>
        <w:spacing w:after="100" w:line="252" w:lineRule="auto"/>
      </w:pPr>
      <w:r/>
      <w:hyperlink w:anchor="tocfinal_app_D">
        <w:r>
          <w:rPr>
            <w:color w:val="087F83"/>
            <w:rFonts w:ascii="Lato" w:hAnsi="Lato"/>
            <w:sz w:val="19"/>
          </w:rPr>
          <w:t xml:space="preserve">Appendix D | Operating registers and decision templates</w:t>
        </w:r>
      </w:hyperlink>
      <w:r>
        <w:tab/>
      </w:r>
      <w:r>
        <w:fldChar w:fldCharType="begin"/>
      </w:r>
      <w:r>
        <w:instrText xml:space="preserve"> PAGEREF tocfinal_app_D \h </w:instrText>
      </w:r>
      <w:r>
        <w:fldChar w:fldCharType="separate"/>
      </w:r>
      <w:r>
        <w:t>170</w:t>
      </w:r>
      <w:r>
        <w:fldChar w:fldCharType="end"/>
      </w:r>
    </w:p>
    <w:p>
      <w:pPr>
        <w:pStyle w:val="ContentsEntry"/>
        <w:keepNext w:val="0"/>
        <w:tabs>
          <w:tab w:pos="9831" w:val="right" w:leader="dot"/>
        </w:tabs>
        <w:spacing w:after="100" w:line="252" w:lineRule="auto"/>
      </w:pPr>
      <w:r/>
      <w:hyperlink w:anchor="tocfinal_app_E">
        <w:r>
          <w:rPr>
            <w:color w:val="087F83"/>
            <w:rFonts w:ascii="Lato" w:hAnsi="Lato"/>
            <w:sz w:val="19"/>
          </w:rPr>
          <w:t xml:space="preserve">Appendix E | Plain-language glossary</w:t>
        </w:r>
      </w:hyperlink>
      <w:r>
        <w:tab/>
      </w:r>
      <w:r>
        <w:fldChar w:fldCharType="begin"/>
      </w:r>
      <w:r>
        <w:instrText xml:space="preserve"> PAGEREF tocfinal_app_E \h </w:instrText>
      </w:r>
      <w:r>
        <w:fldChar w:fldCharType="separate"/>
      </w:r>
      <w:r>
        <w:t>171</w:t>
      </w:r>
      <w:r>
        <w:fldChar w:fldCharType="end"/>
      </w:r>
    </w:p>
    <w:p>
      <w:pPr>
        <w:pStyle w:val="ContentsEntry"/>
        <w:keepNext w:val="0"/>
        <w:tabs>
          <w:tab w:pos="9831" w:val="right" w:leader="dot"/>
        </w:tabs>
        <w:spacing w:after="100" w:line="252" w:lineRule="auto"/>
      </w:pPr>
      <w:r/>
      <w:hyperlink w:anchor="tocfinal_app_F">
        <w:r>
          <w:rPr>
            <w:color w:val="087F83"/>
            <w:rFonts w:ascii="Lato" w:hAnsi="Lato"/>
            <w:sz w:val="19"/>
          </w:rPr>
          <w:t xml:space="preserve">Appendix F | Extended event, context and retention contracts</w:t>
        </w:r>
      </w:hyperlink>
      <w:r>
        <w:tab/>
      </w:r>
      <w:r>
        <w:fldChar w:fldCharType="begin"/>
      </w:r>
      <w:r>
        <w:instrText xml:space="preserve"> PAGEREF tocfinal_app_F \h </w:instrText>
      </w:r>
      <w:r>
        <w:fldChar w:fldCharType="separate"/>
      </w:r>
      <w:r>
        <w:t>172</w:t>
      </w:r>
      <w:r>
        <w:fldChar w:fldCharType="end"/>
      </w:r>
    </w:p>
    <w:p>
      <w:pPr>
        <w:pStyle w:val="ContentsEntry"/>
        <w:keepNext w:val="0"/>
        <w:tabs>
          <w:tab w:pos="9831" w:val="right" w:leader="dot"/>
        </w:tabs>
        <w:spacing w:after="100" w:line="252" w:lineRule="auto"/>
      </w:pPr>
      <w:r/>
      <w:hyperlink w:anchor="tocfinal_app_G">
        <w:r>
          <w:rPr>
            <w:color w:val="087F83"/>
            <w:rFonts w:ascii="Lato" w:hAnsi="Lato"/>
            <w:sz w:val="19"/>
          </w:rPr>
          <w:t xml:space="preserve">Appendix G | Extended release checklist and evidence register</w:t>
        </w:r>
      </w:hyperlink>
      <w:r>
        <w:tab/>
      </w:r>
      <w:r>
        <w:fldChar w:fldCharType="begin"/>
      </w:r>
      <w:r>
        <w:instrText xml:space="preserve"> PAGEREF tocfinal_app_G \h </w:instrText>
      </w:r>
      <w:r>
        <w:fldChar w:fldCharType="separate"/>
      </w:r>
      <w:r>
        <w:t>176</w:t>
      </w:r>
      <w:r>
        <w:fldChar w:fldCharType="end"/>
      </w:r>
    </w:p>
    <w:p>
      <w:pPr>
        <w:pStyle w:val="ContentsEntry"/>
        <w:keepNext w:val="0"/>
        <w:tabs>
          <w:tab w:pos="9831" w:val="right" w:leader="dot"/>
        </w:tabs>
        <w:spacing w:after="100" w:line="252" w:lineRule="auto"/>
      </w:pPr>
      <w:r/>
      <w:hyperlink w:anchor="tocfinal_app_H">
        <w:r>
          <w:rPr>
            <w:color w:val="087F83"/>
            <w:rFonts w:ascii="Lato" w:hAnsi="Lato"/>
            <w:sz w:val="19"/>
          </w:rPr>
          <w:t xml:space="preserve">Appendix H | Master capability coverage and activation register</w:t>
        </w:r>
      </w:hyperlink>
      <w:r>
        <w:tab/>
      </w:r>
      <w:r>
        <w:fldChar w:fldCharType="begin"/>
      </w:r>
      <w:r>
        <w:instrText xml:space="preserve"> PAGEREF tocfinal_app_H \h </w:instrText>
      </w:r>
      <w:r>
        <w:fldChar w:fldCharType="separate"/>
      </w:r>
      <w:r>
        <w:t>180</w:t>
      </w:r>
      <w:r>
        <w:fldChar w:fldCharType="end"/>
      </w:r>
    </w:p>
    <w:p>
      <w:pPr>
        <w:pStyle w:val="ContentsEntry"/>
        <w:keepNext w:val="0"/>
        <w:tabs>
          <w:tab w:pos="9831" w:val="right" w:leader="dot"/>
        </w:tabs>
        <w:spacing w:after="100" w:line="252" w:lineRule="auto"/>
      </w:pPr>
      <w:r/>
      <w:hyperlink w:anchor="tocfinal_app_I">
        <w:r>
          <w:rPr>
            <w:color w:val="087F83"/>
            <w:rFonts w:ascii="Lato" w:hAnsi="Lato"/>
            <w:sz w:val="19"/>
          </w:rPr>
          <w:t xml:space="preserve">Appendix I | Version 1.2 acceptance and evidence register</w:t>
        </w:r>
      </w:hyperlink>
      <w:r>
        <w:tab/>
      </w:r>
      <w:r>
        <w:fldChar w:fldCharType="begin"/>
      </w:r>
      <w:r>
        <w:instrText xml:space="preserve"> PAGEREF tocfinal_app_I \h </w:instrText>
      </w:r>
      <w:r>
        <w:fldChar w:fldCharType="separate"/>
      </w:r>
      <w:r>
        <w:t>186</w:t>
      </w:r>
      <w:r>
        <w:fldChar w:fldCharType="end"/>
      </w:r>
    </w:p>
    <w:p>
      <w:pPr>
        <w:pStyle w:val="ContentsEntry"/>
        <w:keepNext w:val="0"/>
        <w:tabs>
          <w:tab w:pos="9831" w:val="right" w:leader="dot"/>
        </w:tabs>
        <w:spacing w:after="100" w:line="252" w:lineRule="auto"/>
      </w:pPr>
      <w:r/>
      <w:hyperlink w:anchor="tocfinal_app_J">
        <w:r>
          <w:rPr>
            <w:color w:val="087F83"/>
            <w:rFonts w:ascii="Lato" w:hAnsi="Lato"/>
            <w:sz w:val="19"/>
          </w:rPr>
          <w:t xml:space="preserve">Appendix J | Implementation contracts and worked examples</w:t>
        </w:r>
      </w:hyperlink>
      <w:r>
        <w:tab/>
      </w:r>
      <w:r>
        <w:fldChar w:fldCharType="begin"/>
      </w:r>
      <w:r>
        <w:instrText xml:space="preserve"> PAGEREF tocfinal_app_J \h </w:instrText>
      </w:r>
      <w:r>
        <w:fldChar w:fldCharType="separate"/>
      </w:r>
      <w:r>
        <w:t>200</w:t>
      </w:r>
      <w:r>
        <w:fldChar w:fldCharType="end"/>
      </w:r>
    </w:p>
    <w:p>
      <w:pPr>
        <w:pStyle w:val="ContentsEntry"/>
        <w:keepNext w:val="0"/>
        <w:tabs>
          <w:tab w:pos="9831" w:val="right" w:leader="dot"/>
        </w:tabs>
        <w:spacing w:after="100" w:line="252" w:lineRule="auto"/>
      </w:pPr>
      <w:r/>
      <w:hyperlink w:anchor="tocfinal_app_K">
        <w:r>
          <w:rPr>
            <w:color w:val="087F83"/>
            <w:rFonts w:ascii="Lato" w:hAnsi="Lato"/>
            <w:sz w:val="19"/>
          </w:rPr>
          <w:t xml:space="preserve">Appendix K | Operating templates and reusable decision records</w:t>
        </w:r>
      </w:hyperlink>
      <w:r>
        <w:tab/>
      </w:r>
      <w:r>
        <w:fldChar w:fldCharType="begin"/>
      </w:r>
      <w:r>
        <w:instrText xml:space="preserve"> PAGEREF tocfinal_app_K \h </w:instrText>
      </w:r>
      <w:r>
        <w:fldChar w:fldCharType="separate"/>
      </w:r>
      <w:r>
        <w:t>205</w:t>
      </w:r>
      <w:r>
        <w:fldChar w:fldCharType="end"/>
      </w:r>
    </w:p>
    <w:p>
      <w:pPr>
        <w:pStyle w:val="ContentsEntry"/>
        <w:keepNext w:val="0"/>
        <w:tabs>
          <w:tab w:pos="9831" w:val="right" w:leader="dot"/>
        </w:tabs>
        <w:spacing w:after="100" w:line="252" w:lineRule="auto"/>
      </w:pPr>
      <w:r/>
      <w:hyperlink w:anchor="tocfinal_app_L">
        <w:r>
          <w:rPr>
            <w:color w:val="087F83"/>
            <w:rFonts w:ascii="Lato" w:hAnsi="Lato"/>
            <w:sz w:val="19"/>
          </w:rPr>
          <w:t xml:space="preserve">Appendix L | Verification, policy refresh and expanded glossary</w:t>
        </w:r>
      </w:hyperlink>
      <w:r>
        <w:tab/>
      </w:r>
      <w:r>
        <w:fldChar w:fldCharType="begin"/>
      </w:r>
      <w:r>
        <w:instrText xml:space="preserve"> PAGEREF tocfinal_app_L \h </w:instrText>
      </w:r>
      <w:r>
        <w:fldChar w:fldCharType="separate"/>
      </w:r>
      <w:r>
        <w:t>208</w:t>
      </w:r>
      <w:r>
        <w:fldChar w:fldCharType="end"/>
      </w:r>
    </w:p>
    <w:p>
      <w:pPr>
        <w:pStyle w:val="ContentsEntry"/>
        <w:keepNext w:val="0"/>
        <w:tabs>
          <w:tab w:pos="9831" w:val="right" w:leader="dot"/>
        </w:tabs>
        <w:spacing w:after="100" w:line="252" w:lineRule="auto"/>
      </w:pPr>
      <w:r/>
      <w:hyperlink w:anchor="tocfinal_app_M">
        <w:r>
          <w:rPr>
            <w:color w:val="087F83"/>
            <w:rFonts w:ascii="Lato" w:hAnsi="Lato"/>
            <w:sz w:val="19"/>
          </w:rPr>
          <w:t xml:space="preserve">Appendix M | Source merge, changes and evidence of preservation</w:t>
        </w:r>
      </w:hyperlink>
      <w:r>
        <w:tab/>
      </w:r>
      <w:r>
        <w:fldChar w:fldCharType="begin"/>
      </w:r>
      <w:r>
        <w:instrText xml:space="preserve"> PAGEREF tocfinal_app_M \h </w:instrText>
      </w:r>
      <w:r>
        <w:fldChar w:fldCharType="separate"/>
      </w:r>
      <w:r>
        <w:t>211</w:t>
      </w:r>
      <w:r>
        <w:fldChar w:fldCharType="end"/>
      </w:r>
    </w:p>
    <w:p>
      <w:pPr>
        <w:pStyle w:val="ContentsEntry"/>
        <w:keepNext w:val="0"/>
        <w:tabs>
          <w:tab w:pos="9831" w:val="right" w:leader="dot"/>
        </w:tabs>
        <w:spacing w:after="100" w:line="252" w:lineRule="auto"/>
      </w:pPr>
      <w:r/>
      <w:hyperlink w:anchor="tocfinal_app_N">
        <w:r>
          <w:rPr>
            <w:color w:val="087F83"/>
            <w:rFonts w:ascii="Lato" w:hAnsi="Lato"/>
            <w:sz w:val="19"/>
          </w:rPr>
          <w:t xml:space="preserve">Appendix N | Final cross-system acceptance scenarios</w:t>
        </w:r>
      </w:hyperlink>
      <w:r>
        <w:tab/>
      </w:r>
      <w:r>
        <w:fldChar w:fldCharType="begin"/>
      </w:r>
      <w:r>
        <w:instrText xml:space="preserve"> PAGEREF tocfinal_app_N \h </w:instrText>
      </w:r>
      <w:r>
        <w:fldChar w:fldCharType="separate"/>
      </w:r>
      <w:r>
        <w:t>214</w:t>
      </w:r>
      <w:r>
        <w:fldChar w:fldCharType="end"/>
      </w:r>
    </w:p>
    <w:p>
      <w:pPr>
        <w:pStyle w:val="ContentsEntry"/>
        <w:keepNext w:val="0"/>
        <w:tabs>
          <w:tab w:pos="9831" w:val="right" w:leader="dot"/>
        </w:tabs>
        <w:spacing w:after="100" w:line="252" w:lineRule="auto"/>
      </w:pPr>
      <w:r/>
      <w:hyperlink w:anchor="tocfinal_app_O">
        <w:r>
          <w:rPr>
            <w:color w:val="087F83"/>
            <w:rFonts w:ascii="Lato" w:hAnsi="Lato"/>
            <w:sz w:val="19"/>
          </w:rPr>
          <w:t xml:space="preserve">Appendix O | Worked campaign, event and policy contracts</w:t>
        </w:r>
      </w:hyperlink>
      <w:r>
        <w:tab/>
      </w:r>
      <w:r>
        <w:fldChar w:fldCharType="begin"/>
      </w:r>
      <w:r>
        <w:instrText xml:space="preserve"> PAGEREF tocfinal_app_O \h </w:instrText>
      </w:r>
      <w:r>
        <w:fldChar w:fldCharType="separate"/>
      </w:r>
      <w:r>
        <w:t>222</w:t>
      </w:r>
      <w:r>
        <w:fldChar w:fldCharType="end"/>
      </w:r>
    </w:p>
    <w:p>
      <w:pPr>
        <w:pStyle w:val="ContentsEntry"/>
        <w:keepNext w:val="0"/>
        <w:tabs>
          <w:tab w:pos="9831" w:val="right" w:leader="dot"/>
        </w:tabs>
        <w:spacing w:after="100" w:line="252" w:lineRule="auto"/>
      </w:pPr>
      <w:r/>
      <w:hyperlink w:anchor="tocfinal_app_P">
        <w:r>
          <w:rPr>
            <w:color w:val="087F83"/>
            <w:rFonts w:ascii="Lato" w:hAnsi="Lato"/>
            <w:sz w:val="19"/>
          </w:rPr>
          <w:t xml:space="preserve">Appendix P | Final project sign-off and release-evidence ledger</w:t>
        </w:r>
      </w:hyperlink>
      <w:r>
        <w:tab/>
      </w:r>
      <w:r>
        <w:fldChar w:fldCharType="begin"/>
      </w:r>
      <w:r>
        <w:instrText xml:space="preserve"> PAGEREF tocfinal_app_P \h </w:instrText>
      </w:r>
      <w:r>
        <w:fldChar w:fldCharType="separate"/>
      </w:r>
      <w:r>
        <w:t>225</w:t>
      </w:r>
      <w:r>
        <w:fldChar w:fldCharType="end"/>
      </w:r>
    </w:p>
    <w:p>
      <w:pPr>
        <w:pStyle w:val="ContentsEntry"/>
        <w:keepNext w:val="0"/>
        <w:tabs>
          <w:tab w:pos="9831" w:val="right" w:leader="dot"/>
        </w:tabs>
        <w:spacing w:after="100" w:line="252" w:lineRule="auto"/>
      </w:pPr>
      <w:r/>
      <w:hyperlink w:anchor="tocfinal_sources">
        <w:r>
          <w:rPr>
            <w:color w:val="087F83"/>
            <w:rFonts w:ascii="Lato" w:hAnsi="Lato"/>
            <w:sz w:val="19"/>
          </w:rPr>
          <w:t xml:space="preserve">Sources | Primary guidance and verification notes</w:t>
        </w:r>
      </w:hyperlink>
      <w:r>
        <w:tab/>
      </w:r>
      <w:r>
        <w:fldChar w:fldCharType="begin"/>
      </w:r>
      <w:r>
        <w:instrText xml:space="preserve"> PAGEREF tocfinal_sources \h </w:instrText>
      </w:r>
      <w:r>
        <w:fldChar w:fldCharType="separate"/>
      </w:r>
      <w:r>
        <w:t>227</w:t>
      </w:r>
      <w:r>
        <w:fldChar w:fldCharType="end"/>
      </w:r>
    </w:p>
    <w:p>
      <w:pPr>
        <w:pStyle w:val="Heading1"/>
        <w:pageBreakBefore/>
        <w:spacing w:before="400"/>
        <w:pBdr>
          <w:bottom w:val="single" w:sz="8" w:color="087F83" w:space="8"/>
        </w:pBdr>
      </w:pPr>
      <w:bookmarkStart w:id="3" w:name="chapter_01"/>
      <w:bookmarkStart w:id="260" w:name="v12_ch01"/>
      <w:r>
        <w:t>01 | The master standard</w:t>
      </w:r>
      <w:bookmarkEnd w:id="3"/>
      <w:bookmarkEnd w:id="260"/>
      <w:bookmarkStart w:id="551" w:name="tocfinal_ch_01"/>
      <w:bookmarkEnd w:id="551"/>
    </w:p>
    <w:p>
      <w:pPr>
        <w:pStyle w:val="Callout"/>
        <w:shd w:fill="EAF4F4"/>
        <w:pBdr>
          <w:left w:val="single" w:sz="14" w:color="087F83" w:space="8"/>
        </w:pBdr>
      </w:pPr>
      <w:r>
        <w:t>Purpose: build websites that an owner can operate confidently, that customers can use easily, and whose business results can be measured responsibly. This is an implementation and acceptance standard, not a promise of rankings or an already-built software product.</w:t>
      </w:r>
    </w:p>
    <w:p>
      <w:pPr>
        <w:pStyle w:val="Heading2"/>
      </w:pPr>
      <w:r>
        <w:t>1.1 Outcomes and definition of completion</w:t>
      </w:r>
    </w:p>
    <w:p>
      <w:r>
        <w:t>Every website built under this standard must have a clear audience, a useful offer, an accessible customer journey, an owner-operated content system, a reliable business backend, and documented operational ownership. Success means the site can attract suitable visitors, help them complete a task, record valid business outcomes, and improve through evidence. A visually polished homepage alone is not completion.</w:t>
      </w:r>
    </w:p>
    <w:p>
      <w:pPr>
        <w:pStyle w:val="Callout"/>
      </w:pPr>
      <w:r>
        <w:t>Version 1.1 profile rule: deliver the experiment, attribution, controlled visitor context, contextual chatbot, manual blog-preservation and comprehensive audit capabilities in Chapters 34–41. Earlier Growth/Optional labels remain applicable to unrelated modules and paid AI/replay choices, not a reason to omit these requested capabilities. Public activation remains purpose- and permission-governed.</w:t>
      </w:r>
    </w:p>
    <w:p>
      <w:r>
        <w:t>The reusable baseline is a marketing, content, and lead-generation platform. Commerce, bookings, courses, memberships, marketplaces, and other complex workflows are activated as explicit modules. A site does not become better because every possible feature is installed. It becomes better when required features work together, remain maintainable, and satisfy measurable acceptance criteria.</w:t>
      </w:r>
    </w:p>
    <w:p>
      <w:pPr>
        <w:pStyle w:val="Heading2"/>
      </w:pPr>
      <w:r>
        <w:t>1.2 Interpret the requirement accurately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Requested ambition</w:t>
            </w:r>
          </w:p>
        </w:tc>
        <w:tc>
          <w:tcPr>
            <w:tcW w:type="dxa" w:w="7029"/>
            <w:vAlign w:val="top"/>
            <w:tcMar>
              <w:top w:w="85" w:type="dxa"/>
              <w:bottom w:w="85" w:type="dxa"/>
              <w:left w:w="95" w:type="dxa"/>
              <w:right w:w="95" w:type="dxa"/>
            </w:tcMar>
            <w:shd w:fill="163349"/>
          </w:tcPr>
          <w:p>
            <w:pPr>
              <w:pStyle w:val="TableText"/>
              <w:keepNext/>
              <w:spacing w:after="20"/>
            </w:pPr>
            <w:r>
              <w:rPr>
                <w:b/>
                <w:color w:val="FFFFFF"/>
              </w:rPr>
              <w:t>Contractual interpretation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Top-ranking website</w:t>
            </w:r>
          </w:p>
        </w:tc>
        <w:tc>
          <w:tcPr>
            <w:tcW w:type="dxa" w:w="7029"/>
            <w:vAlign w:val="top"/>
            <w:tcMar>
              <w:top w:w="85" w:type="dxa"/>
              <w:bottom w:w="85" w:type="dxa"/>
              <w:left w:w="95" w:type="dxa"/>
              <w:right w:w="95" w:type="dxa"/>
            </w:tcMar>
            <w:shd w:fill="FFFFFF"/>
          </w:tcPr>
          <w:p>
            <w:pPr>
              <w:pStyle w:val="TableText"/>
              <w:keepNext w:val="0"/>
              <w:spacing w:after="20"/>
            </w:pPr>
            <w:r>
              <w:t>Build technical eligibility, helpful content, excellent landing pages, trustworthy offers, and measurement. Neither organic position nor ad placement is guaranteed.</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Track everything</w:t>
            </w:r>
          </w:p>
        </w:tc>
        <w:tc>
          <w:tcPr>
            <w:tcW w:type="dxa" w:w="7029"/>
            <w:vAlign w:val="top"/>
            <w:tcMar>
              <w:top w:w="85" w:type="dxa"/>
              <w:bottom w:w="85" w:type="dxa"/>
              <w:left w:w="95" w:type="dxa"/>
              <w:right w:w="95" w:type="dxa"/>
            </w:tcMar>
            <w:shd w:fill="F3F7F9"/>
          </w:tcPr>
          <w:p>
            <w:pPr>
              <w:pStyle w:val="TableText"/>
              <w:keepNext w:val="0"/>
              <w:spacing w:after="20"/>
            </w:pPr>
            <w:r>
              <w:t>Instrument an agreed catalogue of meaningful interactions and authoritative outcomes, subject to consent, browser limits, platform rules, and data minimization.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Fully dynamic frontend</w:t>
            </w:r>
          </w:p>
        </w:tc>
        <w:tc>
          <w:tcPr>
            <w:tcW w:type="dxa" w:w="7029"/>
            <w:vAlign w:val="top"/>
            <w:tcMar>
              <w:top w:w="85" w:type="dxa"/>
              <w:bottom w:w="85" w:type="dxa"/>
              <w:left w:w="95" w:type="dxa"/>
              <w:right w:w="95" w:type="dxa"/>
            </w:tcMar>
            <w:shd w:fill="FFFFFF"/>
          </w:tcPr>
          <w:p>
            <w:pPr>
              <w:pStyle w:val="TableText"/>
              <w:keepNext w:val="0"/>
              <w:spacing w:after="20"/>
            </w:pPr>
            <w:r>
              <w:t>Pages, approved layouts, content, navigation, forms, themes, SEO settings, and configured business rules are editable through the owner console.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No developer dependency</w:t>
            </w:r>
          </w:p>
        </w:tc>
        <w:tc>
          <w:tcPr>
            <w:tcW w:type="dxa" w:w="7029"/>
            <w:vAlign w:val="top"/>
            <w:tcMar>
              <w:top w:w="85" w:type="dxa"/>
              <w:bottom w:w="85" w:type="dxa"/>
              <w:left w:w="95" w:type="dxa"/>
              <w:right w:w="95" w:type="dxa"/>
            </w:tcMar>
            <w:shd w:fill="F3F7F9"/>
          </w:tcPr>
          <w:p>
            <w:pPr>
              <w:pStyle w:val="TableText"/>
              <w:keepNext w:val="0"/>
              <w:spacing w:after="20"/>
            </w:pPr>
            <w:r>
              <w:t>Routine business operation must not require a developer. New component types, integrations, security updates, and infrastructure changes still require qualified maintenance.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No dependencies</w:t>
            </w:r>
          </w:p>
        </w:tc>
        <w:tc>
          <w:tcPr>
            <w:tcW w:type="dxa" w:w="7029"/>
            <w:vAlign w:val="top"/>
            <w:tcMar>
              <w:top w:w="85" w:type="dxa"/>
              <w:bottom w:w="85" w:type="dxa"/>
              <w:left w:w="95" w:type="dxa"/>
              <w:right w:w="95" w:type="dxa"/>
            </w:tcMar>
            <w:shd w:fill="FFFFFF"/>
          </w:tcPr>
          <w:p>
            <w:pPr>
              <w:pStyle w:val="TableText"/>
              <w:keepNext w:val="0"/>
              <w:spacing w:after="20"/>
            </w:pPr>
            <w:r>
              <w:t>Own accounts, source code, content, exports, deployment instructions, and migration paths. Minimize replaceable dependencies; do not claim software or external services can have none.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All features</w:t>
            </w:r>
          </w:p>
        </w:tc>
        <w:tc>
          <w:tcPr>
            <w:tcW w:type="dxa" w:w="7029"/>
            <w:vAlign w:val="top"/>
            <w:tcMar>
              <w:top w:w="85" w:type="dxa"/>
              <w:bottom w:w="85" w:type="dxa"/>
              <w:left w:w="95" w:type="dxa"/>
              <w:right w:w="95" w:type="dxa"/>
            </w:tcMar>
            <w:shd w:fill="F3F7F9"/>
          </w:tcPr>
          <w:p>
            <w:pPr>
              <w:pStyle w:val="TableText"/>
              <w:keepNext w:val="0"/>
              <w:spacing w:after="20"/>
            </w:pPr>
            <w:r>
              <w:t>Deliver the core catalogue, then select and test applicable modules. Unsupported features must be marked absent, not represented by decorative buttons.</w:t>
            </w:r>
          </w:p>
        </w:tc>
      </w:tr>
    </w:tbl>
    <w:p>
      <w:pPr>
        <w:spacing w:after="0"/>
      </w:pPr>
    </w:p>
    <w:p>
      <w:r>
        <w:t xml:space="preserve">SEO, Google Ads, and Meta Ads are separate systems. Google Ads Quality Score is a diagnostic measure, not a direct auction input. Ad auctions also involve factors such as bids, quality, context, and competition. Core Web Vitals contribute to Google's organic ranking systems but good scores do not guarantee first place. </w:t>
      </w:r>
      <w:hyperlink w:anchor="ref_R01">
        <w:r>
          <w:rPr>
            <w:color w:val="087F83"/>
            <w:rFonts w:ascii="Lato" w:hAnsi="Lato"/>
            <w:sz w:val="19"/>
          </w:rPr>
          <w:t>[R01]</w:t>
        </w:r>
      </w:hyperlink>
      <w:r>
        <w:t xml:space="preserve"> </w:t>
      </w:r>
      <w:hyperlink w:anchor="ref_R02">
        <w:r>
          <w:rPr>
            <w:color w:val="087F83"/>
            <w:rFonts w:ascii="Lato" w:hAnsi="Lato"/>
            <w:sz w:val="19"/>
          </w:rPr>
          <w:t>[R02]</w:t>
        </w:r>
      </w:hyperlink>
      <w:r>
        <w:t xml:space="preserve"> </w:t>
      </w:r>
      <w:hyperlink w:anchor="ref_R03">
        <w:r>
          <w:rPr>
            <w:color w:val="087F83"/>
            <w:rFonts w:ascii="Lato" w:hAnsi="Lato"/>
            <w:sz w:val="19"/>
          </w:rPr>
          <w:t>[R03]</w:t>
        </w:r>
      </w:hyperlink>
      <w:r/>
    </w:p>
    <w:p>
      <w:pPr>
        <w:pStyle w:val="Heading2"/>
      </w:pPr>
      <w:r>
        <w:t>1.3 Normative language</w:t>
      </w:r>
    </w:p>
    <w:p>
      <w:r>
        <w:t>MUST means a release-blocking requirement unless a documented, approved exception exists. SHOULD means the default expectation; alternatives require an architectural decision record. OPTIONAL means implement only when the website brief activates the module and funds its operation. Proposed targets in this document are engineering starting points, not externally guaranteed service levels.</w:t>
      </w:r>
    </w:p>
    <w:p>
      <w:r>
        <w:t>Assign requirement IDs using the categories WEB, CMS, SEO, ADS, EVT, PRIV, API, DB, SEC, OPS, and QA. Each requirement needs an owner, implementation location, automated or manual test, evidence link, and release status. Maintain these records in the repository alongside the project-specific decisions.</w:t>
      </w:r>
    </w:p>
    <w:p>
      <w:pPr>
        <w:pStyle w:val="Heading2"/>
      </w:pPr>
      <w:r>
        <w:t>1.4 Reuse and change control</w:t>
      </w:r>
    </w:p>
    <w:p>
      <w:r>
        <w:t>Copy this standard into each new project's documentation. Complete the site brief, select modules, approve data collection and budgets, and record deviations before implementation. Keep reusable platform code separate from site-specific branding and content. Update the standard when a release reveals a missing control; avoid silently changing the baseline during an active project.</w:t>
      </w:r>
    </w:p>
    <w:p>
      <w:r>
        <w:t>Version 1.3, dated 7 October 2026, is the final consolidated baseline built from the supplied v1.0, v1.1 and v1.2 documents. Chapters 01–65 and Appendices A–L remain the inherited body, with recorded clarifications. Chapters 66–78 and Appendices M–P add the final operating and acceptance requirements. Appendix M records preservation and changes; current provider and site-specific evidence are required before activation.</w:t>
      </w:r>
    </w:p>
    <w:p>
      <w:pPr>
        <w:pStyle w:val="Heading3"/>
      </w:pPr>
      <w:r>
        <w:t>Version 1.2 integration</w:t>
      </w:r>
    </w:p>
    <w:p>
      <w:pPr/>
      <w:r>
        <w:t>Version 1.2 extends this minimum through Chapters 42–65. Apply the classification and precedence rules in Chapter 42, the 90-entry capability register in Appendix H and the additional evidence scenarios in Appendix I. Scope completeness is a reviewed requirement register, not a ranking or zero-maintenance promise.</w:t>
      </w:r>
    </w:p>
    <w:p>
      <w:pPr>
        <w:pStyle w:val="Heading1"/>
        <w:pageBreakBefore w:val="0"/>
        <w:spacing w:before="400"/>
        <w:pBdr>
          <w:bottom w:val="single" w:sz="8" w:color="087F83" w:space="8"/>
        </w:pBdr>
      </w:pPr>
      <w:bookmarkStart w:id="4" w:name="chapter_02"/>
      <w:bookmarkStart w:id="261" w:name="v12_ch02"/>
      <w:r>
        <w:t>02 | Discovery, scope, and feature tiers</w:t>
      </w:r>
      <w:bookmarkEnd w:id="4"/>
      <w:bookmarkEnd w:id="261"/>
      <w:bookmarkStart w:id="552" w:name="tocfinal_ch_02"/>
      <w:bookmarkEnd w:id="552"/>
    </w:p>
    <w:p>
      <w:pPr>
        <w:pStyle w:val="Heading2"/>
      </w:pPr>
      <w:r>
        <w:t>2.1 Complete the website brief first</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Decision</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project answer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Business and audience</w:t>
            </w:r>
          </w:p>
        </w:tc>
        <w:tc>
          <w:tcPr>
            <w:tcW w:type="dxa" w:w="7029"/>
            <w:vAlign w:val="top"/>
            <w:tcMar>
              <w:top w:w="85" w:type="dxa"/>
              <w:bottom w:w="85" w:type="dxa"/>
              <w:left w:w="95" w:type="dxa"/>
              <w:right w:w="95" w:type="dxa"/>
            </w:tcMar>
            <w:shd w:fill="FFFFFF"/>
          </w:tcPr>
          <w:p>
            <w:pPr>
              <w:pStyle w:val="TableText"/>
              <w:keepNext w:val="0"/>
              <w:spacing w:after="20"/>
            </w:pPr>
            <w:r>
              <w:t>Legal entity, offer, target customer, audience age range, operating countries, languages, accessibility needs, and competitors.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Primary outcome</w:t>
            </w:r>
          </w:p>
        </w:tc>
        <w:tc>
          <w:tcPr>
            <w:tcW w:type="dxa" w:w="7029"/>
            <w:vAlign w:val="top"/>
            <w:tcMar>
              <w:top w:w="85" w:type="dxa"/>
              <w:bottom w:w="85" w:type="dxa"/>
              <w:left w:w="95" w:type="dxa"/>
              <w:right w:w="95" w:type="dxa"/>
            </w:tcMar>
            <w:shd w:fill="F3F7F9"/>
          </w:tcPr>
          <w:p>
            <w:pPr>
              <w:pStyle w:val="TableText"/>
              <w:keepNext w:val="0"/>
              <w:spacing w:after="20"/>
            </w:pPr>
            <w:r>
              <w:t>One principal business outcome: qualified lead, paid order, confirmed booking, application, or another explicitly defined result.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Economics</w:t>
            </w:r>
          </w:p>
        </w:tc>
        <w:tc>
          <w:tcPr>
            <w:tcW w:type="dxa" w:w="7029"/>
            <w:vAlign w:val="top"/>
            <w:tcMar>
              <w:top w:w="85" w:type="dxa"/>
              <w:bottom w:w="85" w:type="dxa"/>
              <w:left w:w="95" w:type="dxa"/>
              <w:right w:w="95" w:type="dxa"/>
            </w:tcMar>
            <w:shd w:fill="FFFFFF"/>
          </w:tcPr>
          <w:p>
            <w:pPr>
              <w:pStyle w:val="TableText"/>
              <w:keepNext w:val="0"/>
              <w:spacing w:after="20"/>
            </w:pPr>
            <w:r>
              <w:t>Typical order value, gross margin assumptions, qualified-lead definition, sales cycle, acceptable acquisition cost, and refund or cancellation rules.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Content ownership</w:t>
            </w:r>
          </w:p>
        </w:tc>
        <w:tc>
          <w:tcPr>
            <w:tcW w:type="dxa" w:w="7029"/>
            <w:vAlign w:val="top"/>
            <w:tcMar>
              <w:top w:w="85" w:type="dxa"/>
              <w:bottom w:w="85" w:type="dxa"/>
              <w:left w:w="95" w:type="dxa"/>
              <w:right w:w="95" w:type="dxa"/>
            </w:tcMar>
            <w:shd w:fill="F3F7F9"/>
          </w:tcPr>
          <w:p>
            <w:pPr>
              <w:pStyle w:val="TableText"/>
              <w:keepNext w:val="0"/>
              <w:spacing w:after="20"/>
            </w:pPr>
            <w:r>
              <w:t>Named owner for every important page, subject-matter reviewer, publishing permissions, image rights, and review frequency.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Existing assets</w:t>
            </w:r>
          </w:p>
        </w:tc>
        <w:tc>
          <w:tcPr>
            <w:tcW w:type="dxa" w:w="7029"/>
            <w:vAlign w:val="top"/>
            <w:tcMar>
              <w:top w:w="85" w:type="dxa"/>
              <w:bottom w:w="85" w:type="dxa"/>
              <w:left w:w="95" w:type="dxa"/>
              <w:right w:w="95" w:type="dxa"/>
            </w:tcMar>
            <w:shd w:fill="FFFFFF"/>
          </w:tcPr>
          <w:p>
            <w:pPr>
              <w:pStyle w:val="TableText"/>
              <w:keepNext w:val="0"/>
              <w:spacing w:after="20"/>
            </w:pPr>
            <w:r>
              <w:t>Domain, DNS, branding, URLs, analytics, ad accounts, CRM, customer data, source repository, hosting, and migration obligations.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Capacity and resilience</w:t>
            </w:r>
          </w:p>
        </w:tc>
        <w:tc>
          <w:tcPr>
            <w:tcW w:type="dxa" w:w="7029"/>
            <w:vAlign w:val="top"/>
            <w:tcMar>
              <w:top w:w="85" w:type="dxa"/>
              <w:bottom w:w="85" w:type="dxa"/>
              <w:left w:w="95" w:type="dxa"/>
              <w:right w:w="95" w:type="dxa"/>
            </w:tcMar>
            <w:shd w:fill="F3F7F9"/>
          </w:tcPr>
          <w:p>
            <w:pPr>
              <w:pStyle w:val="TableText"/>
              <w:keepNext w:val="0"/>
              <w:spacing w:after="20"/>
            </w:pPr>
            <w:r>
              <w:t>Expected monthly visits, peak concurrent activity, form volume, media volume, staff users, uptime target, RPO, RTO, and support availability.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Data and integrations</w:t>
            </w:r>
          </w:p>
        </w:tc>
        <w:tc>
          <w:tcPr>
            <w:tcW w:type="dxa" w:w="7029"/>
            <w:vAlign w:val="top"/>
            <w:tcMar>
              <w:top w:w="85" w:type="dxa"/>
              <w:bottom w:w="85" w:type="dxa"/>
              <w:left w:w="95" w:type="dxa"/>
              <w:right w:w="95" w:type="dxa"/>
            </w:tcMar>
            <w:shd w:fill="FFFFFF"/>
          </w:tcPr>
          <w:p>
            <w:pPr>
              <w:pStyle w:val="TableText"/>
              <w:keepNext w:val="0"/>
              <w:spacing w:after="20"/>
            </w:pPr>
            <w:r>
              <w:t>Exact fields collected, sensitivity, destinations, lawful processing assessment, retention, CRM, payment, communication, and legacy interfaces.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Delivery constraints</w:t>
            </w:r>
          </w:p>
        </w:tc>
        <w:tc>
          <w:tcPr>
            <w:tcW w:type="dxa" w:w="7029"/>
            <w:vAlign w:val="top"/>
            <w:tcMar>
              <w:top w:w="85" w:type="dxa"/>
              <w:bottom w:w="85" w:type="dxa"/>
              <w:left w:w="95" w:type="dxa"/>
              <w:right w:w="95" w:type="dxa"/>
            </w:tcMar>
            <w:shd w:fill="F3F7F9"/>
          </w:tcPr>
          <w:p>
            <w:pPr>
              <w:pStyle w:val="TableText"/>
              <w:keepNext w:val="0"/>
              <w:spacing w:after="20"/>
            </w:pPr>
            <w:r>
              <w:t>Budget, decision makers, launch dependencies, staff skills, cloud restrictions, region requirements, and training needs.</w:t>
            </w:r>
          </w:p>
        </w:tc>
      </w:tr>
    </w:tbl>
    <w:p>
      <w:pPr>
        <w:spacing w:after="0"/>
      </w:pPr>
    </w:p>
    <w:p>
      <w:r>
        <w:t>Do not invent testimonials, accreditations, addresses, prices, pass rates, customer counts, certifications, or availability to fill a design. Use a truthful alternative such as an enquiry action until the business supplies verified information. A missing business decision must appear in the decision register, not become a silent developer assumption.</w:t>
      </w:r>
    </w:p>
    <w:p>
      <w:pPr>
        <w:pStyle w:val="Heading2"/>
      </w:pPr>
      <w:r>
        <w:t>2.2 Three implementation tiers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Tier</w:t>
            </w:r>
          </w:p>
        </w:tc>
        <w:tc>
          <w:tcPr>
            <w:tcW w:type="dxa" w:w="3883"/>
            <w:vAlign w:val="top"/>
            <w:tcMar>
              <w:top w:w="85" w:type="dxa"/>
              <w:bottom w:w="85" w:type="dxa"/>
              <w:left w:w="95" w:type="dxa"/>
              <w:right w:w="95" w:type="dxa"/>
            </w:tcMar>
            <w:shd w:fill="163349"/>
          </w:tcPr>
          <w:p>
            <w:pPr>
              <w:pStyle w:val="TableText"/>
              <w:keepNext/>
              <w:spacing w:after="20"/>
            </w:pPr>
            <w:r>
              <w:rPr>
                <w:b/>
                <w:color w:val="FFFFFF"/>
              </w:rPr>
              <w:t>Scope</w:t>
            </w:r>
          </w:p>
        </w:tc>
        <w:tc>
          <w:tcPr>
            <w:tcW w:type="dxa" w:w="3687"/>
            <w:vAlign w:val="top"/>
            <w:tcMar>
              <w:top w:w="85" w:type="dxa"/>
              <w:bottom w:w="85" w:type="dxa"/>
              <w:left w:w="95" w:type="dxa"/>
              <w:right w:w="95" w:type="dxa"/>
            </w:tcMar>
            <w:shd w:fill="163349"/>
          </w:tcPr>
          <w:p>
            <w:pPr>
              <w:pStyle w:val="TableText"/>
              <w:keepNext/>
              <w:spacing w:after="20"/>
            </w:pPr>
            <w:r>
              <w:rPr>
                <w:b/>
                <w:color w:val="FFFFFF"/>
              </w:rPr>
              <w:t>Activation rule</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Core: every production website</w:t>
            </w:r>
          </w:p>
        </w:tc>
        <w:tc>
          <w:tcPr>
            <w:tcW w:type="dxa" w:w="3883"/>
            <w:vAlign w:val="top"/>
            <w:tcMar>
              <w:top w:w="85" w:type="dxa"/>
              <w:bottom w:w="85" w:type="dxa"/>
              <w:left w:w="95" w:type="dxa"/>
              <w:right w:w="95" w:type="dxa"/>
            </w:tcMar>
            <w:shd w:fill="FFFFFF"/>
          </w:tcPr>
          <w:p>
            <w:pPr>
              <w:pStyle w:val="TableText"/>
              <w:keepNext w:val="0"/>
              <w:spacing w:after="20"/>
            </w:pPr>
            <w:r>
              <w:t>Public pages, responsive design, CMS, blogs or resource capability, forms, SEO controls, consent controls, measurement, security, backups, monitoring, owner training.</w:t>
            </w:r>
          </w:p>
        </w:tc>
        <w:tc>
          <w:tcPr>
            <w:tcW w:type="dxa" w:w="3687"/>
            <w:vAlign w:val="top"/>
            <w:tcMar>
              <w:top w:w="85" w:type="dxa"/>
              <w:bottom w:w="85" w:type="dxa"/>
              <w:left w:w="95" w:type="dxa"/>
              <w:right w:w="95" w:type="dxa"/>
            </w:tcMar>
            <w:shd w:fill="FFFFFF"/>
          </w:tcPr>
          <w:p>
            <w:pPr>
              <w:pStyle w:val="TableText"/>
              <w:keepNext w:val="0"/>
              <w:spacing w:after="20"/>
            </w:pPr>
            <w:r>
              <w:t>Mandatory baseline; unused content collections can remain hidden.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Growth: selected when useful</w:t>
            </w:r>
          </w:p>
        </w:tc>
        <w:tc>
          <w:tcPr>
            <w:tcW w:type="dxa" w:w="3883"/>
            <w:vAlign w:val="top"/>
            <w:tcMar>
              <w:top w:w="85" w:type="dxa"/>
              <w:bottom w:w="85" w:type="dxa"/>
              <w:left w:w="95" w:type="dxa"/>
              <w:right w:w="95" w:type="dxa"/>
            </w:tcMar>
            <w:shd w:fill="F3F7F9"/>
          </w:tcPr>
          <w:p>
            <w:pPr>
              <w:pStyle w:val="TableText"/>
              <w:keepNext w:val="0"/>
              <w:spacing w:after="20"/>
            </w:pPr>
            <w:r>
              <w:t>CRM automation, advanced landing pages, qualified-lead feedback, experiments, multilingual publishing, search, reporting exports, approved replay.</w:t>
            </w:r>
          </w:p>
        </w:tc>
        <w:tc>
          <w:tcPr>
            <w:tcW w:type="dxa" w:w="3687"/>
            <w:vAlign w:val="top"/>
            <w:tcMar>
              <w:top w:w="85" w:type="dxa"/>
              <w:bottom w:w="85" w:type="dxa"/>
              <w:left w:w="95" w:type="dxa"/>
              <w:right w:w="95" w:type="dxa"/>
            </w:tcMar>
            <w:shd w:fill="F3F7F9"/>
          </w:tcPr>
          <w:p>
            <w:pPr>
              <w:pStyle w:val="TableText"/>
              <w:keepNext w:val="0"/>
              <w:spacing w:after="20"/>
            </w:pPr>
            <w:r>
              <w:t>Clear business case, owner, privacy review, and ongoing budget.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Business modules: conditional</w:t>
            </w:r>
          </w:p>
        </w:tc>
        <w:tc>
          <w:tcPr>
            <w:tcW w:type="dxa" w:w="3883"/>
            <w:vAlign w:val="top"/>
            <w:tcMar>
              <w:top w:w="85" w:type="dxa"/>
              <w:bottom w:w="85" w:type="dxa"/>
              <w:left w:w="95" w:type="dxa"/>
              <w:right w:w="95" w:type="dxa"/>
            </w:tcMar>
            <w:shd w:fill="FFFFFF"/>
          </w:tcPr>
          <w:p>
            <w:pPr>
              <w:pStyle w:val="TableText"/>
              <w:keepNext w:val="0"/>
              <w:spacing w:after="20"/>
            </w:pPr>
            <w:r>
              <w:t>Commerce, bookings, subscriptions, customer portal, courses, inventory, jobs, partner directory, community, AI assistance.</w:t>
            </w:r>
          </w:p>
        </w:tc>
        <w:tc>
          <w:tcPr>
            <w:tcW w:type="dxa" w:w="3687"/>
            <w:vAlign w:val="top"/>
            <w:tcMar>
              <w:top w:w="85" w:type="dxa"/>
              <w:bottom w:w="85" w:type="dxa"/>
              <w:left w:w="95" w:type="dxa"/>
              <w:right w:w="95" w:type="dxa"/>
            </w:tcMar>
            <w:shd w:fill="FFFFFF"/>
          </w:tcPr>
          <w:p>
            <w:pPr>
              <w:pStyle w:val="TableText"/>
              <w:keepNext w:val="0"/>
              <w:spacing w:after="20"/>
            </w:pPr>
            <w:r>
              <w:t>Separate workflow specification, data model, access model, tests, and operating procedures.</w:t>
            </w:r>
          </w:p>
        </w:tc>
      </w:tr>
    </w:tbl>
    <w:p>
      <w:pPr>
        <w:spacing w:after="0"/>
      </w:pPr>
    </w:p>
    <w:p>
      <w:r>
        <w:t>A feature flag is not a complete deactivation mechanism. Disabling a module must remove its navigation, public routes where appropriate, admin permissions, scheduled jobs, tags, API exposure, and unnecessary resource consumption. Define what happens to retained data and old URLs. Avoid breaking live transactions when disabling a business module.</w:t>
      </w:r>
    </w:p>
    <w:p>
      <w:pPr>
        <w:pStyle w:val="Heading2"/>
      </w:pPr>
      <w:r>
        <w:t>2.3 Baseline nonfunctional brief</w:t>
      </w:r>
    </w:p>
    <w:p>
      <w:r>
        <w:t>Approve measurable budgets for loading speed, form reliability, data retention, incident response, monthly expenditure, and editorial turnaround. Measure on realistic devices and network conditions, not just an office laptop. Separately define staff availability: an uptime objective without someone responsible for incidents is not an operational plan.</w:t>
      </w:r>
    </w:p>
    <w:p>
      <w:r>
        <w:t>Decide whether the platform is single-site, multi-site, or genuinely multi-tenant. The safest default for independent customers is isolated deployments and databases using a shared codebase. A shared multi-tenant application requires strong tenant isolation, quota enforcement, export/deletion boundaries, and cross-tenant security tests; adding a site_id column alone is not sufficient.</w:t>
      </w:r>
    </w:p>
    <w:p>
      <w:pPr>
        <w:pStyle w:val="Heading2"/>
      </w:pPr>
      <w:r>
        <w:t>2.4 Discovery deliverables</w:t>
      </w:r>
    </w:p>
    <w:p>
      <w:r>
        <w:t>The approved brief must produce a sitemap, wireframes, content inventory, feature activation matrix, event plan, data-flow inventory, architecture decisions, migration map, and release checklist. Resolve the primary conversion and content owner before selecting dashboards or ad bidding goals. Review the brief with the owner, developer, marketing lead, and privacy/security reviewer.</w:t>
      </w:r>
    </w:p>
    <w:p>
      <w:pPr>
        <w:pStyle w:val="Heading3"/>
      </w:pPr>
      <w:r>
        <w:t>Version 1.2 integration</w:t>
      </w:r>
    </w:p>
    <w:p>
      <w:pPr/>
      <w:r>
        <w:t>Complete every applicable entry in Appendix H and the site-specific decisions in Appendix K. The comprehensive growth platform now includes the detailed automation, scoring, audience, advanced CMS, deliverability and channel contracts; external activation remains permission- and provider-governed.</w:t>
      </w:r>
    </w:p>
    <w:p>
      <w:pPr>
        <w:pStyle w:val="Heading1"/>
        <w:pageBreakBefore w:val="0"/>
        <w:spacing w:before="400"/>
        <w:pBdr>
          <w:bottom w:val="single" w:sz="8" w:color="087F83" w:space="8"/>
        </w:pBdr>
      </w:pPr>
      <w:bookmarkStart w:id="5" w:name="chapter_03"/>
      <w:bookmarkStart w:id="262" w:name="v12_ch03"/>
      <w:r>
        <w:t>03 | Reference architecture and dependency strategy</w:t>
      </w:r>
      <w:bookmarkEnd w:id="5"/>
      <w:bookmarkEnd w:id="262"/>
      <w:bookmarkStart w:id="553" w:name="tocfinal_ch_03"/>
      <w:bookmarkEnd w:id="553"/>
    </w:p>
    <w:p>
      <w:pPr>
        <w:pStyle w:val="Heading2"/>
      </w:pPr>
      <w:r>
        <w:t>3.1 Recommended implementation</w:t>
      </w:r>
    </w:p>
    <w:p>
      <w:r>
        <w:t>Use a modular architecture with a React/Next.js public website, a React owner console, a NestJS business API, PostgreSQL, object storage, and a background worker. Use strict TypeScript across the web and API layers. Keep Python optional for bounded jobs such as document processing or approved data analysis, not as a second competing business backend.</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Layer</w:t>
            </w:r>
          </w:p>
        </w:tc>
        <w:tc>
          <w:tcPr>
            <w:tcW w:type="dxa" w:w="3883"/>
            <w:vAlign w:val="top"/>
            <w:tcMar>
              <w:top w:w="85" w:type="dxa"/>
              <w:bottom w:w="85" w:type="dxa"/>
              <w:left w:w="95" w:type="dxa"/>
              <w:right w:w="95" w:type="dxa"/>
            </w:tcMar>
            <w:shd w:fill="163349"/>
          </w:tcPr>
          <w:p>
            <w:pPr>
              <w:pStyle w:val="TableText"/>
              <w:keepNext/>
              <w:spacing w:after="20"/>
            </w:pPr>
            <w:r>
              <w:rPr>
                <w:b/>
                <w:color w:val="FFFFFF"/>
              </w:rPr>
              <w:t>Default</w:t>
            </w:r>
          </w:p>
        </w:tc>
        <w:tc>
          <w:tcPr>
            <w:tcW w:type="dxa" w:w="3687"/>
            <w:vAlign w:val="top"/>
            <w:tcMar>
              <w:top w:w="85" w:type="dxa"/>
              <w:bottom w:w="85" w:type="dxa"/>
              <w:left w:w="95" w:type="dxa"/>
              <w:right w:w="95" w:type="dxa"/>
            </w:tcMar>
            <w:shd w:fill="163349"/>
          </w:tcPr>
          <w:p>
            <w:pPr>
              <w:pStyle w:val="TableText"/>
              <w:keepNext/>
              <w:spacing w:after="20"/>
            </w:pPr>
            <w:r>
              <w:rPr>
                <w:b/>
                <w:color w:val="FFFFFF"/>
              </w:rPr>
              <w:t>Responsibility and boundary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Public frontend</w:t>
            </w:r>
          </w:p>
        </w:tc>
        <w:tc>
          <w:tcPr>
            <w:tcW w:type="dxa" w:w="3883"/>
            <w:vAlign w:val="top"/>
            <w:tcMar>
              <w:top w:w="85" w:type="dxa"/>
              <w:bottom w:w="85" w:type="dxa"/>
              <w:left w:w="95" w:type="dxa"/>
              <w:right w:w="95" w:type="dxa"/>
            </w:tcMar>
            <w:shd w:fill="FFFFFF"/>
          </w:tcPr>
          <w:p>
            <w:pPr>
              <w:pStyle w:val="TableText"/>
              <w:keepNext w:val="0"/>
              <w:spacing w:after="20"/>
            </w:pPr>
            <w:r>
              <w:t>Next.js, React, TypeScript, semantic HTML, Tailwind/CSS</w:t>
            </w:r>
          </w:p>
        </w:tc>
        <w:tc>
          <w:tcPr>
            <w:tcW w:type="dxa" w:w="3687"/>
            <w:vAlign w:val="top"/>
            <w:tcMar>
              <w:top w:w="85" w:type="dxa"/>
              <w:bottom w:w="85" w:type="dxa"/>
              <w:left w:w="95" w:type="dxa"/>
              <w:right w:w="95" w:type="dxa"/>
            </w:tcMar>
            <w:shd w:fill="FFFFFF"/>
          </w:tcPr>
          <w:p>
            <w:pPr>
              <w:pStyle w:val="TableText"/>
              <w:keepNext w:val="0"/>
              <w:spacing w:after="20"/>
            </w:pPr>
            <w:r>
              <w:t>Render pages, progressive enhancement, accessible interactions, metadata, caching, and consent-gated events.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Owner console</w:t>
            </w:r>
          </w:p>
        </w:tc>
        <w:tc>
          <w:tcPr>
            <w:tcW w:type="dxa" w:w="3883"/>
            <w:vAlign w:val="top"/>
            <w:tcMar>
              <w:top w:w="85" w:type="dxa"/>
              <w:bottom w:w="85" w:type="dxa"/>
              <w:left w:w="95" w:type="dxa"/>
              <w:right w:w="95" w:type="dxa"/>
            </w:tcMar>
            <w:shd w:fill="F3F7F9"/>
          </w:tcPr>
          <w:p>
            <w:pPr>
              <w:pStyle w:val="TableText"/>
              <w:keepNext w:val="0"/>
              <w:spacing w:after="20"/>
            </w:pPr>
            <w:r>
              <w:t>React/TypeScript, shared design system</w:t>
            </w:r>
          </w:p>
        </w:tc>
        <w:tc>
          <w:tcPr>
            <w:tcW w:type="dxa" w:w="3687"/>
            <w:vAlign w:val="top"/>
            <w:tcMar>
              <w:top w:w="85" w:type="dxa"/>
              <w:bottom w:w="85" w:type="dxa"/>
              <w:left w:w="95" w:type="dxa"/>
              <w:right w:w="95" w:type="dxa"/>
            </w:tcMar>
            <w:shd w:fill="F3F7F9"/>
          </w:tcPr>
          <w:p>
            <w:pPr>
              <w:pStyle w:val="TableText"/>
              <w:keepNext w:val="0"/>
              <w:spacing w:after="20"/>
            </w:pPr>
            <w:r>
              <w:t>Content editing, preview, approvals, forms, media, SEO, business settings, roles, and operational dashboards.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Backend</w:t>
            </w:r>
          </w:p>
        </w:tc>
        <w:tc>
          <w:tcPr>
            <w:tcW w:type="dxa" w:w="3883"/>
            <w:vAlign w:val="top"/>
            <w:tcMar>
              <w:top w:w="85" w:type="dxa"/>
              <w:bottom w:w="85" w:type="dxa"/>
              <w:left w:w="95" w:type="dxa"/>
              <w:right w:w="95" w:type="dxa"/>
            </w:tcMar>
            <w:shd w:fill="FFFFFF"/>
          </w:tcPr>
          <w:p>
            <w:pPr>
              <w:pStyle w:val="TableText"/>
              <w:keepNext w:val="0"/>
              <w:spacing w:after="20"/>
            </w:pPr>
            <w:r>
              <w:t>NestJS modular monolith</w:t>
            </w:r>
          </w:p>
        </w:tc>
        <w:tc>
          <w:tcPr>
            <w:tcW w:type="dxa" w:w="3687"/>
            <w:vAlign w:val="top"/>
            <w:tcMar>
              <w:top w:w="85" w:type="dxa"/>
              <w:bottom w:w="85" w:type="dxa"/>
              <w:left w:w="95" w:type="dxa"/>
              <w:right w:w="95" w:type="dxa"/>
            </w:tcMar>
            <w:shd w:fill="FFFFFF"/>
          </w:tcPr>
          <w:p>
            <w:pPr>
              <w:pStyle w:val="TableText"/>
              <w:keepNext w:val="0"/>
              <w:spacing w:after="20"/>
            </w:pPr>
            <w:r>
              <w:t>Authentication, authorization, validation, business transactions, CMS workflows, integrations, and API contracts.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Primary database</w:t>
            </w:r>
          </w:p>
        </w:tc>
        <w:tc>
          <w:tcPr>
            <w:tcW w:type="dxa" w:w="3883"/>
            <w:vAlign w:val="top"/>
            <w:tcMar>
              <w:top w:w="85" w:type="dxa"/>
              <w:bottom w:w="85" w:type="dxa"/>
              <w:left w:w="95" w:type="dxa"/>
              <w:right w:w="95" w:type="dxa"/>
            </w:tcMar>
            <w:shd w:fill="F3F7F9"/>
          </w:tcPr>
          <w:p>
            <w:pPr>
              <w:pStyle w:val="TableText"/>
              <w:keepNext w:val="0"/>
              <w:spacing w:after="20"/>
            </w:pPr>
            <w:r>
              <w:t>PostgreSQL with migrations; Prisma as default ORM</w:t>
            </w:r>
          </w:p>
        </w:tc>
        <w:tc>
          <w:tcPr>
            <w:tcW w:type="dxa" w:w="3687"/>
            <w:vAlign w:val="top"/>
            <w:tcMar>
              <w:top w:w="85" w:type="dxa"/>
              <w:bottom w:w="85" w:type="dxa"/>
              <w:left w:w="95" w:type="dxa"/>
              <w:right w:w="95" w:type="dxa"/>
            </w:tcMar>
            <w:shd w:fill="F3F7F9"/>
          </w:tcPr>
          <w:p>
            <w:pPr>
              <w:pStyle w:val="TableText"/>
              <w:keepNext w:val="0"/>
              <w:spacing w:after="20"/>
            </w:pPr>
            <w:r>
              <w:t>Durable relational data, versioned JSONB content, business integrity, audit references, and transactional outbox.</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Media</w:t>
            </w:r>
          </w:p>
        </w:tc>
        <w:tc>
          <w:tcPr>
            <w:tcW w:type="dxa" w:w="3883"/>
            <w:vAlign w:val="top"/>
            <w:tcMar>
              <w:top w:w="85" w:type="dxa"/>
              <w:bottom w:w="85" w:type="dxa"/>
              <w:left w:w="95" w:type="dxa"/>
              <w:right w:w="95" w:type="dxa"/>
            </w:tcMar>
            <w:shd w:fill="FFFFFF"/>
          </w:tcPr>
          <w:p>
            <w:pPr>
              <w:pStyle w:val="TableText"/>
              <w:keepNext w:val="0"/>
              <w:spacing w:after="20"/>
            </w:pPr>
            <w:r>
              <w:t>S3-compatible object storage and CDN</w:t>
            </w:r>
          </w:p>
        </w:tc>
        <w:tc>
          <w:tcPr>
            <w:tcW w:type="dxa" w:w="3687"/>
            <w:vAlign w:val="top"/>
            <w:tcMar>
              <w:top w:w="85" w:type="dxa"/>
              <w:bottom w:w="85" w:type="dxa"/>
              <w:left w:w="95" w:type="dxa"/>
              <w:right w:w="95" w:type="dxa"/>
            </w:tcMar>
            <w:shd w:fill="FFFFFF"/>
          </w:tcPr>
          <w:p>
            <w:pPr>
              <w:pStyle w:val="TableText"/>
              <w:keepNext w:val="0"/>
              <w:spacing w:after="20"/>
            </w:pPr>
            <w:r>
              <w:t>Images, downloads, private uploads, transformations, lifecycle rules, and signed delivery.</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Cache and jobs</w:t>
            </w:r>
          </w:p>
        </w:tc>
        <w:tc>
          <w:tcPr>
            <w:tcW w:type="dxa" w:w="3883"/>
            <w:vAlign w:val="top"/>
            <w:tcMar>
              <w:top w:w="85" w:type="dxa"/>
              <w:bottom w:w="85" w:type="dxa"/>
              <w:left w:w="95" w:type="dxa"/>
              <w:right w:w="95" w:type="dxa"/>
            </w:tcMar>
            <w:shd w:fill="F3F7F9"/>
          </w:tcPr>
          <w:p>
            <w:pPr>
              <w:pStyle w:val="TableText"/>
              <w:keepNext w:val="0"/>
              <w:spacing w:after="20"/>
            </w:pPr>
            <w:r>
              <w:t>Optional Redis; database-backed outbox mandatory for external effects</w:t>
            </w:r>
          </w:p>
        </w:tc>
        <w:tc>
          <w:tcPr>
            <w:tcW w:type="dxa" w:w="3687"/>
            <w:vAlign w:val="top"/>
            <w:tcMar>
              <w:top w:w="85" w:type="dxa"/>
              <w:bottom w:w="85" w:type="dxa"/>
              <w:left w:w="95" w:type="dxa"/>
              <w:right w:w="95" w:type="dxa"/>
            </w:tcMar>
            <w:shd w:fill="F3F7F9"/>
          </w:tcPr>
          <w:p>
            <w:pPr>
              <w:pStyle w:val="TableText"/>
              <w:keepNext w:val="0"/>
              <w:spacing w:after="20"/>
            </w:pPr>
            <w:r>
              <w:t>Derived caches and worker coordination. Durable business facts stay in PostgreSQL.</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Measurement</w:t>
            </w:r>
          </w:p>
        </w:tc>
        <w:tc>
          <w:tcPr>
            <w:tcW w:type="dxa" w:w="3883"/>
            <w:vAlign w:val="top"/>
            <w:tcMar>
              <w:top w:w="85" w:type="dxa"/>
              <w:bottom w:w="85" w:type="dxa"/>
              <w:left w:w="95" w:type="dxa"/>
              <w:right w:w="95" w:type="dxa"/>
            </w:tcMar>
            <w:shd w:fill="FFFFFF"/>
          </w:tcPr>
          <w:p>
            <w:pPr>
              <w:pStyle w:val="TableText"/>
              <w:keepNext w:val="0"/>
              <w:spacing w:after="20"/>
            </w:pPr>
            <w:r>
              <w:t>First-party event contract, CMP, GTM/GA4, Ads/Meta adapters</w:t>
            </w:r>
          </w:p>
        </w:tc>
        <w:tc>
          <w:tcPr>
            <w:tcW w:type="dxa" w:w="3687"/>
            <w:vAlign w:val="top"/>
            <w:tcMar>
              <w:top w:w="85" w:type="dxa"/>
              <w:bottom w:w="85" w:type="dxa"/>
              <w:left w:w="95" w:type="dxa"/>
              <w:right w:w="95" w:type="dxa"/>
            </w:tcMar>
            <w:shd w:fill="FFFFFF"/>
          </w:tcPr>
          <w:p>
            <w:pPr>
              <w:pStyle w:val="TableText"/>
              <w:keepNext w:val="0"/>
              <w:spacing w:after="20"/>
            </w:pPr>
            <w:r>
              <w:t>Purpose-controlled event collection, reporting, and conversion feedback.</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Operations</w:t>
            </w:r>
          </w:p>
        </w:tc>
        <w:tc>
          <w:tcPr>
            <w:tcW w:type="dxa" w:w="3883"/>
            <w:vAlign w:val="top"/>
            <w:tcMar>
              <w:top w:w="85" w:type="dxa"/>
              <w:bottom w:w="85" w:type="dxa"/>
              <w:left w:w="95" w:type="dxa"/>
              <w:right w:w="95" w:type="dxa"/>
            </w:tcMar>
            <w:shd w:fill="F3F7F9"/>
          </w:tcPr>
          <w:p>
            <w:pPr>
              <w:pStyle w:val="TableText"/>
              <w:keepNext w:val="0"/>
              <w:spacing w:after="20"/>
            </w:pPr>
            <w:r>
              <w:t>Native processes or Docker; Terraform; optional Kubernetes</w:t>
            </w:r>
          </w:p>
        </w:tc>
        <w:tc>
          <w:tcPr>
            <w:tcW w:type="dxa" w:w="3687"/>
            <w:vAlign w:val="top"/>
            <w:tcMar>
              <w:top w:w="85" w:type="dxa"/>
              <w:bottom w:w="85" w:type="dxa"/>
              <w:left w:w="95" w:type="dxa"/>
              <w:right w:w="95" w:type="dxa"/>
            </w:tcMar>
            <w:shd w:fill="F3F7F9"/>
          </w:tcPr>
          <w:p>
            <w:pPr>
              <w:pStyle w:val="TableText"/>
              <w:keepNext w:val="0"/>
              <w:spacing w:after="20"/>
            </w:pPr>
            <w:r>
              <w:t>Reproducible environments, deployments, secrets, backups, monitoring, and recovery.</w:t>
            </w:r>
          </w:p>
        </w:tc>
      </w:tr>
    </w:tbl>
    <w:p>
      <w:pPr>
        <w:spacing w:after="0"/>
      </w:pPr>
    </w:p>
    <w:p>
      <w:pPr>
        <w:pStyle w:val="Heading2"/>
      </w:pPr>
      <w:r>
        <w:t>3.2 Request and publication paths</w:t>
      </w:r>
    </w:p>
    <w:p>
      <w:r>
        <w:t>A public page request reaches the CDN/reverse proxy and then the frontend when no reusable response exists. The frontend reads published content through a stable content interface. Client-side code hydrates only the components that need interaction. A form submits to the business API; the API validates and commits the lead plus an outbox record; a worker sends CRM and communication updates asynchronously.</w:t>
      </w:r>
    </w:p>
    <w:p>
      <w:r>
        <w:t xml:space="preserve">Publishing content creates an immutable published revision, updates the live revision reference, writes an audit event and outbox record, then invalidates the affected routes and content tags. Navigation, sitemap, related content, and social metadata must refresh consistently. Drafts and authenticated content must never enter the shared public cache. Multi-instance deployments require coordinated cache invalidation and release compatibility. </w:t>
      </w:r>
      <w:hyperlink w:anchor="ref_R28">
        <w:r>
          <w:rPr>
            <w:color w:val="087F83"/>
            <w:rFonts w:ascii="Lato" w:hAnsi="Lato"/>
            <w:sz w:val="19"/>
          </w:rPr>
          <w:t>[R28]</w:t>
        </w:r>
      </w:hyperlink>
      <w:r/>
    </w:p>
    <w:p>
      <w:pPr>
        <w:pStyle w:val="Heading2"/>
      </w:pPr>
      <w:r>
        <w:t>3.3 Owned CMS versus an external headless CMS</w:t>
      </w:r>
    </w:p>
    <w:p>
      <w:r>
        <w:t>The reference build uses an owned CMS module behind the NestJS API because full owner workflow control and reusable business integration are central requirements. This is a deliberate investment, not the cheapest first release. A mature CMS may accelerate delivery, provided the team verifies its editing experience, required paid features, export quality, security support, licensing, and integration boundary.</w:t>
      </w:r>
    </w:p>
    <w:p>
      <w:r>
        <w:t xml:space="preserve">Strapi, for example, documents draft-and-publish capability, but the project must verify the exact edition and workflow entitlements it plans to use. Do not assume every CMS includes visual layout editing, approvals, scheduling, localization, and audit controls in every plan. Choose one content source of truth; do not maintain conflicting page records in two systems. </w:t>
      </w:r>
      <w:hyperlink w:anchor="ref_R32">
        <w:r>
          <w:rPr>
            <w:color w:val="087F83"/>
            <w:rFonts w:ascii="Lato" w:hAnsi="Lato"/>
            <w:sz w:val="19"/>
          </w:rPr>
          <w:t>[R32]</w:t>
        </w:r>
      </w:hyperlink>
      <w:r/>
    </w:p>
    <w:p>
      <w:pPr>
        <w:pStyle w:val="Heading2"/>
      </w:pPr>
      <w:r>
        <w:t>3.4 Reduce lock-in without inventing complexity</w:t>
      </w:r>
    </w:p>
    <w:p>
      <w:r>
        <w:t>Define adapters for media storage, email, CRM, analytics destinations, payments, and search. Keep internal domain IDs independent from vendor IDs. Store vendor mappings separately. Export content, media manifests, redirects, form definitions, and business records in documented formats. Perform an export-and-restore exercise before handover.</w:t>
      </w:r>
    </w:p>
    <w:p>
      <w:r>
        <w:t>Do not start with dozens of microservices, Kafka, Kubernetes, GraphQL, SOAP, and multiple databases solely to satisfy a technology checklist. REST is the default public/business interface. GraphQL is an optional read composition layer. SOAP is a legacy integration adapter. Redis and orchestration are enabled only when their benefit outweighs operating cost. The same product must run in a documented simpler profile.</w:t>
      </w:r>
    </w:p>
    <w:p>
      <w:pPr>
        <w:pStyle w:val="Heading1"/>
        <w:pageBreakBefore w:val="0"/>
        <w:spacing w:before="400"/>
        <w:pBdr>
          <w:bottom w:val="single" w:sz="8" w:color="087F83" w:space="8"/>
        </w:pBdr>
      </w:pPr>
      <w:bookmarkStart w:id="6" w:name="chapter_04"/>
      <w:bookmarkStart w:id="263" w:name="v12_ch04"/>
      <w:r>
        <w:t>04 | Information architecture and conversion journeys</w:t>
      </w:r>
      <w:bookmarkEnd w:id="6"/>
      <w:bookmarkEnd w:id="263"/>
      <w:bookmarkStart w:id="554" w:name="tocfinal_ch_04"/>
      <w:bookmarkEnd w:id="554"/>
    </w:p>
    <w:p>
      <w:pPr>
        <w:pStyle w:val="Heading2"/>
      </w:pPr>
      <w:r>
        <w:t>4.1 Required page and route families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Family</w:t>
            </w:r>
          </w:p>
        </w:tc>
        <w:tc>
          <w:tcPr>
            <w:tcW w:type="dxa" w:w="7029"/>
            <w:vAlign w:val="top"/>
            <w:tcMar>
              <w:top w:w="85" w:type="dxa"/>
              <w:bottom w:w="85" w:type="dxa"/>
              <w:left w:w="95" w:type="dxa"/>
              <w:right w:w="95" w:type="dxa"/>
            </w:tcMar>
            <w:shd w:fill="163349"/>
          </w:tcPr>
          <w:p>
            <w:pPr>
              <w:pStyle w:val="TableText"/>
              <w:keepNext/>
              <w:spacing w:after="20"/>
            </w:pPr>
            <w:r>
              <w:rPr>
                <w:b/>
                <w:color w:val="FFFFFF"/>
              </w:rPr>
              <w:t>Baseline content and behavior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Home</w:t>
            </w:r>
          </w:p>
        </w:tc>
        <w:tc>
          <w:tcPr>
            <w:tcW w:type="dxa" w:w="7029"/>
            <w:vAlign w:val="top"/>
            <w:tcMar>
              <w:top w:w="85" w:type="dxa"/>
              <w:bottom w:w="85" w:type="dxa"/>
              <w:left w:w="95" w:type="dxa"/>
              <w:right w:w="95" w:type="dxa"/>
            </w:tcMar>
            <w:shd w:fill="FFFFFF"/>
          </w:tcPr>
          <w:p>
            <w:pPr>
              <w:pStyle w:val="TableText"/>
              <w:keepNext w:val="0"/>
              <w:spacing w:after="20"/>
            </w:pPr>
            <w:r>
              <w:t>Clear offer, audience fit, primary action, services/products overview, truthful proof, process, helpful questions, final action.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Service/product/program</w:t>
            </w:r>
          </w:p>
        </w:tc>
        <w:tc>
          <w:tcPr>
            <w:tcW w:type="dxa" w:w="7029"/>
            <w:vAlign w:val="top"/>
            <w:tcMar>
              <w:top w:w="85" w:type="dxa"/>
              <w:bottom w:w="85" w:type="dxa"/>
              <w:left w:w="95" w:type="dxa"/>
              <w:right w:w="95" w:type="dxa"/>
            </w:tcMar>
            <w:shd w:fill="F3F7F9"/>
          </w:tcPr>
          <w:p>
            <w:pPr>
              <w:pStyle w:val="TableText"/>
              <w:keepNext w:val="0"/>
              <w:spacing w:after="20"/>
            </w:pPr>
            <w:r>
              <w:t>Outcome, suitability, inclusions, constraints, delivery process, pricing or clear enquiry path, evidence, related resources, and next step.</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Pricing</w:t>
            </w:r>
          </w:p>
        </w:tc>
        <w:tc>
          <w:tcPr>
            <w:tcW w:type="dxa" w:w="7029"/>
            <w:vAlign w:val="top"/>
            <w:tcMar>
              <w:top w:w="85" w:type="dxa"/>
              <w:bottom w:w="85" w:type="dxa"/>
              <w:left w:w="95" w:type="dxa"/>
              <w:right w:w="95" w:type="dxa"/>
            </w:tcMar>
            <w:shd w:fill="FFFFFF"/>
          </w:tcPr>
          <w:p>
            <w:pPr>
              <w:pStyle w:val="TableText"/>
              <w:keepNext w:val="0"/>
              <w:spacing w:after="20"/>
            </w:pPr>
            <w:r>
              <w:t>Current packages, currency, tax/fee clarity, exclusions, billing terms, comparison, date applicability, and action. Server validates payable prices.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About and trust</w:t>
            </w:r>
          </w:p>
        </w:tc>
        <w:tc>
          <w:tcPr>
            <w:tcW w:type="dxa" w:w="7029"/>
            <w:vAlign w:val="top"/>
            <w:tcMar>
              <w:top w:w="85" w:type="dxa"/>
              <w:bottom w:w="85" w:type="dxa"/>
              <w:left w:w="95" w:type="dxa"/>
              <w:right w:w="95" w:type="dxa"/>
            </w:tcMar>
            <w:shd w:fill="F3F7F9"/>
          </w:tcPr>
          <w:p>
            <w:pPr>
              <w:pStyle w:val="TableText"/>
              <w:keepNext w:val="0"/>
              <w:spacing w:after="20"/>
            </w:pPr>
            <w:r>
              <w:t>Accurate organization identity, real team or accountable contacts, experience evidence, policies, and customer-support routes.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Blog/resources</w:t>
            </w:r>
          </w:p>
        </w:tc>
        <w:tc>
          <w:tcPr>
            <w:tcW w:type="dxa" w:w="7029"/>
            <w:vAlign w:val="top"/>
            <w:tcMar>
              <w:top w:w="85" w:type="dxa"/>
              <w:bottom w:w="85" w:type="dxa"/>
              <w:left w:w="95" w:type="dxa"/>
              <w:right w:w="95" w:type="dxa"/>
            </w:tcMar>
            <w:shd w:fill="FFFFFF"/>
          </w:tcPr>
          <w:p>
            <w:pPr>
              <w:pStyle w:val="TableText"/>
              <w:keepNext w:val="0"/>
              <w:spacing w:after="20"/>
            </w:pPr>
            <w:r>
              <w:t>Searchable or browsable index, categories, author/reviewer information, useful article pages, related content, and resource downloads.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Contact and conversion</w:t>
            </w:r>
          </w:p>
        </w:tc>
        <w:tc>
          <w:tcPr>
            <w:tcW w:type="dxa" w:w="7029"/>
            <w:vAlign w:val="top"/>
            <w:tcMar>
              <w:top w:w="85" w:type="dxa"/>
              <w:bottom w:w="85" w:type="dxa"/>
              <w:left w:w="95" w:type="dxa"/>
              <w:right w:w="95" w:type="dxa"/>
            </w:tcMar>
            <w:shd w:fill="F3F7F9"/>
          </w:tcPr>
          <w:p>
            <w:pPr>
              <w:pStyle w:val="TableText"/>
              <w:keepNext w:val="0"/>
              <w:spacing w:after="20"/>
            </w:pPr>
            <w:r>
              <w:t>Accessible enquiry form, permitted contact channels, honest response expectations, confirmation, and fallback contact method.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Utility and legal</w:t>
            </w:r>
          </w:p>
        </w:tc>
        <w:tc>
          <w:tcPr>
            <w:tcW w:type="dxa" w:w="7029"/>
            <w:vAlign w:val="top"/>
            <w:tcMar>
              <w:top w:w="85" w:type="dxa"/>
              <w:bottom w:w="85" w:type="dxa"/>
              <w:left w:w="95" w:type="dxa"/>
              <w:right w:w="95" w:type="dxa"/>
            </w:tcMar>
            <w:shd w:fill="FFFFFF"/>
          </w:tcPr>
          <w:p>
            <w:pPr>
              <w:pStyle w:val="TableText"/>
              <w:keepNext w:val="0"/>
              <w:spacing w:after="20"/>
            </w:pPr>
            <w:r>
              <w:t>Search results, 404/500/offline states, privacy/cookie notices, consent preferences, terms, accessibility information, and module-specific policies.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Campaign landing</w:t>
            </w:r>
          </w:p>
        </w:tc>
        <w:tc>
          <w:tcPr>
            <w:tcW w:type="dxa" w:w="7029"/>
            <w:vAlign w:val="top"/>
            <w:tcMar>
              <w:top w:w="85" w:type="dxa"/>
              <w:bottom w:w="85" w:type="dxa"/>
              <w:left w:w="95" w:type="dxa"/>
              <w:right w:w="95" w:type="dxa"/>
            </w:tcMar>
            <w:shd w:fill="F3F7F9"/>
          </w:tcPr>
          <w:p>
            <w:pPr>
              <w:pStyle w:val="TableText"/>
              <w:keepNext w:val="0"/>
              <w:spacing w:after="20"/>
            </w:pPr>
            <w:r>
              <w:t>Message-matched offer, focused action, concise navigation where appropriate, fast page, truthful proof, and consistent legal access.</w:t>
            </w:r>
          </w:p>
        </w:tc>
      </w:tr>
    </w:tbl>
    <w:p>
      <w:pPr>
        <w:spacing w:after="0"/>
      </w:pPr>
    </w:p>
    <w:p>
      <w:r>
        <w:t>Build task-oriented navigation, not a menu containing every internal department. Public links must resolve to working pages. Avoid hidden critical information, deceptive countdowns, preselected paid extras, obstructive popups, or back-button interference. Downloads and forms must have clear labels and state what the visitor receives.</w:t>
      </w:r>
    </w:p>
    <w:p>
      <w:pPr>
        <w:pStyle w:val="Heading2"/>
      </w:pPr>
      <w:r>
        <w:t>4.2 Map the journey before designing sections</w:t>
      </w:r>
    </w:p>
    <w:p>
      <w:r>
        <w:t>For each primary audience, define entry source, intent, evidence needed, likely objections, useful next action, and follow-up. A high-intent paid visitor may need price, eligibility, and a short enquiry form. A researching visitor may need a comparison article, guide, and later consultation. These are different journeys, not a single forced funnel.</w:t>
      </w:r>
    </w:p>
    <w:p>
      <w:r>
        <w:t>Use one visually dominant action per important screen region. Provide secondary actions when they serve a distinct need. Track stable action IDs, not whichever button text a marketer writes. Keep the same action identity when text changes; create a new identity when the action's meaning changes.</w:t>
      </w:r>
    </w:p>
    <w:p>
      <w:pPr>
        <w:pStyle w:val="Heading2"/>
      </w:pPr>
      <w:r>
        <w:t>4.3 Content requirements for every page</w:t>
      </w:r>
    </w:p>
    <w:p>
      <w:r>
        <w:t>Every page record must include a content owner, purpose, target audience, locale, route, template, lifecycle state, primary action, SEO settings, share image, accessibility review status, and next review date. Identify whether the page is intended for search indexing. Marketing-only variants may remain accessible to ads while being deliberately excluded from organic indexing when the SEO plan calls for it.</w:t>
      </w:r>
    </w:p>
    <w:p>
      <w:r>
        <w:t>Use real, authorized proof. Case studies should state their scope and evidence, not imply guaranteed future results. Testimonials require permission and source records. Regulated businesses need additional claim review. Reviews, pricing, and availability shown in structured data must agree with the visible content and actual business state.</w:t>
      </w:r>
    </w:p>
    <w:p>
      <w:pPr>
        <w:pStyle w:val="Heading2"/>
      </w:pPr>
      <w:r>
        <w:t>4.4 Wireframe and content acceptance</w:t>
      </w:r>
    </w:p>
    <w:p>
      <w:r>
        <w:t>Review desktop, mobile, narrow-width, slow-network, and keyboard journeys. The page must remain understandable before images load. Core navigation and lead capture must not depend on a chat widget or animation. Validate the complete path from the ad promise to the thank-you state and the staff follow-up process, including a failed submission and recovery.</w:t>
      </w:r>
    </w:p>
    <w:p>
      <w:pPr>
        <w:pStyle w:val="Heading1"/>
        <w:pageBreakBefore w:val="0"/>
        <w:spacing w:before="400"/>
        <w:pBdr>
          <w:bottom w:val="single" w:sz="8" w:color="087F83" w:space="8"/>
        </w:pBdr>
      </w:pPr>
      <w:bookmarkStart w:id="7" w:name="chapter_05"/>
      <w:bookmarkStart w:id="264" w:name="v12_ch05"/>
      <w:r>
        <w:t>05 | Design system, accessibility, and responsive behavior</w:t>
      </w:r>
      <w:bookmarkEnd w:id="7"/>
      <w:bookmarkEnd w:id="264"/>
      <w:bookmarkStart w:id="555" w:name="tocfinal_ch_05"/>
      <w:bookmarkEnd w:id="555"/>
    </w:p>
    <w:p>
      <w:pPr>
        <w:pStyle w:val="Heading2"/>
      </w:pPr>
      <w:r>
        <w:t>5.1 Create a reusable design system</w:t>
      </w:r>
    </w:p>
    <w:p>
      <w:r>
        <w:t>Define tokens for color roles, typography, spacing, containers, borders, radii, shadows, motion, and focus indicators. Expose controlled brand choices to owners, not arbitrary CSS injection. Components must consume tokens consistently so a brand update does not require editing hundreds of pages.</w:t>
      </w:r>
    </w:p>
    <w:p>
      <w:r>
        <w:t>The initial component library must include buttons and links, inputs, select controls, checkboxes, radio groups, validation messages, alerts, dialogs, accordions, tabs where justified, breadcrumbs, navigation, cards, pagination, tables, loading indicators, and empty/error states. Document each component's accessible name, keyboard behavior, disabled/loading state, and analytics hooks.</w:t>
      </w:r>
    </w:p>
    <w:p>
      <w:pPr>
        <w:pStyle w:val="Heading2"/>
      </w:pPr>
      <w:r>
        <w:t>5.2 Accessibility acceptance standard</w:t>
      </w:r>
    </w:p>
    <w:p>
      <w:r>
        <w:t xml:space="preserve">Target WCAG 2.2 Level AA for public pages and essential owner workflows. Automated scans are necessary but do not replace keyboard, screen-reader, zoom, and real-user testing. A formal conformance claim needs appropriate evaluation; a passing automated score alone is not that evaluation. </w:t>
      </w:r>
      <w:hyperlink w:anchor="ref_R31">
        <w:r>
          <w:rPr>
            <w:color w:val="087F83"/>
            <w:rFonts w:ascii="Lato" w:hAnsi="Lato"/>
            <w:sz w:val="19"/>
          </w:rPr>
          <w:t>[R31]</w:t>
        </w:r>
      </w:hyperlink>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Area</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implementation test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Structure</w:t>
            </w:r>
          </w:p>
        </w:tc>
        <w:tc>
          <w:tcPr>
            <w:tcW w:type="dxa" w:w="7029"/>
            <w:vAlign w:val="top"/>
            <w:tcMar>
              <w:top w:w="85" w:type="dxa"/>
              <w:bottom w:w="85" w:type="dxa"/>
              <w:left w:w="95" w:type="dxa"/>
              <w:right w:w="95" w:type="dxa"/>
            </w:tcMar>
            <w:shd w:fill="FFFFFF"/>
          </w:tcPr>
          <w:p>
            <w:pPr>
              <w:pStyle w:val="TableText"/>
              <w:keepNext w:val="0"/>
              <w:spacing w:after="20"/>
            </w:pPr>
            <w:r>
              <w:t>Meaningful landmarks, logical headings, descriptive page titles, skip link, and correct semantic controls.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Input</w:t>
            </w:r>
          </w:p>
        </w:tc>
        <w:tc>
          <w:tcPr>
            <w:tcW w:type="dxa" w:w="7029"/>
            <w:vAlign w:val="top"/>
            <w:tcMar>
              <w:top w:w="85" w:type="dxa"/>
              <w:bottom w:w="85" w:type="dxa"/>
              <w:left w:w="95" w:type="dxa"/>
              <w:right w:w="95" w:type="dxa"/>
            </w:tcMar>
            <w:shd w:fill="F3F7F9"/>
          </w:tcPr>
          <w:p>
            <w:pPr>
              <w:pStyle w:val="TableText"/>
              <w:keepNext w:val="0"/>
              <w:spacing w:after="20"/>
            </w:pPr>
            <w:r>
              <w:t>Persistent labels, appropriate autocomplete, clear instructions, programmatic errors, error summary, and no color-only feedback.</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Keyboard and focus</w:t>
            </w:r>
          </w:p>
        </w:tc>
        <w:tc>
          <w:tcPr>
            <w:tcW w:type="dxa" w:w="7029"/>
            <w:vAlign w:val="top"/>
            <w:tcMar>
              <w:top w:w="85" w:type="dxa"/>
              <w:bottom w:w="85" w:type="dxa"/>
              <w:left w:w="95" w:type="dxa"/>
              <w:right w:w="95" w:type="dxa"/>
            </w:tcMar>
            <w:shd w:fill="FFFFFF"/>
          </w:tcPr>
          <w:p>
            <w:pPr>
              <w:pStyle w:val="TableText"/>
              <w:keepNext w:val="0"/>
              <w:spacing w:after="20"/>
            </w:pPr>
            <w:r>
              <w:t>All actions reachable; visible focus; dialogs contain and restore focus; sticky bars do not conceal focused controls.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Reading and display</w:t>
            </w:r>
          </w:p>
        </w:tc>
        <w:tc>
          <w:tcPr>
            <w:tcW w:type="dxa" w:w="7029"/>
            <w:vAlign w:val="top"/>
            <w:tcMar>
              <w:top w:w="85" w:type="dxa"/>
              <w:bottom w:w="85" w:type="dxa"/>
              <w:left w:w="95" w:type="dxa"/>
              <w:right w:w="95" w:type="dxa"/>
            </w:tcMar>
            <w:shd w:fill="F3F7F9"/>
          </w:tcPr>
          <w:p>
            <w:pPr>
              <w:pStyle w:val="TableText"/>
              <w:keepNext w:val="0"/>
              <w:spacing w:after="20"/>
            </w:pPr>
            <w:r>
              <w:t>Readable contrast, zoom/reflow support, no essential horizontal page scrolling on narrow layouts, and usable text spacing.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Media and motion</w:t>
            </w:r>
          </w:p>
        </w:tc>
        <w:tc>
          <w:tcPr>
            <w:tcW w:type="dxa" w:w="7029"/>
            <w:vAlign w:val="top"/>
            <w:tcMar>
              <w:top w:w="85" w:type="dxa"/>
              <w:bottom w:w="85" w:type="dxa"/>
              <w:left w:w="95" w:type="dxa"/>
              <w:right w:w="95" w:type="dxa"/>
            </w:tcMar>
            <w:shd w:fill="FFFFFF"/>
          </w:tcPr>
          <w:p>
            <w:pPr>
              <w:pStyle w:val="TableText"/>
              <w:keepNext w:val="0"/>
              <w:spacing w:after="20"/>
            </w:pPr>
            <w:r>
              <w:t>Useful alternative text, captions/transcripts where needed, no essential autoplay, reduced-motion support, and decorative media hidden appropriately.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Interaction</w:t>
            </w:r>
          </w:p>
        </w:tc>
        <w:tc>
          <w:tcPr>
            <w:tcW w:type="dxa" w:w="7029"/>
            <w:vAlign w:val="top"/>
            <w:tcMar>
              <w:top w:w="85" w:type="dxa"/>
              <w:bottom w:w="85" w:type="dxa"/>
              <w:left w:w="95" w:type="dxa"/>
              <w:right w:w="95" w:type="dxa"/>
            </w:tcMar>
            <w:shd w:fill="F3F7F9"/>
          </w:tcPr>
          <w:p>
            <w:pPr>
              <w:pStyle w:val="TableText"/>
              <w:keepNext w:val="0"/>
              <w:spacing w:after="20"/>
            </w:pPr>
            <w:r>
              <w:t>Adequate touch targets, alternatives to dragging, accessible authentication, and no unnecessary repeated entry of known information.</w:t>
            </w:r>
          </w:p>
        </w:tc>
      </w:tr>
    </w:tbl>
    <w:p>
      <w:pPr>
        <w:spacing w:after="0"/>
      </w:pPr>
    </w:p>
    <w:p>
      <w:pPr>
        <w:pStyle w:val="Heading2"/>
      </w:pPr>
      <w:r>
        <w:t>5.3 Responsive and browser contract</w:t>
      </w:r>
    </w:p>
    <w:p>
      <w:r>
        <w:t>Use content-driven breakpoints and test representative mobile widths, tablets, desktop, touch, mouse, and keyboard. Include Safari/iOS, Chrome/Android, mainstream desktop browsers, and Meta/Instagram in-app browsers where paid campaigns use them. Document supported browser versions at launch rather than freezing an evergreen document to a particular current version.</w:t>
      </w:r>
    </w:p>
    <w:p>
      <w:r>
        <w:t>Render navigation and important content without requiring a user gesture. Ensure forms work with password managers and device autofill. Test long translated text, right-to-left layouts when activated, missing images, slow fonts, and system text enlargement. Reserve dimensions for media to prevent layout jumps.</w:t>
      </w:r>
    </w:p>
    <w:p>
      <w:pPr>
        <w:pStyle w:val="Heading2"/>
      </w:pPr>
      <w:r>
        <w:t>5.4 Owner-safe customization</w:t>
      </w:r>
    </w:p>
    <w:p>
      <w:r>
        <w:t>Owners can choose approved type scales, color palettes, spacing presets, layouts, button variants, and section backgrounds. The editor should warn about contrast failures, missing labels, and excessive motion. Do not allow theme settings to remove focus outlines or make content inaccessible. Advanced design changes require design-system review and component regression tests.</w:t>
      </w:r>
    </w:p>
    <w:p>
      <w:r>
        <w:t>Brand assets need licensing records, source files, favicon variants, and share-image templates. Store image alt text at usage level when the same image has different meaning in different contexts. Global asset metadata can provide a default, not an inflexible replacement for contextual descriptions.</w:t>
      </w:r>
    </w:p>
    <w:p>
      <w:pPr>
        <w:pStyle w:val="Heading1"/>
        <w:pageBreakBefore w:val="0"/>
        <w:spacing w:before="400"/>
        <w:pBdr>
          <w:bottom w:val="single" w:sz="8" w:color="087F83" w:space="8"/>
        </w:pBdr>
      </w:pPr>
      <w:bookmarkStart w:id="8" w:name="chapter_06"/>
      <w:bookmarkStart w:id="265" w:name="v12_ch06"/>
      <w:r>
        <w:t>06 | Frontend engineering and performance</w:t>
      </w:r>
      <w:bookmarkEnd w:id="8"/>
      <w:bookmarkEnd w:id="265"/>
      <w:bookmarkStart w:id="556" w:name="tocfinal_ch_06"/>
      <w:bookmarkEnd w:id="556"/>
    </w:p>
    <w:p>
      <w:pPr>
        <w:pStyle w:val="Heading2"/>
      </w:pPr>
      <w:r>
        <w:t>6.1 Route rendering policy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Route type</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Rendering and caching rule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Public evergreen page or article</w:t>
            </w:r>
          </w:p>
        </w:tc>
        <w:tc>
          <w:tcPr>
            <w:tcW w:type="dxa" w:w="7029"/>
            <w:vAlign w:val="top"/>
            <w:tcMar>
              <w:top w:w="85" w:type="dxa"/>
              <w:bottom w:w="85" w:type="dxa"/>
              <w:left w:w="95" w:type="dxa"/>
              <w:right w:w="95" w:type="dxa"/>
            </w:tcMar>
            <w:shd w:fill="FFFFFF"/>
          </w:tcPr>
          <w:p>
            <w:pPr>
              <w:pStyle w:val="TableText"/>
              <w:keepNext w:val="0"/>
              <w:spacing w:after="20"/>
            </w:pPr>
            <w:r>
              <w:t>Pre-render or cache server output; refresh through validated publication events and a bounded fallback freshness policy.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Time-sensitive public information</w:t>
            </w:r>
          </w:p>
        </w:tc>
        <w:tc>
          <w:tcPr>
            <w:tcW w:type="dxa" w:w="7029"/>
            <w:vAlign w:val="top"/>
            <w:tcMar>
              <w:top w:w="85" w:type="dxa"/>
              <w:bottom w:w="85" w:type="dxa"/>
              <w:left w:w="95" w:type="dxa"/>
              <w:right w:w="95" w:type="dxa"/>
            </w:tcMar>
            <w:shd w:fill="F3F7F9"/>
          </w:tcPr>
          <w:p>
            <w:pPr>
              <w:pStyle w:val="TableText"/>
              <w:keepNext w:val="0"/>
              <w:spacing w:after="20"/>
            </w:pPr>
            <w:r>
              <w:t>Server-render or use short controlled caching; label relevant dates and define acceptable staleness.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Pricing and product display</w:t>
            </w:r>
          </w:p>
        </w:tc>
        <w:tc>
          <w:tcPr>
            <w:tcW w:type="dxa" w:w="7029"/>
            <w:vAlign w:val="top"/>
            <w:tcMar>
              <w:top w:w="85" w:type="dxa"/>
              <w:bottom w:w="85" w:type="dxa"/>
              <w:left w:w="95" w:type="dxa"/>
              <w:right w:w="95" w:type="dxa"/>
            </w:tcMar>
            <w:shd w:fill="FFFFFF"/>
          </w:tcPr>
          <w:p>
            <w:pPr>
              <w:pStyle w:val="TableText"/>
              <w:keepNext w:val="0"/>
              <w:spacing w:after="20"/>
            </w:pPr>
            <w:r>
              <w:t>Cache presentation only within approved limits; revalidate transaction price and availability on the server.</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Authenticated portal or admin</w:t>
            </w:r>
          </w:p>
        </w:tc>
        <w:tc>
          <w:tcPr>
            <w:tcW w:type="dxa" w:w="7029"/>
            <w:vAlign w:val="top"/>
            <w:tcMar>
              <w:top w:w="85" w:type="dxa"/>
              <w:bottom w:w="85" w:type="dxa"/>
              <w:left w:w="95" w:type="dxa"/>
              <w:right w:w="95" w:type="dxa"/>
            </w:tcMar>
            <w:shd w:fill="F3F7F9"/>
          </w:tcPr>
          <w:p>
            <w:pPr>
              <w:pStyle w:val="TableText"/>
              <w:keepNext w:val="0"/>
              <w:spacing w:after="20"/>
            </w:pPr>
            <w:r>
              <w:t>Per-user authorization; no shared cache of private data; prevent indexing and sensitive response caching.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Preview</w:t>
            </w:r>
          </w:p>
        </w:tc>
        <w:tc>
          <w:tcPr>
            <w:tcW w:type="dxa" w:w="7029"/>
            <w:vAlign w:val="top"/>
            <w:tcMar>
              <w:top w:w="85" w:type="dxa"/>
              <w:bottom w:w="85" w:type="dxa"/>
              <w:left w:w="95" w:type="dxa"/>
              <w:right w:w="95" w:type="dxa"/>
            </w:tcMar>
            <w:shd w:fill="FFFFFF"/>
          </w:tcPr>
          <w:p>
            <w:pPr>
              <w:pStyle w:val="TableText"/>
              <w:keepNext w:val="0"/>
              <w:spacing w:after="20"/>
            </w:pPr>
            <w:r>
              <w:t>Signed, short-lived, authorized draft access; no shared public cache; no production marketing tags.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Search and filters</w:t>
            </w:r>
          </w:p>
        </w:tc>
        <w:tc>
          <w:tcPr>
            <w:tcW w:type="dxa" w:w="7029"/>
            <w:vAlign w:val="top"/>
            <w:tcMar>
              <w:top w:w="85" w:type="dxa"/>
              <w:bottom w:w="85" w:type="dxa"/>
              <w:left w:w="95" w:type="dxa"/>
              <w:right w:w="95" w:type="dxa"/>
            </w:tcMar>
            <w:shd w:fill="F3F7F9"/>
          </w:tcPr>
          <w:p>
            <w:pPr>
              <w:pStyle w:val="TableText"/>
              <w:keepNext w:val="0"/>
              <w:spacing w:after="20"/>
            </w:pPr>
            <w:r>
              <w:t>Stable routes and accessible pagination; deliberate indexing policy; separate performance and query-cost limits.</w:t>
            </w:r>
          </w:p>
        </w:tc>
      </w:tr>
    </w:tbl>
    <w:p>
      <w:pPr>
        <w:spacing w:after="0"/>
      </w:pPr>
    </w:p>
    <w:p>
      <w:r>
        <w:t>Use server components for suitable content and data access, and small client components for actual interaction. Keep business rules in the API/domain layer, not duplicated between frontend handlers and NestJS. A frontend gateway may simplify cookies and same-origin requests but must not become a second source of truth.</w:t>
      </w:r>
    </w:p>
    <w:p>
      <w:r>
        <w:t xml:space="preserve">Next.js supports self-hosting, but production operation still requires deployment, cache, proxy, and security decisions. It does not make every page instantly fast. Public environment variables are public; do not place secrets in browser-exposed configuration. Pin and test the chosen framework version rather than copying old cache API examples. </w:t>
      </w:r>
      <w:hyperlink w:anchor="ref_R28">
        <w:r>
          <w:rPr>
            <w:color w:val="087F83"/>
            <w:rFonts w:ascii="Lato" w:hAnsi="Lato"/>
            <w:sz w:val="19"/>
          </w:rPr>
          <w:t>[R28]</w:t>
        </w:r>
      </w:hyperlink>
      <w:r>
        <w:t xml:space="preserve"> </w:t>
      </w:r>
      <w:hyperlink w:anchor="ref_R29">
        <w:r>
          <w:rPr>
            <w:color w:val="087F83"/>
            <w:rFonts w:ascii="Lato" w:hAnsi="Lato"/>
            <w:sz w:val="19"/>
          </w:rPr>
          <w:t>[R29]</w:t>
        </w:r>
      </w:hyperlink>
      <w:r/>
    </w:p>
    <w:p>
      <w:pPr>
        <w:pStyle w:val="Heading2"/>
      </w:pPr>
      <w:r>
        <w:t>6.2 Proposed performance budgets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Measure</w:t>
            </w:r>
          </w:p>
        </w:tc>
        <w:tc>
          <w:tcPr>
            <w:tcW w:type="dxa" w:w="3883"/>
            <w:vAlign w:val="top"/>
            <w:tcMar>
              <w:top w:w="85" w:type="dxa"/>
              <w:bottom w:w="85" w:type="dxa"/>
              <w:left w:w="95" w:type="dxa"/>
              <w:right w:w="95" w:type="dxa"/>
            </w:tcMar>
            <w:shd w:fill="163349"/>
          </w:tcPr>
          <w:p>
            <w:pPr>
              <w:pStyle w:val="TableText"/>
              <w:keepNext/>
              <w:spacing w:after="20"/>
            </w:pPr>
            <w:r>
              <w:rPr>
                <w:b/>
                <w:color w:val="FFFFFF"/>
              </w:rPr>
              <w:t>Starting acceptance target</w:t>
            </w:r>
          </w:p>
        </w:tc>
        <w:tc>
          <w:tcPr>
            <w:tcW w:type="dxa" w:w="3687"/>
            <w:vAlign w:val="top"/>
            <w:tcMar>
              <w:top w:w="85" w:type="dxa"/>
              <w:bottom w:w="85" w:type="dxa"/>
              <w:left w:w="95" w:type="dxa"/>
              <w:right w:w="95" w:type="dxa"/>
            </w:tcMar>
            <w:shd w:fill="163349"/>
          </w:tcPr>
          <w:p>
            <w:pPr>
              <w:pStyle w:val="TableText"/>
              <w:keepNext/>
              <w:spacing w:after="20"/>
            </w:pPr>
            <w:r>
              <w:rPr>
                <w:b/>
                <w:color w:val="FFFFFF"/>
              </w:rPr>
              <w:t>Method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Core Web Vitals</w:t>
            </w:r>
          </w:p>
        </w:tc>
        <w:tc>
          <w:tcPr>
            <w:tcW w:type="dxa" w:w="3883"/>
            <w:vAlign w:val="top"/>
            <w:tcMar>
              <w:top w:w="85" w:type="dxa"/>
              <w:bottom w:w="85" w:type="dxa"/>
              <w:left w:w="95" w:type="dxa"/>
              <w:right w:w="95" w:type="dxa"/>
            </w:tcMar>
            <w:shd w:fill="FFFFFF"/>
          </w:tcPr>
          <w:p>
            <w:pPr>
              <w:pStyle w:val="TableText"/>
              <w:keepNext w:val="0"/>
              <w:spacing w:after="20"/>
            </w:pPr>
            <w:r>
              <w:t>LCP ≤ 2.5 seconds, INP ≤ 200 milliseconds, CLS ≤ 0.1 at the 75th percentile.</w:t>
            </w:r>
          </w:p>
        </w:tc>
        <w:tc>
          <w:tcPr>
            <w:tcW w:type="dxa" w:w="3687"/>
            <w:vAlign w:val="top"/>
            <w:tcMar>
              <w:top w:w="85" w:type="dxa"/>
              <w:bottom w:w="85" w:type="dxa"/>
              <w:left w:w="95" w:type="dxa"/>
              <w:right w:w="95" w:type="dxa"/>
            </w:tcMar>
            <w:shd w:fill="FFFFFF"/>
          </w:tcPr>
          <w:p>
            <w:pPr>
              <w:pStyle w:val="TableText"/>
              <w:keepNext w:val="0"/>
              <w:spacing w:after="20"/>
            </w:pPr>
            <w:r>
              <w:t>Field data by device class and major route; lab checks before sufficient field traffic exists.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Initial transferred JavaScript</w:t>
            </w:r>
          </w:p>
        </w:tc>
        <w:tc>
          <w:tcPr>
            <w:tcW w:type="dxa" w:w="3883"/>
            <w:vAlign w:val="top"/>
            <w:tcMar>
              <w:top w:w="85" w:type="dxa"/>
              <w:bottom w:w="85" w:type="dxa"/>
              <w:left w:w="95" w:type="dxa"/>
              <w:right w:w="95" w:type="dxa"/>
            </w:tcMar>
            <w:shd w:fill="F3F7F9"/>
          </w:tcPr>
          <w:p>
            <w:pPr>
              <w:pStyle w:val="TableText"/>
              <w:keepNext w:val="0"/>
              <w:spacing w:after="20"/>
            </w:pPr>
            <w:r>
              <w:t>Aim for ≤ 200 KB compressed on core marketing routes; approved exceptions documented.</w:t>
            </w:r>
          </w:p>
        </w:tc>
        <w:tc>
          <w:tcPr>
            <w:tcW w:type="dxa" w:w="3687"/>
            <w:vAlign w:val="top"/>
            <w:tcMar>
              <w:top w:w="85" w:type="dxa"/>
              <w:bottom w:w="85" w:type="dxa"/>
              <w:left w:w="95" w:type="dxa"/>
              <w:right w:w="95" w:type="dxa"/>
            </w:tcMar>
            <w:shd w:fill="F3F7F9"/>
          </w:tcPr>
          <w:p>
            <w:pPr>
              <w:pStyle w:val="TableText"/>
              <w:keepNext w:val="0"/>
              <w:spacing w:after="20"/>
            </w:pPr>
            <w:r>
              <w:t>Build report including framework and first-party code; measure third-party cost separately.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Initial mobile page transfer</w:t>
            </w:r>
          </w:p>
        </w:tc>
        <w:tc>
          <w:tcPr>
            <w:tcW w:type="dxa" w:w="3883"/>
            <w:vAlign w:val="top"/>
            <w:tcMar>
              <w:top w:w="85" w:type="dxa"/>
              <w:bottom w:w="85" w:type="dxa"/>
              <w:left w:w="95" w:type="dxa"/>
              <w:right w:w="95" w:type="dxa"/>
            </w:tcMar>
            <w:shd w:fill="FFFFFF"/>
          </w:tcPr>
          <w:p>
            <w:pPr>
              <w:pStyle w:val="TableText"/>
              <w:keepNext w:val="0"/>
              <w:spacing w:after="20"/>
            </w:pPr>
            <w:r>
              <w:t>Aim for ≤ 1 MB for the principal marketing experience, excluding user-requested video/downloads.</w:t>
            </w:r>
          </w:p>
        </w:tc>
        <w:tc>
          <w:tcPr>
            <w:tcW w:type="dxa" w:w="3687"/>
            <w:vAlign w:val="top"/>
            <w:tcMar>
              <w:top w:w="85" w:type="dxa"/>
              <w:bottom w:w="85" w:type="dxa"/>
              <w:left w:w="95" w:type="dxa"/>
              <w:right w:w="95" w:type="dxa"/>
            </w:tcMar>
            <w:shd w:fill="FFFFFF"/>
          </w:tcPr>
          <w:p>
            <w:pPr>
              <w:pStyle w:val="TableText"/>
              <w:keepNext w:val="0"/>
              <w:spacing w:after="20"/>
            </w:pPr>
            <w:r>
              <w:t>Repeatable mobile network test with cache state recorded.</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Lead API latency</w:t>
            </w:r>
          </w:p>
        </w:tc>
        <w:tc>
          <w:tcPr>
            <w:tcW w:type="dxa" w:w="3883"/>
            <w:vAlign w:val="top"/>
            <w:tcMar>
              <w:top w:w="85" w:type="dxa"/>
              <w:bottom w:w="85" w:type="dxa"/>
              <w:left w:w="95" w:type="dxa"/>
              <w:right w:w="95" w:type="dxa"/>
            </w:tcMar>
            <w:shd w:fill="F3F7F9"/>
          </w:tcPr>
          <w:p>
            <w:pPr>
              <w:pStyle w:val="TableText"/>
              <w:keepNext w:val="0"/>
              <w:spacing w:after="20"/>
            </w:pPr>
            <w:r>
              <w:t>Proposed p95 ≤ 800 milliseconds at approved peak load, excluding deferred third-party delivery.</w:t>
            </w:r>
          </w:p>
        </w:tc>
        <w:tc>
          <w:tcPr>
            <w:tcW w:type="dxa" w:w="3687"/>
            <w:vAlign w:val="top"/>
            <w:tcMar>
              <w:top w:w="85" w:type="dxa"/>
              <w:bottom w:w="85" w:type="dxa"/>
              <w:left w:w="95" w:type="dxa"/>
              <w:right w:w="95" w:type="dxa"/>
            </w:tcMar>
            <w:shd w:fill="F3F7F9"/>
          </w:tcPr>
          <w:p>
            <w:pPr>
              <w:pStyle w:val="TableText"/>
              <w:keepNext w:val="0"/>
              <w:spacing w:after="20"/>
            </w:pPr>
            <w:r>
              <w:t>Load test and production APM; never bypass validation to meet target.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Publish visibility</w:t>
            </w:r>
          </w:p>
        </w:tc>
        <w:tc>
          <w:tcPr>
            <w:tcW w:type="dxa" w:w="3883"/>
            <w:vAlign w:val="top"/>
            <w:tcMar>
              <w:top w:w="85" w:type="dxa"/>
              <w:bottom w:w="85" w:type="dxa"/>
              <w:left w:w="95" w:type="dxa"/>
              <w:right w:w="95" w:type="dxa"/>
            </w:tcMar>
            <w:shd w:fill="FFFFFF"/>
          </w:tcPr>
          <w:p>
            <w:pPr>
              <w:pStyle w:val="TableText"/>
              <w:keepNext w:val="0"/>
              <w:spacing w:after="20"/>
            </w:pPr>
            <w:r>
              <w:t>Proposed p95 ≤ 60 seconds after successful publication for affected public routes.</w:t>
            </w:r>
          </w:p>
        </w:tc>
        <w:tc>
          <w:tcPr>
            <w:tcW w:type="dxa" w:w="3687"/>
            <w:vAlign w:val="top"/>
            <w:tcMar>
              <w:top w:w="85" w:type="dxa"/>
              <w:bottom w:w="85" w:type="dxa"/>
              <w:left w:w="95" w:type="dxa"/>
              <w:right w:w="95" w:type="dxa"/>
            </w:tcMar>
            <w:shd w:fill="FFFFFF"/>
          </w:tcPr>
          <w:p>
            <w:pPr>
              <w:pStyle w:val="TableText"/>
              <w:keepNext w:val="0"/>
              <w:spacing w:after="20"/>
            </w:pPr>
            <w:r>
              <w:t>Synthetic publish/read test across deployed instances and CDN.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Reliability</w:t>
            </w:r>
          </w:p>
        </w:tc>
        <w:tc>
          <w:tcPr>
            <w:tcW w:type="dxa" w:w="3883"/>
            <w:vAlign w:val="top"/>
            <w:tcMar>
              <w:top w:w="85" w:type="dxa"/>
              <w:bottom w:w="85" w:type="dxa"/>
              <w:left w:w="95" w:type="dxa"/>
              <w:right w:w="95" w:type="dxa"/>
            </w:tcMar>
            <w:shd w:fill="F3F7F9"/>
          </w:tcPr>
          <w:p>
            <w:pPr>
              <w:pStyle w:val="TableText"/>
              <w:keepNext w:val="0"/>
              <w:spacing w:after="20"/>
            </w:pPr>
            <w:r>
              <w:t>No lost acknowledged lead in tested crash/retry scenarios.</w:t>
            </w:r>
          </w:p>
        </w:tc>
        <w:tc>
          <w:tcPr>
            <w:tcW w:type="dxa" w:w="3687"/>
            <w:vAlign w:val="top"/>
            <w:tcMar>
              <w:top w:w="85" w:type="dxa"/>
              <w:bottom w:w="85" w:type="dxa"/>
              <w:left w:w="95" w:type="dxa"/>
              <w:right w:w="95" w:type="dxa"/>
            </w:tcMar>
            <w:shd w:fill="F3F7F9"/>
          </w:tcPr>
          <w:p>
            <w:pPr>
              <w:pStyle w:val="TableText"/>
              <w:keepNext w:val="0"/>
              <w:spacing w:after="20"/>
            </w:pPr>
            <w:r>
              <w:t>Transaction, outbox, restart, and reconciliation tests.</w:t>
            </w:r>
          </w:p>
        </w:tc>
      </w:tr>
    </w:tbl>
    <w:p>
      <w:pPr>
        <w:spacing w:after="0"/>
      </w:pPr>
    </w:p>
    <w:p>
      <w:r>
        <w:t xml:space="preserve">The Web Vitals thresholds above are Google's published experience thresholds; the other numbers are project starting budgets, not universal standards. Approve realistic exceptions against a measured baseline and business needs. </w:t>
      </w:r>
      <w:hyperlink w:anchor="ref_R04">
        <w:r>
          <w:rPr>
            <w:color w:val="087F83"/>
            <w:rFonts w:ascii="Lato" w:hAnsi="Lato"/>
            <w:sz w:val="19"/>
          </w:rPr>
          <w:t>[R04]</w:t>
        </w:r>
      </w:hyperlink>
      <w:r/>
    </w:p>
    <w:p>
      <w:pPr>
        <w:pStyle w:val="Heading2"/>
      </w:pPr>
      <w:r>
        <w:t>6.3 Loading and interaction engineering</w:t>
      </w:r>
    </w:p>
    <w:p>
      <w:r>
        <w:t>Optimize image dimensions, responsive sources, modern formats with suitable fallbacks, and compression. Prioritize the actual above-the-fold hero image; lazy-load below-fold media. Subset and self-host licensed fonts where appropriate, with sensible fallback metrics. Reserve layout space for banners, embeds, and asynchronous blocks.</w:t>
      </w:r>
    </w:p>
    <w:p>
      <w:r>
        <w:t>Defer optional chat, maps, replay, and video players until needed and permitted. Avoid shipping an entire page builder runtime to public visitors. Paginate long lists, debounce search, cancel obsolete requests, and avoid heavy main-thread work on scroll. A consent banner itself must not block the main interaction thread or cover essential controls.</w:t>
      </w:r>
    </w:p>
    <w:p>
      <w:pPr>
        <w:pStyle w:val="Heading2"/>
      </w:pPr>
      <w:r>
        <w:t>6.4 Resilience and cache correctness</w:t>
      </w:r>
    </w:p>
    <w:p>
      <w:r>
        <w:t>Public content can use a last-known-good published snapshot during a CMS outage. Forms must never show success when the API did not durably accept the submission. Present a retry-safe error and alternative contact route. An analytics failure must not break navigation or lead capture.</w:t>
      </w:r>
    </w:p>
    <w:p>
      <w:r>
        <w:t>Cache keys must include relevant site, locale, content revision, and public variation. Never vary a shared public cache on unbounded personal identifiers. Preview cookies, authenticated responses, and price-sensitive transaction data need explicit handling. Test content updates on every instance; a successful webhook response alone does not prove the public site refreshed.</w:t>
      </w:r>
    </w:p>
    <w:p>
      <w:pPr>
        <w:pStyle w:val="SmallNote"/>
        <w:spacing w:before="120"/>
      </w:pPr>
      <w:r>
        <w:t>Final edition integration: Apply Chapter 72 for prerender, hidden-tab and back/forward restoration behavior; do not count speculative requests as actual exposure.</w:t>
      </w:r>
    </w:p>
    <w:p>
      <w:pPr>
        <w:pStyle w:val="Heading1"/>
        <w:pageBreakBefore w:val="0"/>
        <w:spacing w:before="400"/>
        <w:pBdr>
          <w:bottom w:val="single" w:sz="8" w:color="087F83" w:space="8"/>
        </w:pBdr>
      </w:pPr>
      <w:bookmarkStart w:id="9" w:name="chapter_07"/>
      <w:bookmarkStart w:id="266" w:name="v12_ch07"/>
      <w:r>
        <w:t>07 | The owner console and autonomy contract</w:t>
      </w:r>
      <w:bookmarkEnd w:id="9"/>
      <w:bookmarkEnd w:id="266"/>
      <w:bookmarkStart w:id="557" w:name="tocfinal_ch_07"/>
      <w:bookmarkEnd w:id="557"/>
    </w:p>
    <w:p>
      <w:pPr>
        <w:pStyle w:val="Heading2"/>
      </w:pPr>
      <w:r>
        <w:t>7.1 Owner console navigation</w:t>
      </w:r>
    </w:p>
    <w:tbl>
      <w:tblPr>
        <w:tblW w:type="dxa" w:w="9831"/>
        <w:tblLayout w:type="fixed"/>
        <w:tblLook w:firstColumn="1" w:firstRow="1" w:lastColumn="0" w:lastRow="0" w:noHBand="0" w:noVBand="1" w:val="04A0"/>
        <w:jc w:val="center"/>
        <w:tblBorders>
          <w:top w:val="single" w:sz="4" w:color="D7E2E7"/>
          <w:left w:val="single" w:sz="4" w:color="D7E2E7"/>
          <w:bottom w:val="single" w:sz="4" w:color="D7E2E7"/>
          <w:right w:val="single" w:sz="4" w:color="D7E2E7"/>
          <w:insideH w:val="single" w:sz="4" w:color="D7E2E7"/>
          <w:insideV w:val="single" w:sz="4" w:color="D7E2E7"/>
        </w:tblBorders>
      </w:tblPr>
      <w:tblGrid>
        <w:gridCol w:w="2592"/>
        <w:gridCol w:w="7239"/>
      </w:tblGrid>
      <w:tr>
        <w:trPr>
          <w:cantSplit/>
          <w:tblHeader w:val="true"/>
          <w:tblHeader w:val="true"/>
        </w:trPr>
        <w:tc>
          <w:tcPr>
            <w:tcW w:type="dxa" w:w="2592"/>
            <w:vAlign w:val="center"/>
            <w:tcMar>
              <w:top w:w="85" w:type="dxa"/>
              <w:bottom w:w="85" w:type="dxa"/>
              <w:left w:w="95" w:type="dxa"/>
              <w:right w:w="95" w:type="dxa"/>
            </w:tcMar>
            <w:shd w:fill="163349"/>
            <w:tcMar>
              <w:top w:w="80" w:type="dxa"/>
              <w:bottom w:w="70" w:type="dxa"/>
              <w:left w:w="90" w:type="dxa"/>
              <w:right w:w="90" w:type="dxa"/>
            </w:tcMar>
          </w:tcPr>
          <w:p>
            <w:pPr>
              <w:pStyle w:val="TableText"/>
              <w:keepNext/>
              <w:widowControl/>
              <w:spacing w:after="40"/>
            </w:pPr>
            <w:r>
              <w:rPr>
                <w:b/>
                <w:color w:val="FFFFFF"/>
                <w:sz w:val="18"/>
              </w:rPr>
              <w:t>Console area</w:t>
            </w:r>
          </w:p>
        </w:tc>
        <w:tc>
          <w:tcPr>
            <w:tcW w:type="dxa" w:w="7239"/>
            <w:vAlign w:val="center"/>
            <w:tcMar>
              <w:top w:w="85" w:type="dxa"/>
              <w:bottom w:w="85" w:type="dxa"/>
              <w:left w:w="95" w:type="dxa"/>
              <w:right w:w="95" w:type="dxa"/>
            </w:tcMar>
            <w:shd w:fill="163349"/>
            <w:tcMar>
              <w:top w:w="80" w:type="dxa"/>
              <w:bottom w:w="70" w:type="dxa"/>
              <w:left w:w="90" w:type="dxa"/>
              <w:right w:w="90" w:type="dxa"/>
            </w:tcMar>
          </w:tcPr>
          <w:p>
            <w:pPr>
              <w:pStyle w:val="TableText"/>
              <w:keepNext/>
              <w:widowControl/>
              <w:spacing w:after="40"/>
            </w:pPr>
            <w:r>
              <w:rPr>
                <w:b/>
                <w:color w:val="FFFFFF"/>
                <w:sz w:val="18"/>
              </w:rPr>
              <w:t>Required capabilities</w:t>
            </w:r>
          </w:p>
        </w:tc>
      </w:tr>
      <w:tr>
        <w:trPr>
          <w:cantSplit/>
        </w:trPr>
        <w:tc>
          <w:tcPr>
            <w:tcW w:type="dxa" w:w="2592"/>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b/>
                <w:color w:val="163349"/>
                <w:sz w:val="18"/>
              </w:rPr>
              <w:t>Overview</w:t>
            </w:r>
          </w:p>
        </w:tc>
        <w:tc>
          <w:tcPr>
            <w:tcW w:type="dxa" w:w="7239"/>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sz w:val="18"/>
              </w:rPr>
              <w:t>Business outcomes, recent leads, content status, publication health, and action-required alerts.</w:t>
            </w:r>
          </w:p>
        </w:tc>
      </w:tr>
      <w:tr>
        <w:trPr>
          <w:cantSplit/>
        </w:trPr>
        <w:tc>
          <w:tcPr>
            <w:tcW w:type="dxa" w:w="2592"/>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b/>
                <w:color w:val="163349"/>
                <w:sz w:val="18"/>
              </w:rPr>
              <w:t>Pages and navigation</w:t>
            </w:r>
          </w:p>
        </w:tc>
        <w:tc>
          <w:tcPr>
            <w:tcW w:type="dxa" w:w="7239"/>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sz w:val="18"/>
              </w:rPr>
              <w:t>Create, duplicate, arrange approved sections, edit routes, manage menus/header/footer, preview, schedule, and roll back.</w:t>
            </w:r>
          </w:p>
        </w:tc>
      </w:tr>
      <w:tr>
        <w:trPr>
          <w:cantSplit/>
        </w:trPr>
        <w:tc>
          <w:tcPr>
            <w:tcW w:type="dxa" w:w="2592"/>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b/>
                <w:color w:val="163349"/>
                <w:sz w:val="18"/>
              </w:rPr>
              <w:t>Blog and resources</w:t>
            </w:r>
          </w:p>
        </w:tc>
        <w:tc>
          <w:tcPr>
            <w:tcW w:type="dxa" w:w="7239"/>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sz w:val="18"/>
              </w:rPr>
              <w:t>Articles, categories, authors, reviewers, related content, downloads, redirects, and editorial calendar.</w:t>
            </w:r>
          </w:p>
        </w:tc>
      </w:tr>
      <w:tr>
        <w:trPr>
          <w:cantSplit/>
        </w:trPr>
        <w:tc>
          <w:tcPr>
            <w:tcW w:type="dxa" w:w="2592"/>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b/>
                <w:color w:val="163349"/>
                <w:sz w:val="18"/>
              </w:rPr>
              <w:t>Media</w:t>
            </w:r>
          </w:p>
        </w:tc>
        <w:tc>
          <w:tcPr>
            <w:tcW w:type="dxa" w:w="7239"/>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sz w:val="18"/>
              </w:rPr>
              <w:t>Upload, organize, replace safely, crop/focal point, alt text, rights, usage references, and protected assets.</w:t>
            </w:r>
          </w:p>
        </w:tc>
      </w:tr>
      <w:tr>
        <w:trPr>
          <w:cantSplit/>
        </w:trPr>
        <w:tc>
          <w:tcPr>
            <w:tcW w:type="dxa" w:w="2592"/>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b/>
                <w:color w:val="163349"/>
                <w:sz w:val="18"/>
              </w:rPr>
              <w:t>Forms and leads</w:t>
            </w:r>
          </w:p>
        </w:tc>
        <w:tc>
          <w:tcPr>
            <w:tcW w:type="dxa" w:w="7239"/>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sz w:val="18"/>
              </w:rPr>
              <w:t>Form builder, validations, consent copy, submissions, routing, statuses, notes, exports, and deletion requests.</w:t>
            </w:r>
          </w:p>
        </w:tc>
      </w:tr>
      <w:tr>
        <w:trPr>
          <w:cantSplit/>
        </w:trPr>
        <w:tc>
          <w:tcPr>
            <w:tcW w:type="dxa" w:w="2592"/>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b/>
                <w:color w:val="163349"/>
                <w:sz w:val="18"/>
              </w:rPr>
              <w:t>SEO and campaigns</w:t>
            </w:r>
          </w:p>
        </w:tc>
        <w:tc>
          <w:tcPr>
            <w:tcW w:type="dxa" w:w="7239"/>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sz w:val="18"/>
              </w:rPr>
              <w:t>Metadata, index policy, sitemap status, canonical guidance, redirects, campaign pages, and approved UTM builder.</w:t>
            </w:r>
          </w:p>
        </w:tc>
      </w:tr>
      <w:tr>
        <w:trPr>
          <w:cantSplit/>
        </w:trPr>
        <w:tc>
          <w:tcPr>
            <w:tcW w:type="dxa" w:w="2592"/>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b/>
                <w:color w:val="163349"/>
                <w:sz w:val="18"/>
              </w:rPr>
              <w:t>Business modules</w:t>
            </w:r>
          </w:p>
        </w:tc>
        <w:tc>
          <w:tcPr>
            <w:tcW w:type="dxa" w:w="7239"/>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pPr>
            <w:r>
              <w:rPr>
                <w:sz w:val="18"/>
              </w:rPr>
              <w:t>Enabled services, prices, bookings, orders, subscriptions, or portal settings under role-specific permissions.</w:t>
            </w:r>
          </w:p>
        </w:tc>
      </w:tr>
      <w:tr>
        <w:trPr>
          <w:cantSplit/>
        </w:trPr>
        <w:tc>
          <w:tcPr>
            <w:tcW w:type="dxa" w:w="2592"/>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b/>
                <w:color w:val="163349"/>
                <w:sz w:val="18"/>
              </w:rPr>
              <w:t>Settings and governance</w:t>
            </w:r>
          </w:p>
        </w:tc>
        <w:tc>
          <w:tcPr>
            <w:tcW w:type="dxa" w:w="7239"/>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pPr>
            <w:r>
              <w:rPr>
                <w:sz w:val="18"/>
              </w:rPr>
              <w:t>Branding, domain status, locales, integrations, consent configuration, users, permissions, audit, backups/export status.</w:t>
            </w:r>
          </w:p>
        </w:tc>
      </w:tr>
      <w:tr>
        <w:trPr>
          <w:cantSplit/>
        </w:trPr>
        <w:tc>
          <w:tcPr>
            <w:tcW w:type="dxa" w:w="2592"/>
            <w:vAlign w:val="center"/>
            <w:shd w:fill="F2F7F9"/>
            <w:tcMar>
              <w:top w:w="80" w:type="dxa"/>
              <w:bottom w:w="70" w:type="dxa"/>
              <w:left w:w="90" w:type="dxa"/>
              <w:right w:w="90" w:type="dxa"/>
            </w:tcMar>
          </w:tcPr>
          <w:p>
            <w:pPr>
              <w:pStyle w:val="TableText"/>
              <w:keepNext w:val="0"/>
              <w:widowControl/>
              <w:spacing w:after="40"/>
            </w:pPr>
            <w:r>
              <w:rPr>
                <w:b/>
                <w:sz w:val="18"/>
              </w:rPr>
              <w:t>Experiments and attribution</w:t>
            </w:r>
          </w:p>
        </w:tc>
        <w:tc>
          <w:tcPr>
            <w:tcW w:type="dxa" w:w="7239"/>
            <w:vAlign w:val="center"/>
            <w:shd w:fill="F2F7F9"/>
            <w:tcMar>
              <w:top w:w="80" w:type="dxa"/>
              <w:bottom w:w="70" w:type="dxa"/>
              <w:left w:w="90" w:type="dxa"/>
              <w:right w:w="90" w:type="dxa"/>
            </w:tcMar>
          </w:tcPr>
          <w:p>
            <w:pPr>
              <w:pStyle w:val="TableText"/>
              <w:keepNext w:val="0"/>
              <w:widowControl/>
              <w:spacing w:after="40"/>
            </w:pPr>
            <w:r>
              <w:rPr>
                <w:sz w:val="18"/>
              </w:rPr>
              <w:t>Variant builder, analysis/guardrails, campaign links, acquisition diagnostics and promote/rollback.</w:t>
            </w:r>
          </w:p>
        </w:tc>
      </w:tr>
      <w:tr>
        <w:trPr>
          <w:cantSplit/>
        </w:trPr>
        <w:tc>
          <w:tcPr>
            <w:tcW w:type="dxa" w:w="2592"/>
            <w:vAlign w:val="center"/>
            <w:shd w:fill="FFFFFF"/>
            <w:tcMar>
              <w:top w:w="80" w:type="dxa"/>
              <w:bottom w:w="70" w:type="dxa"/>
              <w:left w:w="90" w:type="dxa"/>
              <w:right w:w="90" w:type="dxa"/>
            </w:tcMar>
          </w:tcPr>
          <w:p>
            <w:pPr>
              <w:pStyle w:val="TableText"/>
              <w:keepNext w:val="0"/>
              <w:widowControl/>
              <w:spacing w:after="40"/>
            </w:pPr>
            <w:r>
              <w:rPr>
                <w:b/>
                <w:sz w:val="18"/>
              </w:rPr>
              <w:t>Visitor context and conversations</w:t>
            </w:r>
          </w:p>
        </w:tc>
        <w:tc>
          <w:tcPr>
            <w:tcW w:type="dxa" w:w="7239"/>
            <w:vAlign w:val="center"/>
            <w:shd w:fill="FFFFFF"/>
            <w:tcMar>
              <w:top w:w="80" w:type="dxa"/>
              <w:bottom w:w="70" w:type="dxa"/>
              <w:left w:w="90" w:type="dxa"/>
              <w:right w:w="90" w:type="dxa"/>
            </w:tcMar>
          </w:tcPr>
          <w:p>
            <w:pPr>
              <w:pStyle w:val="TableText"/>
              <w:keepNext w:val="0"/>
              <w:widowControl/>
              <w:spacing w:after="40"/>
            </w:pPr>
            <w:r>
              <w:rPr>
                <w:sz w:val="18"/>
              </w:rPr>
              <w:t>Authorized context, explicit capture, service-area workflow, inbox/handoff, protected data reveal and audit.</w:t>
            </w:r>
          </w:p>
        </w:tc>
      </w:tr>
      <w:tr>
        <w:trPr>
          <w:cantSplit/>
        </w:trPr>
        <w:tc>
          <w:tcPr>
            <w:tcW w:type="dxa" w:w="2592"/>
            <w:vAlign w:val="center"/>
            <w:shd w:fill="F2F7F9"/>
            <w:tcMar>
              <w:top w:w="80" w:type="dxa"/>
              <w:bottom w:w="70" w:type="dxa"/>
              <w:left w:w="90" w:type="dxa"/>
              <w:right w:w="90" w:type="dxa"/>
            </w:tcMar>
          </w:tcPr>
          <w:p>
            <w:pPr>
              <w:pStyle w:val="TableText"/>
              <w:keepNext w:val="0"/>
              <w:widowControl/>
              <w:spacing w:after="40"/>
            </w:pPr>
            <w:r>
              <w:rPr>
                <w:b/>
                <w:sz w:val="18"/>
              </w:rPr>
              <w:t>Content preservation and Audit Center</w:t>
            </w:r>
          </w:p>
        </w:tc>
        <w:tc>
          <w:tcPr>
            <w:tcW w:type="dxa" w:w="7239"/>
            <w:vAlign w:val="center"/>
            <w:shd w:fill="F2F7F9"/>
            <w:tcMar>
              <w:top w:w="80" w:type="dxa"/>
              <w:bottom w:w="70" w:type="dxa"/>
              <w:left w:w="90" w:type="dxa"/>
              <w:right w:w="90" w:type="dxa"/>
            </w:tcMar>
          </w:tcPr>
          <w:p>
            <w:pPr>
              <w:pStyle w:val="TableText"/>
              <w:keepNext w:val="0"/>
              <w:widowControl/>
              <w:spacing w:after="40"/>
            </w:pPr>
            <w:r>
              <w:rPr>
                <w:sz w:val="18"/>
              </w:rPr>
              <w:t>No-expiry trash, restore, independent purge approvals, actor history, integrity status and governed exports.</w:t>
            </w:r>
          </w:p>
        </w:tc>
      </w:tr>
    </w:tbl>
    <w:p>
      <w:pPr>
        <w:spacing w:after="0"/>
      </w:pPr>
    </w:p>
    <w:p>
      <w:r>
        <w:t>Show plain-language states: saved draft, pending approval, scheduled, live, publication failed, partially refreshed, or rollback available. Never show a green success state when a background publication or integration job is still pending. Distinguish configuration health from business success.</w:t>
      </w:r>
    </w:p>
    <w:p>
      <w:pPr>
        <w:pStyle w:val="Heading2"/>
      </w:pPr>
      <w:r>
        <w:t>7.2 Autonomy boundary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Owner can do without code deployment</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Requires specialist change control</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Add or edit pages, articles, approved blocks, images, menus, pricing content, and downloadable resources.</w:t>
            </w:r>
          </w:p>
        </w:tc>
        <w:tc>
          <w:tcPr>
            <w:tcW w:type="dxa" w:w="7029"/>
            <w:vAlign w:val="top"/>
            <w:tcMar>
              <w:top w:w="85" w:type="dxa"/>
              <w:bottom w:w="85" w:type="dxa"/>
              <w:left w:w="95" w:type="dxa"/>
              <w:right w:w="95" w:type="dxa"/>
            </w:tcMar>
            <w:shd w:fill="FFFFFF"/>
          </w:tcPr>
          <w:p>
            <w:pPr>
              <w:pStyle w:val="TableText"/>
              <w:keepNext w:val="0"/>
              <w:spacing w:after="20"/>
            </w:pPr>
            <w:r>
              <w:t>Introduce new block behavior, modify data schemas incompatibly, add executable scripts, or change security controls.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Build forms from approved fields, validation rules, consent text, and routing options.</w:t>
            </w:r>
          </w:p>
        </w:tc>
        <w:tc>
          <w:tcPr>
            <w:tcW w:type="dxa" w:w="7029"/>
            <w:vAlign w:val="top"/>
            <w:tcMar>
              <w:top w:w="85" w:type="dxa"/>
              <w:bottom w:w="85" w:type="dxa"/>
              <w:left w:w="95" w:type="dxa"/>
              <w:right w:w="95" w:type="dxa"/>
            </w:tcMar>
            <w:shd w:fill="F3F7F9"/>
          </w:tcPr>
          <w:p>
            <w:pPr>
              <w:pStyle w:val="TableText"/>
              <w:keepNext w:val="0"/>
              <w:spacing w:after="20"/>
            </w:pPr>
            <w:r>
              <w:t>Add new sensitive data categories, payment handling, custom integrations, or unsupported data destinations.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Duplicate campaign templates, schedule publication, edit SEO, create approved redirects, and review results.</w:t>
            </w:r>
          </w:p>
        </w:tc>
        <w:tc>
          <w:tcPr>
            <w:tcW w:type="dxa" w:w="7029"/>
            <w:vAlign w:val="top"/>
            <w:tcMar>
              <w:top w:w="85" w:type="dxa"/>
              <w:bottom w:w="85" w:type="dxa"/>
              <w:left w:w="95" w:type="dxa"/>
              <w:right w:w="95" w:type="dxa"/>
            </w:tcMar>
            <w:shd w:fill="FFFFFF"/>
          </w:tcPr>
          <w:p>
            <w:pPr>
              <w:pStyle w:val="TableText"/>
              <w:keepNext w:val="0"/>
              <w:spacing w:after="20"/>
            </w:pPr>
            <w:r>
              <w:t>Change framework versions, infrastructure, database engines, authentication design, or custom bidding integrations.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Manage approved roles and operational settings within permission limits.</w:t>
            </w:r>
          </w:p>
        </w:tc>
        <w:tc>
          <w:tcPr>
            <w:tcW w:type="dxa" w:w="7029"/>
            <w:vAlign w:val="top"/>
            <w:tcMar>
              <w:top w:w="85" w:type="dxa"/>
              <w:bottom w:w="85" w:type="dxa"/>
              <w:left w:w="95" w:type="dxa"/>
              <w:right w:w="95" w:type="dxa"/>
            </w:tcMar>
            <w:shd w:fill="F3F7F9"/>
          </w:tcPr>
          <w:p>
            <w:pPr>
              <w:pStyle w:val="TableText"/>
              <w:keepNext w:val="0"/>
              <w:spacing w:after="20"/>
            </w:pPr>
            <w:r>
              <w:t>Remove audit evidence, bypass approval, expose secrets, or grant unrestricted platform access.</w:t>
            </w:r>
          </w:p>
        </w:tc>
      </w:tr>
    </w:tbl>
    <w:p>
      <w:pPr>
        <w:spacing w:after="0"/>
      </w:pPr>
    </w:p>
    <w:p>
      <w:pPr>
        <w:pStyle w:val="Heading2"/>
      </w:pPr>
      <w:r>
        <w:t>7.3 Editorial roles and permissions</w:t>
      </w:r>
    </w:p>
    <w:p>
      <w:r>
        <w:t>Provide separate roles for owner, administrator, editor, author, SEO/marketing manager, sales operator, analyst, and integration service account. Small businesses may assign several roles to one person, but permissions remain explicit. Authors cannot publish their own regulated claims where review is required. Analysts receive aggregated or pseudonymous views unless their role justifies identified records.</w:t>
      </w:r>
    </w:p>
    <w:p>
      <w:r>
        <w:t>Destructive actions, domain changes, integration credential changes, permission escalation, and bulk exports require stronger checks and audit. Bulk operations need a preview, affected-record count, and recovery plan. Disable accidental one-click permanent deletion of published content and business records.</w:t>
      </w:r>
    </w:p>
    <w:p>
      <w:pPr>
        <w:pStyle w:val="Heading2"/>
      </w:pPr>
      <w:r>
        <w:t>7.4 Owner acceptance exercise</w:t>
      </w:r>
    </w:p>
    <w:p>
      <w:r>
        <w:t>Before sign-off, the owner must independently create a page from approved sections, publish an article, update pricing text, replace an image, build a form, receive a lead, create a redirect, change navigation, schedule a promotion, and restore an earlier page revision. A second staff member must repeat critical tasks using the written instructions.</w:t>
      </w:r>
    </w:p>
    <w:p>
      <w:r>
        <w:t>Measure independence by successful tasks, not by the number of settings in an admin menu. Provide inline help, validation, safe defaults, accessible keyboard editing, and an audit history that explains who changed what and when. Document which changes affect live pages immediately and which require approval.</w:t>
      </w:r>
    </w:p>
    <w:p>
      <w:pPr>
        <w:pStyle w:val="Heading2"/>
        <w:keepNext/>
        <w:widowControl/>
      </w:pPr>
      <w:r>
        <w:t>7.5 New owner controls in version 1.1</w:t>
      </w:r>
    </w:p>
    <w:p>
      <w:pPr>
        <w:widowControl/>
      </w:pPr>
      <w:r>
        <w:t>The owner console must also expose Experiments, Campaign Links, Visitor Context, Conversations, Blog Trash/Restore, Purge Approvals and Audit Center. Each area has scoped permissions, usable failure states and a written operating guide. Detailed workflows and API/database contracts are in Chapters 34–40; the owner demonstrates them under Chapter 41.</w:t>
      </w:r>
    </w:p>
    <w:p>
      <w:pPr>
        <w:pStyle w:val="Heading3"/>
      </w:pPr>
      <w:r>
        <w:t>Version 1.2 integration</w:t>
      </w:r>
    </w:p>
    <w:p>
      <w:pPr/>
      <w:r>
        <w:t>Chapter 44 adds autosave/recovery, undo/redo, conflict resolution, custom collections, imports and coordinated releases. Chapters 45–48 add visual workflows, segments/scores, sender and inbox controls. These require functioning owner screens and safe error states, not configuration fields alone.</w:t>
      </w:r>
    </w:p>
    <w:p>
      <w:pPr>
        <w:pStyle w:val="Heading1"/>
        <w:pageBreakBefore w:val="0"/>
        <w:spacing w:before="400"/>
        <w:pBdr>
          <w:bottom w:val="single" w:sz="8" w:color="087F83" w:space="8"/>
        </w:pBdr>
      </w:pPr>
      <w:bookmarkStart w:id="10" w:name="chapter_08"/>
      <w:bookmarkStart w:id="267" w:name="v12_ch08"/>
      <w:r>
        <w:t>08 | Visual builder, media, and publishing workflow</w:t>
      </w:r>
      <w:bookmarkEnd w:id="10"/>
      <w:bookmarkEnd w:id="267"/>
      <w:bookmarkStart w:id="558" w:name="tocfinal_ch_08"/>
      <w:bookmarkEnd w:id="558"/>
    </w:p>
    <w:p>
      <w:pPr>
        <w:pStyle w:val="Heading2"/>
      </w:pPr>
      <w:r>
        <w:t>8.1 Block registry</w:t>
      </w:r>
    </w:p>
    <w:p>
      <w:r>
        <w:t>Each block type has a stable key, schema version, display name, editable fields, accessibility rules, default design variants, permitted child blocks, data dependencies, and supported event hooks. Store content as structured data, not arbitrary HTML or executable JavaScript. Components render through an allowlisted registry.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Block family</w:t>
            </w:r>
          </w:p>
        </w:tc>
        <w:tc>
          <w:tcPr>
            <w:tcW w:type="dxa" w:w="3883"/>
            <w:vAlign w:val="top"/>
            <w:tcMar>
              <w:top w:w="85" w:type="dxa"/>
              <w:bottom w:w="85" w:type="dxa"/>
              <w:left w:w="95" w:type="dxa"/>
              <w:right w:w="95" w:type="dxa"/>
            </w:tcMar>
            <w:shd w:fill="163349"/>
          </w:tcPr>
          <w:p>
            <w:pPr>
              <w:pStyle w:val="TableText"/>
              <w:keepNext/>
              <w:spacing w:after="20"/>
            </w:pPr>
            <w:r>
              <w:rPr>
                <w:b/>
                <w:color w:val="FFFFFF"/>
              </w:rPr>
              <w:t>Owner-editable fields</w:t>
            </w:r>
          </w:p>
        </w:tc>
        <w:tc>
          <w:tcPr>
            <w:tcW w:type="dxa" w:w="3687"/>
            <w:vAlign w:val="top"/>
            <w:tcMar>
              <w:top w:w="85" w:type="dxa"/>
              <w:bottom w:w="85" w:type="dxa"/>
              <w:left w:w="95" w:type="dxa"/>
              <w:right w:w="95" w:type="dxa"/>
            </w:tcMar>
            <w:shd w:fill="163349"/>
          </w:tcPr>
          <w:p>
            <w:pPr>
              <w:pStyle w:val="TableText"/>
              <w:keepNext/>
              <w:spacing w:after="20"/>
            </w:pPr>
            <w:r>
              <w:rPr>
                <w:b/>
                <w:color w:val="FFFFFF"/>
              </w:rPr>
              <w:t>Built-in measurement hooks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Hero and campaign intro</w:t>
            </w:r>
          </w:p>
        </w:tc>
        <w:tc>
          <w:tcPr>
            <w:tcW w:type="dxa" w:w="3883"/>
            <w:vAlign w:val="top"/>
            <w:tcMar>
              <w:top w:w="85" w:type="dxa"/>
              <w:bottom w:w="85" w:type="dxa"/>
              <w:left w:w="95" w:type="dxa"/>
              <w:right w:w="95" w:type="dxa"/>
            </w:tcMar>
            <w:shd w:fill="FFFFFF"/>
          </w:tcPr>
          <w:p>
            <w:pPr>
              <w:pStyle w:val="TableText"/>
              <w:keepNext w:val="0"/>
              <w:spacing w:after="20"/>
            </w:pPr>
            <w:r>
              <w:t>Heading, description, image, alignment, primary/secondary actions.</w:t>
            </w:r>
          </w:p>
        </w:tc>
        <w:tc>
          <w:tcPr>
            <w:tcW w:type="dxa" w:w="3687"/>
            <w:vAlign w:val="top"/>
            <w:tcMar>
              <w:top w:w="85" w:type="dxa"/>
              <w:bottom w:w="85" w:type="dxa"/>
              <w:left w:w="95" w:type="dxa"/>
              <w:right w:w="95" w:type="dxa"/>
            </w:tcMar>
            <w:shd w:fill="FFFFFF"/>
          </w:tcPr>
          <w:p>
            <w:pPr>
              <w:pStyle w:val="TableText"/>
              <w:keepNext w:val="0"/>
              <w:spacing w:after="20"/>
            </w:pPr>
            <w:r>
              <w:t>cta_click with stable action_id.</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Service/program/product cards</w:t>
            </w:r>
          </w:p>
        </w:tc>
        <w:tc>
          <w:tcPr>
            <w:tcW w:type="dxa" w:w="3883"/>
            <w:vAlign w:val="top"/>
            <w:tcMar>
              <w:top w:w="85" w:type="dxa"/>
              <w:bottom w:w="85" w:type="dxa"/>
              <w:left w:w="95" w:type="dxa"/>
              <w:right w:w="95" w:type="dxa"/>
            </w:tcMar>
            <w:shd w:fill="F3F7F9"/>
          </w:tcPr>
          <w:p>
            <w:pPr>
              <w:pStyle w:val="TableText"/>
              <w:keepNext w:val="0"/>
              <w:spacing w:after="20"/>
            </w:pPr>
            <w:r>
              <w:t>References, summaries, images, labels, ordering.</w:t>
            </w:r>
          </w:p>
        </w:tc>
        <w:tc>
          <w:tcPr>
            <w:tcW w:type="dxa" w:w="3687"/>
            <w:vAlign w:val="top"/>
            <w:tcMar>
              <w:top w:w="85" w:type="dxa"/>
              <w:bottom w:w="85" w:type="dxa"/>
              <w:left w:w="95" w:type="dxa"/>
              <w:right w:w="95" w:type="dxa"/>
            </w:tcMar>
            <w:shd w:fill="F3F7F9"/>
          </w:tcPr>
          <w:p>
            <w:pPr>
              <w:pStyle w:val="TableText"/>
              <w:keepNext w:val="0"/>
              <w:spacing w:after="20"/>
            </w:pPr>
            <w:r>
              <w:t>item_select with entity_id.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Benefits and process</w:t>
            </w:r>
          </w:p>
        </w:tc>
        <w:tc>
          <w:tcPr>
            <w:tcW w:type="dxa" w:w="3883"/>
            <w:vAlign w:val="top"/>
            <w:tcMar>
              <w:top w:w="85" w:type="dxa"/>
              <w:bottom w:w="85" w:type="dxa"/>
              <w:left w:w="95" w:type="dxa"/>
              <w:right w:w="95" w:type="dxa"/>
            </w:tcMar>
            <w:shd w:fill="FFFFFF"/>
          </w:tcPr>
          <w:p>
            <w:pPr>
              <w:pStyle w:val="TableText"/>
              <w:keepNext w:val="0"/>
              <w:spacing w:after="20"/>
            </w:pPr>
            <w:r>
              <w:t>Steps, icons, proof links, layout variant.</w:t>
            </w:r>
          </w:p>
        </w:tc>
        <w:tc>
          <w:tcPr>
            <w:tcW w:type="dxa" w:w="3687"/>
            <w:vAlign w:val="top"/>
            <w:tcMar>
              <w:top w:w="85" w:type="dxa"/>
              <w:bottom w:w="85" w:type="dxa"/>
              <w:left w:w="95" w:type="dxa"/>
              <w:right w:w="95" w:type="dxa"/>
            </w:tcMar>
            <w:shd w:fill="FFFFFF"/>
          </w:tcPr>
          <w:p>
            <w:pPr>
              <w:pStyle w:val="TableText"/>
              <w:keepNext w:val="0"/>
              <w:spacing w:after="20"/>
            </w:pPr>
            <w:r>
              <w:t>Optional meaningful action events, not every decorative view.</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Pricing and comparison</w:t>
            </w:r>
          </w:p>
        </w:tc>
        <w:tc>
          <w:tcPr>
            <w:tcW w:type="dxa" w:w="3883"/>
            <w:vAlign w:val="top"/>
            <w:tcMar>
              <w:top w:w="85" w:type="dxa"/>
              <w:bottom w:w="85" w:type="dxa"/>
              <w:left w:w="95" w:type="dxa"/>
              <w:right w:w="95" w:type="dxa"/>
            </w:tcMar>
            <w:shd w:fill="F3F7F9"/>
          </w:tcPr>
          <w:p>
            <w:pPr>
              <w:pStyle w:val="TableText"/>
              <w:keepNext w:val="0"/>
              <w:spacing w:after="20"/>
            </w:pPr>
            <w:r>
              <w:t>Package references, display notes, currency presentation, included features.</w:t>
            </w:r>
          </w:p>
        </w:tc>
        <w:tc>
          <w:tcPr>
            <w:tcW w:type="dxa" w:w="3687"/>
            <w:vAlign w:val="top"/>
            <w:tcMar>
              <w:top w:w="85" w:type="dxa"/>
              <w:bottom w:w="85" w:type="dxa"/>
              <w:left w:w="95" w:type="dxa"/>
              <w:right w:w="95" w:type="dxa"/>
            </w:tcMar>
            <w:shd w:fill="F3F7F9"/>
          </w:tcPr>
          <w:p>
            <w:pPr>
              <w:pStyle w:val="TableText"/>
              <w:keepNext w:val="0"/>
              <w:spacing w:after="20"/>
            </w:pPr>
            <w:r>
              <w:t>pricing_view, plan_select; transaction prices remain server-owned.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Proof and case study</w:t>
            </w:r>
          </w:p>
        </w:tc>
        <w:tc>
          <w:tcPr>
            <w:tcW w:type="dxa" w:w="3883"/>
            <w:vAlign w:val="top"/>
            <w:tcMar>
              <w:top w:w="85" w:type="dxa"/>
              <w:bottom w:w="85" w:type="dxa"/>
              <w:left w:w="95" w:type="dxa"/>
              <w:right w:w="95" w:type="dxa"/>
            </w:tcMar>
            <w:shd w:fill="FFFFFF"/>
          </w:tcPr>
          <w:p>
            <w:pPr>
              <w:pStyle w:val="TableText"/>
              <w:keepNext w:val="0"/>
              <w:spacing w:after="20"/>
            </w:pPr>
            <w:r>
              <w:t>Authorized quote, source record, role, image, case-study links.</w:t>
            </w:r>
          </w:p>
        </w:tc>
        <w:tc>
          <w:tcPr>
            <w:tcW w:type="dxa" w:w="3687"/>
            <w:vAlign w:val="top"/>
            <w:tcMar>
              <w:top w:w="85" w:type="dxa"/>
              <w:bottom w:w="85" w:type="dxa"/>
              <w:left w:w="95" w:type="dxa"/>
              <w:right w:w="95" w:type="dxa"/>
            </w:tcMar>
            <w:shd w:fill="FFFFFF"/>
          </w:tcPr>
          <w:p>
            <w:pPr>
              <w:pStyle w:val="TableText"/>
              <w:keepNext w:val="0"/>
              <w:spacing w:after="20"/>
            </w:pPr>
            <w:r>
              <w:t>proof_open or case_study_select where useful.</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FAQ and accordion</w:t>
            </w:r>
          </w:p>
        </w:tc>
        <w:tc>
          <w:tcPr>
            <w:tcW w:type="dxa" w:w="3883"/>
            <w:vAlign w:val="top"/>
            <w:tcMar>
              <w:top w:w="85" w:type="dxa"/>
              <w:bottom w:w="85" w:type="dxa"/>
              <w:left w:w="95" w:type="dxa"/>
              <w:right w:w="95" w:type="dxa"/>
            </w:tcMar>
            <w:shd w:fill="F3F7F9"/>
          </w:tcPr>
          <w:p>
            <w:pPr>
              <w:pStyle w:val="TableText"/>
              <w:keepNext w:val="0"/>
              <w:spacing w:after="20"/>
            </w:pPr>
            <w:r>
              <w:t>Questions, reviewed answers, related links.</w:t>
            </w:r>
          </w:p>
        </w:tc>
        <w:tc>
          <w:tcPr>
            <w:tcW w:type="dxa" w:w="3687"/>
            <w:vAlign w:val="top"/>
            <w:tcMar>
              <w:top w:w="85" w:type="dxa"/>
              <w:bottom w:w="85" w:type="dxa"/>
              <w:left w:w="95" w:type="dxa"/>
              <w:right w:w="95" w:type="dxa"/>
            </w:tcMar>
            <w:shd w:fill="F3F7F9"/>
          </w:tcPr>
          <w:p>
            <w:pPr>
              <w:pStyle w:val="TableText"/>
              <w:keepNext w:val="0"/>
              <w:spacing w:after="20"/>
            </w:pPr>
            <w:r>
              <w:t>faq_open with question_id, not answer text.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Media and gallery</w:t>
            </w:r>
          </w:p>
        </w:tc>
        <w:tc>
          <w:tcPr>
            <w:tcW w:type="dxa" w:w="3883"/>
            <w:vAlign w:val="top"/>
            <w:tcMar>
              <w:top w:w="85" w:type="dxa"/>
              <w:bottom w:w="85" w:type="dxa"/>
              <w:left w:w="95" w:type="dxa"/>
              <w:right w:w="95" w:type="dxa"/>
            </w:tcMar>
            <w:shd w:fill="FFFFFF"/>
          </w:tcPr>
          <w:p>
            <w:pPr>
              <w:pStyle w:val="TableText"/>
              <w:keepNext w:val="0"/>
              <w:spacing w:after="20"/>
            </w:pPr>
            <w:r>
              <w:t>Images, captions, video reference, transcript, focal point.</w:t>
            </w:r>
          </w:p>
        </w:tc>
        <w:tc>
          <w:tcPr>
            <w:tcW w:type="dxa" w:w="3687"/>
            <w:vAlign w:val="top"/>
            <w:tcMar>
              <w:top w:w="85" w:type="dxa"/>
              <w:bottom w:w="85" w:type="dxa"/>
              <w:left w:w="95" w:type="dxa"/>
              <w:right w:w="95" w:type="dxa"/>
            </w:tcMar>
            <w:shd w:fill="FFFFFF"/>
          </w:tcPr>
          <w:p>
            <w:pPr>
              <w:pStyle w:val="TableText"/>
              <w:keepNext w:val="0"/>
              <w:spacing w:after="20"/>
            </w:pPr>
            <w:r>
              <w:t>video_start/progress only when permitted and implemented.</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Resource/download</w:t>
            </w:r>
          </w:p>
        </w:tc>
        <w:tc>
          <w:tcPr>
            <w:tcW w:type="dxa" w:w="3883"/>
            <w:vAlign w:val="top"/>
            <w:tcMar>
              <w:top w:w="85" w:type="dxa"/>
              <w:bottom w:w="85" w:type="dxa"/>
              <w:left w:w="95" w:type="dxa"/>
              <w:right w:w="95" w:type="dxa"/>
            </w:tcMar>
            <w:shd w:fill="F3F7F9"/>
          </w:tcPr>
          <w:p>
            <w:pPr>
              <w:pStyle w:val="TableText"/>
              <w:keepNext w:val="0"/>
              <w:spacing w:after="20"/>
            </w:pPr>
            <w:r>
              <w:t>Asset reference, description, access rule, form reference.</w:t>
            </w:r>
          </w:p>
        </w:tc>
        <w:tc>
          <w:tcPr>
            <w:tcW w:type="dxa" w:w="3687"/>
            <w:vAlign w:val="top"/>
            <w:tcMar>
              <w:top w:w="85" w:type="dxa"/>
              <w:bottom w:w="85" w:type="dxa"/>
              <w:left w:w="95" w:type="dxa"/>
              <w:right w:w="95" w:type="dxa"/>
            </w:tcMar>
            <w:shd w:fill="F3F7F9"/>
          </w:tcPr>
          <w:p>
            <w:pPr>
              <w:pStyle w:val="TableText"/>
              <w:keepNext w:val="0"/>
              <w:spacing w:after="20"/>
            </w:pPr>
            <w:r>
              <w:t>download_click, download_authorized when server-confirmed.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Form and booking action</w:t>
            </w:r>
          </w:p>
        </w:tc>
        <w:tc>
          <w:tcPr>
            <w:tcW w:type="dxa" w:w="3883"/>
            <w:vAlign w:val="top"/>
            <w:tcMar>
              <w:top w:w="85" w:type="dxa"/>
              <w:bottom w:w="85" w:type="dxa"/>
              <w:left w:w="95" w:type="dxa"/>
              <w:right w:w="95" w:type="dxa"/>
            </w:tcMar>
            <w:shd w:fill="FFFFFF"/>
          </w:tcPr>
          <w:p>
            <w:pPr>
              <w:pStyle w:val="TableText"/>
              <w:keepNext w:val="0"/>
              <w:spacing w:after="20"/>
            </w:pPr>
            <w:r>
              <w:t>Approved form definition, intro, success content, routing reference.</w:t>
            </w:r>
          </w:p>
        </w:tc>
        <w:tc>
          <w:tcPr>
            <w:tcW w:type="dxa" w:w="3687"/>
            <w:vAlign w:val="top"/>
            <w:tcMar>
              <w:top w:w="85" w:type="dxa"/>
              <w:bottom w:w="85" w:type="dxa"/>
              <w:left w:w="95" w:type="dxa"/>
              <w:right w:w="95" w:type="dxa"/>
            </w:tcMar>
            <w:shd w:fill="FFFFFF"/>
          </w:tcPr>
          <w:p>
            <w:pPr>
              <w:pStyle w:val="TableText"/>
              <w:keepNext w:val="0"/>
              <w:spacing w:after="20"/>
            </w:pPr>
            <w:r>
              <w:t>form_start, validation_error, authoritative conversion confirmation.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Article/content</w:t>
            </w:r>
          </w:p>
        </w:tc>
        <w:tc>
          <w:tcPr>
            <w:tcW w:type="dxa" w:w="3883"/>
            <w:vAlign w:val="top"/>
            <w:tcMar>
              <w:top w:w="85" w:type="dxa"/>
              <w:bottom w:w="85" w:type="dxa"/>
              <w:left w:w="95" w:type="dxa"/>
              <w:right w:w="95" w:type="dxa"/>
            </w:tcMar>
            <w:shd w:fill="F3F7F9"/>
          </w:tcPr>
          <w:p>
            <w:pPr>
              <w:pStyle w:val="TableText"/>
              <w:keepNext w:val="0"/>
              <w:spacing w:after="20"/>
            </w:pPr>
            <w:r>
              <w:t>Safe rich text, headings, tables, references, related items.</w:t>
            </w:r>
          </w:p>
        </w:tc>
        <w:tc>
          <w:tcPr>
            <w:tcW w:type="dxa" w:w="3687"/>
            <w:vAlign w:val="top"/>
            <w:tcMar>
              <w:top w:w="85" w:type="dxa"/>
              <w:bottom w:w="85" w:type="dxa"/>
              <w:left w:w="95" w:type="dxa"/>
              <w:right w:w="95" w:type="dxa"/>
            </w:tcMar>
            <w:shd w:fill="F3F7F9"/>
          </w:tcPr>
          <w:p>
            <w:pPr>
              <w:pStyle w:val="TableText"/>
              <w:keepNext w:val="0"/>
              <w:spacing w:after="20"/>
            </w:pPr>
            <w:r>
              <w:t>content_view, meaningful navigation actions.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Navigation and footer</w:t>
            </w:r>
          </w:p>
        </w:tc>
        <w:tc>
          <w:tcPr>
            <w:tcW w:type="dxa" w:w="3883"/>
            <w:vAlign w:val="top"/>
            <w:tcMar>
              <w:top w:w="85" w:type="dxa"/>
              <w:bottom w:w="85" w:type="dxa"/>
              <w:left w:w="95" w:type="dxa"/>
              <w:right w:w="95" w:type="dxa"/>
            </w:tcMar>
            <w:shd w:fill="FFFFFF"/>
          </w:tcPr>
          <w:p>
            <w:pPr>
              <w:pStyle w:val="TableText"/>
              <w:keepNext w:val="0"/>
              <w:spacing w:after="20"/>
            </w:pPr>
            <w:r>
              <w:t>Menu references, contact links, policies, social links.</w:t>
            </w:r>
          </w:p>
        </w:tc>
        <w:tc>
          <w:tcPr>
            <w:tcW w:type="dxa" w:w="3687"/>
            <w:vAlign w:val="top"/>
            <w:tcMar>
              <w:top w:w="85" w:type="dxa"/>
              <w:bottom w:w="85" w:type="dxa"/>
              <w:left w:w="95" w:type="dxa"/>
              <w:right w:w="95" w:type="dxa"/>
            </w:tcMar>
            <w:shd w:fill="FFFFFF"/>
          </w:tcPr>
          <w:p>
            <w:pPr>
              <w:pStyle w:val="TableText"/>
              <w:keepNext w:val="0"/>
              <w:spacing w:after="20"/>
            </w:pPr>
            <w:r>
              <w:t>navigation_click, contact_click with controlled identifiers.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Utility layouts</w:t>
            </w:r>
          </w:p>
        </w:tc>
        <w:tc>
          <w:tcPr>
            <w:tcW w:type="dxa" w:w="3883"/>
            <w:vAlign w:val="top"/>
            <w:tcMar>
              <w:top w:w="85" w:type="dxa"/>
              <w:bottom w:w="85" w:type="dxa"/>
              <w:left w:w="95" w:type="dxa"/>
              <w:right w:w="95" w:type="dxa"/>
            </w:tcMar>
            <w:shd w:fill="F3F7F9"/>
          </w:tcPr>
          <w:p>
            <w:pPr>
              <w:pStyle w:val="TableText"/>
              <w:keepNext w:val="0"/>
              <w:spacing w:after="20"/>
            </w:pPr>
            <w:r>
              <w:t>Search, location finder, announcement, CTA band, newsletter, approved embed.</w:t>
            </w:r>
          </w:p>
        </w:tc>
        <w:tc>
          <w:tcPr>
            <w:tcW w:type="dxa" w:w="3687"/>
            <w:vAlign w:val="top"/>
            <w:tcMar>
              <w:top w:w="85" w:type="dxa"/>
              <w:bottom w:w="85" w:type="dxa"/>
              <w:left w:w="95" w:type="dxa"/>
              <w:right w:w="95" w:type="dxa"/>
            </w:tcMar>
            <w:shd w:fill="F3F7F9"/>
          </w:tcPr>
          <w:p>
            <w:pPr>
              <w:pStyle w:val="TableText"/>
              <w:keepNext w:val="0"/>
              <w:spacing w:after="20"/>
            </w:pPr>
            <w:r>
              <w:t>Module-specific allowlisted events.</w:t>
            </w:r>
          </w:p>
        </w:tc>
      </w:tr>
    </w:tbl>
    <w:p>
      <w:pPr>
        <w:spacing w:after="0"/>
      </w:pPr>
    </w:p>
    <w:p>
      <w:pPr>
        <w:pStyle w:val="Heading2"/>
      </w:pPr>
      <w:r>
        <w:t>8.2 Content schema and safe editing</w:t>
      </w:r>
    </w:p>
    <w:p>
      <w:r>
        <w:t>A page contains site_id, locale, slug, title, template_key, schema_version, blocks, SEO configuration, workflow state, and revision references. Every block instance has a stable block_id independent of its position. Reordering must not change its identity. Deep duplication into a different page creates new instance IDs while preserving referenced shared content deliberately.</w:t>
      </w:r>
    </w:p>
    <w:p>
      <w:r>
        <w:t>A shared block can be a live reference or a copied snapshot; the editor must show which mode is active. Updating a global banner should display the affected pages before publication. Dependencies such as a deleted price plan, missing form, or unpublished article must block publication or provide an explicit safe fallback.</w:t>
      </w:r>
    </w:p>
    <w:p>
      <w:r>
        <w:t>Unknown block types cannot execute arbitrary code. The renderer should record an operational error and fail safely, using a known fallback where appropriate. Schema migrations need forward compatibility, fixtures, and rollback planning. Old published revisions must remain renderable during application upgrades.</w:t>
      </w:r>
    </w:p>
    <w:p>
      <w:pPr>
        <w:pStyle w:val="Heading2"/>
      </w:pPr>
      <w:r>
        <w:t>8.3 Publication state machine</w:t>
      </w:r>
    </w:p>
    <w:p>
      <w:r>
        <w:t>Use draft → in_review → approved → scheduled/published → archived, with rejected changes returning to draft. A revision is immutable once published; an edit creates a new revision. Publication atomically changes the live reference and records the actor. Scheduled times are stored in UTC with the chosen editorial timezone retained for display and audit.</w:t>
      </w:r>
    </w:p>
    <w:p>
      <w:r>
        <w:t>Preview requires authorization and an expiring token. Review links must not leak drafts to search engines or analytics. Publication checks include required fields, route uniqueness, broken references, missing alt text, invalid forms, SEO policy, unauthorized embeds, claim review, and stale pricing dates.</w:t>
      </w:r>
    </w:p>
    <w:p>
      <w:r>
        <w:t>Rollback publishes a previously approved compatible revision as a new live action. It does not delete the audit trail or reverse customer transactions. Where a newer schema cannot render an older revision, run a tested content migration rather than promising unconditional rollback.</w:t>
      </w:r>
    </w:p>
    <w:p>
      <w:pPr>
        <w:pStyle w:val="Heading2"/>
      </w:pPr>
      <w:r>
        <w:t>8.4 Media pipeline</w:t>
      </w:r>
    </w:p>
    <w:p>
      <w:r>
        <w:t>Upload into quarantine, validate actual file type and size, scan where applicable, strip unnecessary metadata, generate approved derivatives, and then mark usable. Treat SVG, HTML, and document uploads as potentially active content. Store private submissions separately from public marketing assets.</w:t>
      </w:r>
    </w:p>
    <w:p>
      <w:r>
        <w:t>Maintain asset checksum, original filename, storage key, MIME type, dimensions, rights, owner, alt defaults, derivatives, and usage references. Replacing an asset must consider caches and accessibility. Deleting an in-use asset requires impact review. Use signed, expiring access for protected downloads; a hidden public URL is not access control.</w:t>
      </w:r>
    </w:p>
    <w:p>
      <w:pPr>
        <w:pStyle w:val="Heading3"/>
      </w:pPr>
      <w:r>
        <w:t>Version 1.2 integration</w:t>
      </w:r>
    </w:p>
    <w:p>
      <w:pPr/>
      <w:r>
        <w:t>Apply Chapter 44 for acknowledged autosave, concurrency, schema evolution, import manifests and coordinated release consistency. It extends these publishing invariants without allowing arbitrary SQL/code or weakening source-blog preservation.</w:t>
      </w:r>
    </w:p>
    <w:p>
      <w:pPr>
        <w:pStyle w:val="SmallNote"/>
        <w:spacing w:before="120"/>
      </w:pPr>
      <w:r>
        <w:t>Final edition integration: Preserve required rights/AI provenance while stripping private metadata, as specified in Chapter 66.4.</w:t>
      </w:r>
    </w:p>
    <w:p>
      <w:pPr>
        <w:pStyle w:val="Heading1"/>
        <w:pageBreakBefore w:val="0"/>
        <w:spacing w:before="400"/>
        <w:pBdr>
          <w:bottom w:val="single" w:sz="8" w:color="087F83" w:space="8"/>
        </w:pBdr>
      </w:pPr>
      <w:bookmarkStart w:id="11" w:name="chapter_09"/>
      <w:bookmarkStart w:id="268" w:name="v12_ch09"/>
      <w:r>
        <w:t>09 | Blogs, resources, and editorial operations</w:t>
      </w:r>
      <w:bookmarkEnd w:id="11"/>
      <w:bookmarkEnd w:id="268"/>
      <w:bookmarkStart w:id="559" w:name="tocfinal_ch_09"/>
      <w:bookmarkEnd w:id="559"/>
    </w:p>
    <w:p>
      <w:pPr>
        <w:pStyle w:val="Heading2"/>
      </w:pPr>
      <w:r>
        <w:t>9.1 Blog content model</w:t>
      </w:r>
    </w:p>
    <w:p>
      <w:r>
        <w:t>The article model includes stable ID, locale, slug, title, summary, body blocks, cover image, author, reviewer where relevant, categories, optional controlled tags, publication date, modified date, source references, related pages, primary action, SEO fields, workflow status, and review due date. Store author profiles and topics as separate entities, not repeated free text.</w:t>
      </w:r>
    </w:p>
    <w:p>
      <w:r>
        <w:t>Support drafts, revisions, preview, scheduling, redirects on slug changes, image captions, code blocks where needed, accessible tables, citations, related content, and an article table of contents for long material. Do not create an indexable page for every low-value tag. Archive and taxonomy pages need a deliberate content and indexing strategy.</w:t>
      </w:r>
    </w:p>
    <w:p>
      <w:pPr>
        <w:pStyle w:val="Heading2"/>
      </w:pPr>
      <w:r>
        <w:t>9.2 Editorial workflow</w:t>
      </w:r>
    </w:p>
    <w:p>
      <w:r>
        <w:t xml:space="preserve">Start with audience questions and business expertise, not a target number of AI-generated posts. Each brief specifies search intent, the problem answered, unique contribution, evidence, page relationships, and the next useful action. Subject-matter review verifies important claims before publication. Google recommends people-first content and has policies against scaled content abuse; automation does not exempt a site from those policies. </w:t>
      </w:r>
      <w:hyperlink w:anchor="ref_R06">
        <w:r>
          <w:rPr>
            <w:color w:val="087F83"/>
            <w:rFonts w:ascii="Lato" w:hAnsi="Lato"/>
            <w:sz w:val="19"/>
          </w:rPr>
          <w:t>[R06]</w:t>
        </w:r>
      </w:hyperlink>
      <w:r>
        <w:t xml:space="preserve"> </w:t>
      </w:r>
      <w:hyperlink w:anchor="ref_R07">
        <w:r>
          <w:rPr>
            <w:color w:val="087F83"/>
            <w:rFonts w:ascii="Lato" w:hAnsi="Lato"/>
            <w:sz w:val="19"/>
          </w:rPr>
          <w:t>[R07]</w:t>
        </w:r>
      </w:hyperlink>
      <w:r/>
    </w:p>
    <w:p>
      <w:r>
        <w:t>Assign content owners and review dates. Record changes when advice, pricing, availability, or regulations change. Use accurate modification dates for substantive updates rather than making every article look freshly revised. Correct errors transparently where appropriate. Do not publish fabricated citations, invented experience, or copied competitor material.</w:t>
      </w:r>
    </w:p>
    <w:p>
      <w:pPr>
        <w:pStyle w:val="Heading2"/>
      </w:pPr>
      <w:r>
        <w:t>9.3 Resource library and downloads</w:t>
      </w:r>
    </w:p>
    <w:p>
      <w:r>
        <w:t>For each downloadable item, store title, description, version, file type, size, language, publication/review dates, access policy, landing page, and accessibility status. Provide an accessible HTML summary where useful. Decide whether the resource is public, form-gated, account-protected, or purchased; implement actual access rules accordingly.</w:t>
      </w:r>
    </w:p>
    <w:p>
      <w:r>
        <w:t>A download click is an intent signal. A server authorization or delivery response can provide stronger delivery evidence, but neither proves that the visitor read the file or completed the transfer. Use accurate labels in reporting. Avoid gating essential information or collecting unnecessary personal data merely to inflate lead totals.</w:t>
      </w:r>
    </w:p>
    <w:p>
      <w:pPr>
        <w:pStyle w:val="Heading2"/>
      </w:pPr>
      <w:r>
        <w:t>9.4 Editorial operating rhythm</w:t>
      </w:r>
    </w:p>
    <w:p>
      <w:r>
        <w:t>Maintain a monthly plan balancing core service pages, comparison/decision resources, customer questions, and timely updates. Review search queries, on-site search failures, sales questions, and content-assisted conversions to identify gaps. Refresh or consolidate weak overlapping pages rather than endlessly adding near-duplicates.</w:t>
      </w:r>
    </w:p>
    <w:p>
      <w:r>
        <w:t>Blog comments are optional. When enabled, add moderation, abuse reporting, spam controls, privacy settings, and link handling. A community feature without moderation ownership must remain disabled. Subscription forms need clear communication preferences and an unsubscribe process independent of account access.</w:t>
      </w:r>
    </w:p>
    <w:p>
      <w:pPr>
        <w:pStyle w:val="Heading2"/>
        <w:keepNext/>
        <w:widowControl/>
      </w:pPr>
      <w:r>
        <w:t>9.5 Manual-only source-content deletion</w:t>
      </w:r>
    </w:p>
    <w:p>
      <w:pPr>
        <w:widowControl/>
      </w:pPr>
      <w:r>
        <w:t>Posts, drafts, revisions and trashed source content must not expire or be automatically deleted. Review dates, low traffic, AI suggestions, scheduled cleanup and annual reviews create human tasks—not deletion authority. Manual trash/restore and separately approved permanent purge must record the authenticated actor, time, reason, exact object/version and outcome.</w:t>
      </w:r>
    </w:p>
    <w:p>
      <w:pPr>
        <w:widowControl/>
      </w:pPr>
      <w:r>
        <w:t>Chapter 38 is the controlling content-preservation specification. Generic retention jobs in Chapters 17 and 22 apply only to approved data classes and must exclude protected blog source content. Visitor personal data, backups and derived search/cache copies have separate schedules. A legal removal/hold exception requires accountable review; content preservation cannot override applicable obligations.</w:t>
      </w:r>
    </w:p>
    <w:p>
      <w:pPr>
        <w:pStyle w:val="Heading3"/>
      </w:pPr>
      <w:r>
        <w:t>Version 1.2 integration</w:t>
      </w:r>
    </w:p>
    <w:p>
      <w:pPr/>
      <w:r>
        <w:t>Chapters 43, 49 and 50 add offer/evidence ownership, editorial growth, search-surface and feed controls. Annual review remains a human task. Neither search optimization, imports, storage pressure nor workflow automation may automatically delete source blogs.</w:t>
      </w:r>
    </w:p>
    <w:p>
      <w:pPr>
        <w:pStyle w:val="Heading1"/>
        <w:pageBreakBefore w:val="0"/>
        <w:spacing w:before="400"/>
        <w:pBdr>
          <w:bottom w:val="single" w:sz="8" w:color="087F83" w:space="8"/>
        </w:pBdr>
      </w:pPr>
      <w:bookmarkStart w:id="12" w:name="chapter_10"/>
      <w:bookmarkStart w:id="269" w:name="v12_ch10"/>
      <w:r>
        <w:t>10 | Technical SEO and safe migration</w:t>
      </w:r>
      <w:bookmarkEnd w:id="12"/>
      <w:bookmarkEnd w:id="269"/>
      <w:bookmarkStart w:id="560" w:name="tocfinal_ch_10"/>
      <w:bookmarkEnd w:id="560"/>
    </w:p>
    <w:p>
      <w:pPr>
        <w:pStyle w:val="Heading2"/>
      </w:pPr>
      <w:r>
        <w:t>10.1 Crawl and index contract</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Area</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behavior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HTTP status</w:t>
            </w:r>
          </w:p>
        </w:tc>
        <w:tc>
          <w:tcPr>
            <w:tcW w:type="dxa" w:w="7029"/>
            <w:vAlign w:val="top"/>
            <w:tcMar>
              <w:top w:w="85" w:type="dxa"/>
              <w:bottom w:w="85" w:type="dxa"/>
              <w:left w:w="95" w:type="dxa"/>
              <w:right w:w="95" w:type="dxa"/>
            </w:tcMar>
            <w:shd w:fill="FFFFFF"/>
          </w:tcPr>
          <w:p>
            <w:pPr>
              <w:pStyle w:val="TableText"/>
              <w:keepNext w:val="0"/>
              <w:spacing w:after="20"/>
            </w:pPr>
            <w:r>
              <w:t>Valid pages return the correct success status; removed pages use 404/410 as appropriate; permanent moves use tested permanent redirects. No universal 200 fallback.</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Metadata</w:t>
            </w:r>
          </w:p>
        </w:tc>
        <w:tc>
          <w:tcPr>
            <w:tcW w:type="dxa" w:w="7029"/>
            <w:vAlign w:val="top"/>
            <w:tcMar>
              <w:top w:w="85" w:type="dxa"/>
              <w:bottom w:w="85" w:type="dxa"/>
              <w:left w:w="95" w:type="dxa"/>
              <w:right w:w="95" w:type="dxa"/>
            </w:tcMar>
            <w:shd w:fill="F3F7F9"/>
          </w:tcPr>
          <w:p>
            <w:pPr>
              <w:pStyle w:val="TableText"/>
              <w:keepNext w:val="0"/>
              <w:spacing w:after="20"/>
            </w:pPr>
            <w:r>
              <w:t>Unique useful titles and descriptions; consistent canonical URL; correct locale; useful social metadata and share images.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Index controls</w:t>
            </w:r>
          </w:p>
        </w:tc>
        <w:tc>
          <w:tcPr>
            <w:tcW w:type="dxa" w:w="7029"/>
            <w:vAlign w:val="top"/>
            <w:tcMar>
              <w:top w:w="85" w:type="dxa"/>
              <w:bottom w:w="85" w:type="dxa"/>
              <w:left w:w="95" w:type="dxa"/>
              <w:right w:w="95" w:type="dxa"/>
            </w:tcMar>
            <w:shd w:fill="FFFFFF"/>
          </w:tcPr>
          <w:p>
            <w:pPr>
              <w:pStyle w:val="TableText"/>
              <w:keepNext w:val="0"/>
              <w:spacing w:after="20"/>
            </w:pPr>
            <w:r>
              <w:t>Explicit policy for each route family. Private/admin pages require authorization; robots.txt is not a security boundary.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XML sitemaps</w:t>
            </w:r>
          </w:p>
        </w:tc>
        <w:tc>
          <w:tcPr>
            <w:tcW w:type="dxa" w:w="7029"/>
            <w:vAlign w:val="top"/>
            <w:tcMar>
              <w:top w:w="85" w:type="dxa"/>
              <w:bottom w:w="85" w:type="dxa"/>
              <w:left w:w="95" w:type="dxa"/>
              <w:right w:w="95" w:type="dxa"/>
            </w:tcMar>
            <w:shd w:fill="F3F7F9"/>
          </w:tcPr>
          <w:p>
            <w:pPr>
              <w:pStyle w:val="TableText"/>
              <w:keepNext w:val="0"/>
              <w:spacing w:after="20"/>
            </w:pPr>
            <w:r>
              <w:t>Include intended canonical indexable URLs with truthful modification dates; update on publication and removal.</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Links and navigation</w:t>
            </w:r>
          </w:p>
        </w:tc>
        <w:tc>
          <w:tcPr>
            <w:tcW w:type="dxa" w:w="7029"/>
            <w:vAlign w:val="top"/>
            <w:tcMar>
              <w:top w:w="85" w:type="dxa"/>
              <w:bottom w:w="85" w:type="dxa"/>
              <w:left w:w="95" w:type="dxa"/>
              <w:right w:w="95" w:type="dxa"/>
            </w:tcMar>
            <w:shd w:fill="FFFFFF"/>
          </w:tcPr>
          <w:p>
            <w:pPr>
              <w:pStyle w:val="TableText"/>
              <w:keepNext w:val="0"/>
              <w:spacing w:after="20"/>
            </w:pPr>
            <w:r>
              <w:t>Crawlable links, descriptive labels, breadcrumbs where useful, no orphan important pages, and accessible pagination.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Duplicates</w:t>
            </w:r>
          </w:p>
        </w:tc>
        <w:tc>
          <w:tcPr>
            <w:tcW w:type="dxa" w:w="7029"/>
            <w:vAlign w:val="top"/>
            <w:tcMar>
              <w:top w:w="85" w:type="dxa"/>
              <w:bottom w:w="85" w:type="dxa"/>
              <w:left w:w="95" w:type="dxa"/>
              <w:right w:w="95" w:type="dxa"/>
            </w:tcMar>
            <w:shd w:fill="F3F7F9"/>
          </w:tcPr>
          <w:p>
            <w:pPr>
              <w:pStyle w:val="TableText"/>
              <w:keepNext w:val="0"/>
              <w:spacing w:after="20"/>
            </w:pPr>
            <w:r>
              <w:t>Consistent canonical signals; redirect obsolete equivalents; deliberate handling of filters, sorting, UTMs, and campaign variants.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Structured data</w:t>
            </w:r>
          </w:p>
        </w:tc>
        <w:tc>
          <w:tcPr>
            <w:tcW w:type="dxa" w:w="7029"/>
            <w:vAlign w:val="top"/>
            <w:tcMar>
              <w:top w:w="85" w:type="dxa"/>
              <w:bottom w:w="85" w:type="dxa"/>
              <w:left w:w="95" w:type="dxa"/>
              <w:right w:w="95" w:type="dxa"/>
            </w:tcMar>
            <w:shd w:fill="FFFFFF"/>
          </w:tcPr>
          <w:p>
            <w:pPr>
              <w:pStyle w:val="TableText"/>
              <w:keepNext w:val="0"/>
              <w:spacing w:after="20"/>
            </w:pPr>
            <w:r>
              <w:t>Supported, relevant types only; generated from the same records as visible content; no invented ratings or invisible claims.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Monitoring</w:t>
            </w:r>
          </w:p>
        </w:tc>
        <w:tc>
          <w:tcPr>
            <w:tcW w:type="dxa" w:w="7029"/>
            <w:vAlign w:val="top"/>
            <w:tcMar>
              <w:top w:w="85" w:type="dxa"/>
              <w:bottom w:w="85" w:type="dxa"/>
              <w:left w:w="95" w:type="dxa"/>
              <w:right w:w="95" w:type="dxa"/>
            </w:tcMar>
            <w:shd w:fill="F3F7F9"/>
          </w:tcPr>
          <w:p>
            <w:pPr>
              <w:pStyle w:val="TableText"/>
              <w:keepNext w:val="0"/>
              <w:spacing w:after="20"/>
            </w:pPr>
            <w:r>
              <w:t>Search Console ownership, sitemap monitoring, index investigation, broken links, redirect loops, and template regression checks.</w:t>
            </w:r>
          </w:p>
        </w:tc>
      </w:tr>
    </w:tbl>
    <w:p>
      <w:pPr>
        <w:spacing w:after="0"/>
      </w:pPr>
    </w:p>
    <w:p>
      <w:r>
        <w:t xml:space="preserve">Google's canonicalization guidance treats canonical declarations as signals, not a guarantee that a preferred URL will be selected. Do not use indiscriminate noindex rules as a replacement for a coherent duplicate-content strategy. Structured data eligibility does not guarantee a rich result. </w:t>
      </w:r>
      <w:hyperlink w:anchor="ref_R09">
        <w:r>
          <w:rPr>
            <w:color w:val="087F83"/>
            <w:rFonts w:ascii="Lato" w:hAnsi="Lato"/>
            <w:sz w:val="19"/>
          </w:rPr>
          <w:t>[R09]</w:t>
        </w:r>
      </w:hyperlink>
      <w:r>
        <w:t xml:space="preserve"> </w:t>
      </w:r>
      <w:hyperlink w:anchor="ref_R08">
        <w:r>
          <w:rPr>
            <w:color w:val="087F83"/>
            <w:rFonts w:ascii="Lato" w:hAnsi="Lato"/>
            <w:sz w:val="19"/>
          </w:rPr>
          <w:t>[R08]</w:t>
        </w:r>
      </w:hyperlink>
      <w:r/>
    </w:p>
    <w:p>
      <w:pPr>
        <w:pStyle w:val="Heading2"/>
      </w:pPr>
      <w:r>
        <w:t>10.2 Rendering and routing details</w:t>
      </w:r>
    </w:p>
    <w:p>
      <w:r>
        <w:t>Critical headings, copy, links, metadata, and structured data should be available in a stable rendered page. Test what search and social crawlers receive, including error status codes. Avoid client-side-only redirect logic for permanent moves. A page that appears only after a button click may be difficult to discover through normal linking.</w:t>
      </w:r>
    </w:p>
    <w:p>
      <w:r>
        <w:t>Keep faceted navigation, internal search, calendar permutations, preview links, and tracking parameters from creating uncontrolled URL spaces. Use a route-specific plan rather than blanket blocking that hides useful content. Do not block crawler access to a page and expect it to reliably process that page's noindex directive.</w:t>
      </w:r>
    </w:p>
    <w:p>
      <w:pPr>
        <w:pStyle w:val="Heading2"/>
      </w:pPr>
      <w:r>
        <w:t>10.3 Multilingual and structured data policy</w:t>
      </w:r>
    </w:p>
    <w:p>
      <w:r>
        <w:t xml:space="preserve">Language versions need real translated content, reciprocal language relationships where applicable, consistent canonical decisions, and a user-controlled language switcher. Do not redirect solely by inferred location with no escape. Confirm each locale's indexing strategy and use the appropriate hreflang implementation. </w:t>
      </w:r>
      <w:hyperlink w:anchor="ref_R10">
        <w:r>
          <w:rPr>
            <w:color w:val="087F83"/>
            <w:rFonts w:ascii="Lato" w:hAnsi="Lato"/>
            <w:sz w:val="19"/>
          </w:rPr>
          <w:t>[R10]</w:t>
        </w:r>
      </w:hyperlink>
      <w:r/>
    </w:p>
    <w:p>
      <w:r>
        <w:t xml:space="preserve">Evaluate Organization, BreadcrumbList, Article/BlogPosting, LocalBusiness, Product/Offer, Event, or other applicable types against current Google support and the real business. FAQ content remains useful, but Google announced that FAQ rich results stopped appearing from 7 May 2026; this blueprint does not promise FAQ rich snippets. </w:t>
      </w:r>
      <w:hyperlink w:anchor="ref_R12">
        <w:r>
          <w:rPr>
            <w:color w:val="087F83"/>
            <w:rFonts w:ascii="Lato" w:hAnsi="Lato"/>
            <w:sz w:val="19"/>
          </w:rPr>
          <w:t>[R12]</w:t>
        </w:r>
      </w:hyperlink>
      <w:r/>
    </w:p>
    <w:p>
      <w:pPr>
        <w:pStyle w:val="Heading2"/>
      </w:pPr>
      <w:r>
        <w:t>10.4 Website migration procedure</w:t>
      </w:r>
    </w:p>
    <w:p>
      <w:r>
        <w:t>Inventory existing URLs, traffic, conversions, backlinks, content, downloads, forms, and integrations before redesign. Build an old-to-new URL map with a reason for every removed or consolidated route. Preserve important content and intent where possible. Test redirect targets, chains, query handling, canonicals, sitemaps, and internal links before switching traffic.</w:t>
      </w:r>
    </w:p>
    <w:p>
      <w:r>
        <w:t>Protect staging with access controls and appropriate noindex behavior. At launch, verify production is not accidentally blocked or marked noindex. Retain old URL monitoring, Search Console access, and a rollback plan. Submit and monitor updated sitemaps; investigate material traffic drops by route and search intent rather than assuming a redesign is automatically beneficial.</w:t>
      </w:r>
    </w:p>
    <w:p>
      <w:pPr>
        <w:pStyle w:val="Heading3"/>
      </w:pPr>
      <w:r>
        <w:t>Version 1.2 integration</w:t>
      </w:r>
    </w:p>
    <w:p>
      <w:pPr/>
      <w:r>
        <w:t>Chapter 50 adds detailed route/facet/pagination/sitemap/media/structured-data contracts and release evidence. Validate supported rich-result types and indexing APIs against current official guidance rather than promise automatic indexing.</w:t>
      </w:r>
    </w:p>
    <w:p>
      <w:pPr>
        <w:pStyle w:val="Heading1"/>
        <w:pageBreakBefore w:val="0"/>
        <w:spacing w:before="400"/>
        <w:pBdr>
          <w:bottom w:val="single" w:sz="8" w:color="087F83" w:space="8"/>
        </w:pBdr>
      </w:pPr>
      <w:bookmarkStart w:id="13" w:name="chapter_11"/>
      <w:bookmarkStart w:id="270" w:name="v12_ch11"/>
      <w:r>
        <w:t>11 | Organic growth, local discovery, and AI search</w:t>
      </w:r>
      <w:bookmarkEnd w:id="13"/>
      <w:bookmarkEnd w:id="270"/>
      <w:bookmarkStart w:id="561" w:name="tocfinal_ch_11"/>
      <w:bookmarkEnd w:id="561"/>
    </w:p>
    <w:p>
      <w:pPr>
        <w:pStyle w:val="Heading2"/>
      </w:pPr>
      <w:r>
        <w:t>11.1 Search strategy beyond technical setup</w:t>
      </w:r>
    </w:p>
    <w:p>
      <w:r>
        <w:t>Technical SEO makes a website eligible and understandable; it does not create useful content or market demand. Map real customer questions to pages with distinct intent. A service page should help someone choose or buy; an educational article should answer a question thoroughly; a comparison page should make fair, substantiated distinctions.</w:t>
      </w:r>
    </w:p>
    <w:p>
      <w:r>
        <w:t xml:space="preserve">Build topic relationships through useful internal links, accurate author information, evidence, and clear ownership. Avoid keyword stuffing, mass-produced doorway pages, fabricated reviews, and paid-link schemes intended to manipulate ranking. Google's spam policies address these practices, including scaled content abuse. </w:t>
      </w:r>
      <w:hyperlink w:anchor="ref_R07">
        <w:r>
          <w:rPr>
            <w:color w:val="087F83"/>
            <w:rFonts w:ascii="Lato" w:hAnsi="Lato"/>
            <w:sz w:val="19"/>
          </w:rPr>
          <w:t>[R07]</w:t>
        </w:r>
      </w:hyperlink>
      <w:r/>
    </w:p>
    <w:p>
      <w:pPr>
        <w:pStyle w:val="Heading2"/>
      </w:pPr>
      <w:r>
        <w:t>11.2 Required growth assets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Asset</w:t>
            </w:r>
          </w:p>
        </w:tc>
        <w:tc>
          <w:tcPr>
            <w:tcW w:type="dxa" w:w="7029"/>
            <w:vAlign w:val="top"/>
            <w:tcMar>
              <w:top w:w="85" w:type="dxa"/>
              <w:bottom w:w="85" w:type="dxa"/>
              <w:left w:w="95" w:type="dxa"/>
              <w:right w:w="95" w:type="dxa"/>
            </w:tcMar>
            <w:shd w:fill="163349"/>
          </w:tcPr>
          <w:p>
            <w:pPr>
              <w:pStyle w:val="TableText"/>
              <w:keepNext/>
              <w:spacing w:after="20"/>
            </w:pPr>
            <w:r>
              <w:rPr>
                <w:b/>
                <w:color w:val="FFFFFF"/>
              </w:rPr>
              <w:t>Implementation and maintenance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Topic and intent map</w:t>
            </w:r>
          </w:p>
        </w:tc>
        <w:tc>
          <w:tcPr>
            <w:tcW w:type="dxa" w:w="7029"/>
            <w:vAlign w:val="top"/>
            <w:tcMar>
              <w:top w:w="85" w:type="dxa"/>
              <w:bottom w:w="85" w:type="dxa"/>
              <w:left w:w="95" w:type="dxa"/>
              <w:right w:w="95" w:type="dxa"/>
            </w:tcMar>
            <w:shd w:fill="FFFFFF"/>
          </w:tcPr>
          <w:p>
            <w:pPr>
              <w:pStyle w:val="TableText"/>
              <w:keepNext w:val="0"/>
              <w:spacing w:after="20"/>
            </w:pPr>
            <w:r>
              <w:t>Associate a specific audience need with each important page; identify overlap and missing journeys.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Editorial calendar</w:t>
            </w:r>
          </w:p>
        </w:tc>
        <w:tc>
          <w:tcPr>
            <w:tcW w:type="dxa" w:w="7029"/>
            <w:vAlign w:val="top"/>
            <w:tcMar>
              <w:top w:w="85" w:type="dxa"/>
              <w:bottom w:w="85" w:type="dxa"/>
              <w:left w:w="95" w:type="dxa"/>
              <w:right w:w="95" w:type="dxa"/>
            </w:tcMar>
            <w:shd w:fill="F3F7F9"/>
          </w:tcPr>
          <w:p>
            <w:pPr>
              <w:pStyle w:val="TableText"/>
              <w:keepNext w:val="0"/>
              <w:spacing w:after="20"/>
            </w:pPr>
            <w:r>
              <w:t>Named writer/reviewer, evidence needed, production status, publication target, and update trigger.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Internal link map</w:t>
            </w:r>
          </w:p>
        </w:tc>
        <w:tc>
          <w:tcPr>
            <w:tcW w:type="dxa" w:w="7029"/>
            <w:vAlign w:val="top"/>
            <w:tcMar>
              <w:top w:w="85" w:type="dxa"/>
              <w:bottom w:w="85" w:type="dxa"/>
              <w:left w:w="95" w:type="dxa"/>
              <w:right w:w="95" w:type="dxa"/>
            </w:tcMar>
            <w:shd w:fill="FFFFFF"/>
          </w:tcPr>
          <w:p>
            <w:pPr>
              <w:pStyle w:val="TableText"/>
              <w:keepNext w:val="0"/>
              <w:spacing w:after="20"/>
            </w:pPr>
            <w:r>
              <w:t>Connect supporting articles with relevant services and decision resources; review orphan and broken links.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Evidence library</w:t>
            </w:r>
          </w:p>
        </w:tc>
        <w:tc>
          <w:tcPr>
            <w:tcW w:type="dxa" w:w="7029"/>
            <w:vAlign w:val="top"/>
            <w:tcMar>
              <w:top w:w="85" w:type="dxa"/>
              <w:bottom w:w="85" w:type="dxa"/>
              <w:left w:w="95" w:type="dxa"/>
              <w:right w:w="95" w:type="dxa"/>
            </w:tcMar>
            <w:shd w:fill="F3F7F9"/>
          </w:tcPr>
          <w:p>
            <w:pPr>
              <w:pStyle w:val="TableText"/>
              <w:keepNext w:val="0"/>
              <w:spacing w:after="20"/>
            </w:pPr>
            <w:r>
              <w:t>Approved case studies, product facts, research sources, customer permissions, and claim expiry dates.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Search performance view</w:t>
            </w:r>
          </w:p>
        </w:tc>
        <w:tc>
          <w:tcPr>
            <w:tcW w:type="dxa" w:w="7029"/>
            <w:vAlign w:val="top"/>
            <w:tcMar>
              <w:top w:w="85" w:type="dxa"/>
              <w:bottom w:w="85" w:type="dxa"/>
              <w:left w:w="95" w:type="dxa"/>
              <w:right w:w="95" w:type="dxa"/>
            </w:tcMar>
            <w:shd w:fill="FFFFFF"/>
          </w:tcPr>
          <w:p>
            <w:pPr>
              <w:pStyle w:val="TableText"/>
              <w:keepNext w:val="0"/>
              <w:spacing w:after="20"/>
            </w:pPr>
            <w:r>
              <w:t>Queries, impressions, clicks, landing pages, device/region, index coverage, and downstream business outcomes.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Ethical distribution</w:t>
            </w:r>
          </w:p>
        </w:tc>
        <w:tc>
          <w:tcPr>
            <w:tcW w:type="dxa" w:w="7029"/>
            <w:vAlign w:val="top"/>
            <w:tcMar>
              <w:top w:w="85" w:type="dxa"/>
              <w:bottom w:w="85" w:type="dxa"/>
              <w:left w:w="95" w:type="dxa"/>
              <w:right w:w="95" w:type="dxa"/>
            </w:tcMar>
            <w:shd w:fill="F3F7F9"/>
          </w:tcPr>
          <w:p>
            <w:pPr>
              <w:pStyle w:val="TableText"/>
              <w:keepNext w:val="0"/>
              <w:spacing w:after="20"/>
            </w:pPr>
            <w:r>
              <w:t>Relevant partnerships, useful resources, newsletters, community participation, and genuine earned references.</w:t>
            </w:r>
          </w:p>
        </w:tc>
      </w:tr>
    </w:tbl>
    <w:p>
      <w:pPr>
        <w:spacing w:after="0"/>
      </w:pPr>
    </w:p>
    <w:p>
      <w:r>
        <w:t>Do not equate ranking for a low-value query with business success. Evaluate qualified organic visits, successful customer tasks, valid leads, and revenue where measurable. Track search performance separately from paid ads to avoid attributing every improvement to website engineering.</w:t>
      </w:r>
    </w:p>
    <w:p>
      <w:pPr>
        <w:pStyle w:val="Heading2"/>
      </w:pPr>
      <w:r>
        <w:t>11.3 Local and industry-specific discovery</w:t>
      </w:r>
    </w:p>
    <w:p>
      <w:r>
        <w:t>For a business with real eligible locations or service areas, maintain accurate business identity, contact information, opening/service details, and location pages based on actual operations. Confirm platform eligibility before creating business profiles. Do not invent branches to target extra cities. Use local pages only when they provide genuinely distinct useful information.</w:t>
      </w:r>
    </w:p>
    <w:p>
      <w:r>
        <w:t>Industry modules may need product feeds, real event listings, job postings, accessibility statements, delivery/service-area detail, or regulated claim review. Assign an accountable business reviewer. A schema generator cannot make unsupported claims legitimate or create eligibility where the underlying business does not meet platform requirements.</w:t>
      </w:r>
    </w:p>
    <w:p>
      <w:pPr>
        <w:pStyle w:val="Heading2"/>
      </w:pPr>
      <w:r>
        <w:t>11.4 AI-assisted discovery and publishing</w:t>
      </w:r>
    </w:p>
    <w:p>
      <w:r>
        <w:t xml:space="preserve">Use clear, original, well-structured content with accessible supporting evidence. Google's guidance does not require a special AI-only file or schema to appear in its AI search features. Do not sell llms.txt, an “AI score,” or a particular CMS as a guaranteed route to visibility. Such files can be maintained for other documented uses without being represented as a Google ranking requirement. </w:t>
      </w:r>
      <w:hyperlink w:anchor="ref_R11">
        <w:r>
          <w:rPr>
            <w:color w:val="087F83"/>
            <w:rFonts w:ascii="Lato" w:hAnsi="Lato"/>
            <w:sz w:val="19"/>
          </w:rPr>
          <w:t>[R11]</w:t>
        </w:r>
      </w:hyperlink>
      <w:r>
        <w:t xml:space="preserve"> </w:t>
      </w:r>
      <w:hyperlink w:anchor="ref_R12">
        <w:r>
          <w:rPr>
            <w:color w:val="087F83"/>
            <w:rFonts w:ascii="Lato" w:hAnsi="Lato"/>
            <w:sz w:val="19"/>
          </w:rPr>
          <w:t>[R12]</w:t>
        </w:r>
      </w:hyperlink>
      <w:r/>
    </w:p>
    <w:p>
      <w:r>
        <w:t>AI can assist with briefs, editing, alt-text suggestions, and content audits, but a human owner remains responsible for correctness, rights, sensitive claims, and publication. Generated content must not auto-publish at scale without review. Preserve source provenance and explicitly mark uncertain statements during drafting rather than converting them into confident claims.</w:t>
      </w:r>
    </w:p>
    <w:p>
      <w:pPr>
        <w:pStyle w:val="Heading3"/>
      </w:pPr>
      <w:r>
        <w:t>Version 1.2 integration</w:t>
      </w:r>
    </w:p>
    <w:p>
      <w:pPr/>
      <w:r>
        <w:t>Use Chapters 43 and 49 for research, offer positioning, content governance, ethical distribution, local operations and AI-search boundaries. Chapter 55 distinguishes search visibility from advertising attribution and authoritative business outcomes.</w:t>
      </w:r>
    </w:p>
    <w:p>
      <w:pPr>
        <w:pStyle w:val="SmallNote"/>
        <w:spacing w:before="120"/>
      </w:pPr>
      <w:r>
        <w:t>Final edition integration: Check current generative-search inclusion and report capabilities under Chapter 66; ordinary analytics cannot reveal named AI impressions.</w:t>
      </w:r>
    </w:p>
    <w:p>
      <w:pPr>
        <w:pStyle w:val="Heading1"/>
        <w:pageBreakBefore w:val="0"/>
        <w:spacing w:before="400"/>
        <w:pBdr>
          <w:bottom w:val="single" w:sz="8" w:color="087F83" w:space="8"/>
        </w:pBdr>
      </w:pPr>
      <w:bookmarkStart w:id="14" w:name="chapter_12"/>
      <w:bookmarkStart w:id="271" w:name="v12_ch12"/>
      <w:r>
        <w:t>12 | Google Ads readiness and closed-loop conversion</w:t>
      </w:r>
      <w:bookmarkEnd w:id="14"/>
      <w:bookmarkEnd w:id="271"/>
      <w:bookmarkStart w:id="562" w:name="tocfinal_ch_12"/>
      <w:bookmarkEnd w:id="562"/>
    </w:p>
    <w:p>
      <w:pPr>
        <w:pStyle w:val="Heading2"/>
      </w:pPr>
      <w:r>
        <w:t>12.1 Website readiness is not auction control</w:t>
      </w:r>
    </w:p>
    <w:p>
      <w:r>
        <w:t xml:space="preserve">Build landing pages that deliver the ad's promise, work on mobile, explain the offer, disclose important conditions, and allow customers to complete the intended action. Google evaluates destination requirements such as functionality and usability. A good website supports campaigns, but bids, competition, context, creative, audience strategy, and other auction factors also matter. </w:t>
      </w:r>
      <w:hyperlink w:anchor="ref_R05">
        <w:r>
          <w:rPr>
            <w:color w:val="087F83"/>
            <w:rFonts w:ascii="Lato" w:hAnsi="Lato"/>
            <w:sz w:val="19"/>
          </w:rPr>
          <w:t>[R05]</w:t>
        </w:r>
      </w:hyperlink>
      <w:r>
        <w:t xml:space="preserve"> </w:t>
      </w:r>
      <w:hyperlink w:anchor="ref_R02">
        <w:r>
          <w:rPr>
            <w:color w:val="087F83"/>
            <w:rFonts w:ascii="Lato" w:hAnsi="Lato"/>
            <w:sz w:val="19"/>
          </w:rPr>
          <w:t>[R02]</w:t>
        </w:r>
      </w:hyperlink>
      <w:r/>
    </w:p>
    <w:p>
      <w:r>
        <w:t xml:space="preserve">Quality Score can help diagnose expected click-through rate, ad relevance, and landing-page experience. Do not present the displayed score as the auction formula or claim that achieving a particular Core Web Vitals score directly guarantees cheaper clicks. </w:t>
      </w:r>
      <w:hyperlink w:anchor="ref_R01">
        <w:r>
          <w:rPr>
            <w:color w:val="087F83"/>
            <w:rFonts w:ascii="Lato" w:hAnsi="Lato"/>
            <w:sz w:val="19"/>
          </w:rPr>
          <w:t>[R01]</w:t>
        </w:r>
      </w:hyperlink>
      <w:r/>
    </w:p>
    <w:p>
      <w:pPr>
        <w:pStyle w:val="Heading2"/>
      </w:pPr>
      <w:r>
        <w:t>12.2 Account and configuration checklist</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Requirement</w:t>
            </w:r>
          </w:p>
        </w:tc>
        <w:tc>
          <w:tcPr>
            <w:tcW w:type="dxa" w:w="7029"/>
            <w:vAlign w:val="top"/>
            <w:tcMar>
              <w:top w:w="85" w:type="dxa"/>
              <w:bottom w:w="85" w:type="dxa"/>
              <w:left w:w="95" w:type="dxa"/>
              <w:right w:w="95" w:type="dxa"/>
            </w:tcMar>
            <w:shd w:fill="163349"/>
          </w:tcPr>
          <w:p>
            <w:pPr>
              <w:pStyle w:val="TableText"/>
              <w:keepNext/>
              <w:spacing w:after="20"/>
            </w:pPr>
            <w:r>
              <w:rPr>
                <w:b/>
                <w:color w:val="FFFFFF"/>
              </w:rPr>
              <w:t>Owner-controlled implementation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Accounts</w:t>
            </w:r>
          </w:p>
        </w:tc>
        <w:tc>
          <w:tcPr>
            <w:tcW w:type="dxa" w:w="7029"/>
            <w:vAlign w:val="top"/>
            <w:tcMar>
              <w:top w:w="85" w:type="dxa"/>
              <w:bottom w:w="85" w:type="dxa"/>
              <w:left w:w="95" w:type="dxa"/>
              <w:right w:w="95" w:type="dxa"/>
            </w:tcMar>
            <w:shd w:fill="FFFFFF"/>
          </w:tcPr>
          <w:p>
            <w:pPr>
              <w:pStyle w:val="TableText"/>
              <w:keepNext w:val="0"/>
              <w:spacing w:after="20"/>
            </w:pPr>
            <w:r>
              <w:t>Business owns Ads, Analytics, Tag Manager, Search Console, billing, recovery methods, and administrator access. Agencies receive delegated access.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Landing pages</w:t>
            </w:r>
          </w:p>
        </w:tc>
        <w:tc>
          <w:tcPr>
            <w:tcW w:type="dxa" w:w="7029"/>
            <w:vAlign w:val="top"/>
            <w:tcMar>
              <w:top w:w="85" w:type="dxa"/>
              <w:bottom w:w="85" w:type="dxa"/>
              <w:left w:w="95" w:type="dxa"/>
              <w:right w:w="95" w:type="dxa"/>
            </w:tcMar>
            <w:shd w:fill="F3F7F9"/>
          </w:tcPr>
          <w:p>
            <w:pPr>
              <w:pStyle w:val="TableText"/>
              <w:keepNext w:val="0"/>
              <w:spacing w:after="20"/>
            </w:pPr>
            <w:r>
              <w:t>Working HTTPS destinations, matching domain/message, usable navigation and contact information, accurate pricing/claims, and no cloaking.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Campaign identifiers</w:t>
            </w:r>
          </w:p>
        </w:tc>
        <w:tc>
          <w:tcPr>
            <w:tcW w:type="dxa" w:w="7029"/>
            <w:vAlign w:val="top"/>
            <w:tcMar>
              <w:top w:w="85" w:type="dxa"/>
              <w:bottom w:w="85" w:type="dxa"/>
              <w:left w:w="95" w:type="dxa"/>
              <w:right w:w="95" w:type="dxa"/>
            </w:tcMar>
            <w:shd w:fill="FFFFFF"/>
          </w:tcPr>
          <w:p>
            <w:pPr>
              <w:pStyle w:val="TableText"/>
              <w:keepNext w:val="0"/>
              <w:spacing w:after="20"/>
            </w:pPr>
            <w:r>
              <w:t>Controlled UTM builder; preserve approved Google click identifiers where consent and configuration permit. Do not fabricate missing identifiers.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Conversion catalogue</w:t>
            </w:r>
          </w:p>
        </w:tc>
        <w:tc>
          <w:tcPr>
            <w:tcW w:type="dxa" w:w="7029"/>
            <w:vAlign w:val="top"/>
            <w:tcMar>
              <w:top w:w="85" w:type="dxa"/>
              <w:bottom w:w="85" w:type="dxa"/>
              <w:left w:w="95" w:type="dxa"/>
              <w:right w:w="95" w:type="dxa"/>
            </w:tcMar>
            <w:shd w:fill="F3F7F9"/>
          </w:tcPr>
          <w:p>
            <w:pPr>
              <w:pStyle w:val="TableText"/>
              <w:keepNext w:val="0"/>
              <w:spacing w:after="20"/>
            </w:pPr>
            <w:r>
              <w:t>Named actions, business definitions, primary/secondary status, counting rule, value policy, currency, and authoritative source.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Validation</w:t>
            </w:r>
          </w:p>
        </w:tc>
        <w:tc>
          <w:tcPr>
            <w:tcW w:type="dxa" w:w="7029"/>
            <w:vAlign w:val="top"/>
            <w:tcMar>
              <w:top w:w="85" w:type="dxa"/>
              <w:bottom w:w="85" w:type="dxa"/>
              <w:left w:w="95" w:type="dxa"/>
              <w:right w:w="95" w:type="dxa"/>
            </w:tcMar>
            <w:shd w:fill="FFFFFF"/>
          </w:tcPr>
          <w:p>
            <w:pPr>
              <w:pStyle w:val="TableText"/>
              <w:keepNext w:val="0"/>
              <w:spacing w:after="20"/>
            </w:pPr>
            <w:r>
              <w:t>Tag diagnostics, consent tests, backend reconciliation, conversion deduplication, real test lead, and sales-team confirmation.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Policy review</w:t>
            </w:r>
          </w:p>
        </w:tc>
        <w:tc>
          <w:tcPr>
            <w:tcW w:type="dxa" w:w="7029"/>
            <w:vAlign w:val="top"/>
            <w:tcMar>
              <w:top w:w="85" w:type="dxa"/>
              <w:bottom w:w="85" w:type="dxa"/>
              <w:left w:w="95" w:type="dxa"/>
              <w:right w:w="95" w:type="dxa"/>
            </w:tcMar>
            <w:shd w:fill="F3F7F9"/>
          </w:tcPr>
          <w:p>
            <w:pPr>
              <w:pStyle w:val="TableText"/>
              <w:keepNext w:val="0"/>
              <w:spacing w:after="20"/>
            </w:pPr>
            <w:r>
              <w:t>Industry, location, audience-age, advertiser verification, claims, and destination requirements checked in the actual account.</w:t>
            </w:r>
          </w:p>
        </w:tc>
      </w:tr>
    </w:tbl>
    <w:p>
      <w:pPr>
        <w:spacing w:after="0"/>
      </w:pPr>
    </w:p>
    <w:p>
      <w:pPr>
        <w:pStyle w:val="Heading2"/>
      </w:pPr>
      <w:r>
        <w:t>12.3 Primary versus secondary conversions</w:t>
      </w:r>
    </w:p>
    <w:p>
      <w:r>
        <w:t>For lead-generation sites, pricing views, brochure clicks, and form starts are usually diagnostic events rather than primary bidding goals. A durably accepted valid lead is a stronger signal; a qualified lead or confirmed sale may be the preferred business goal when timely and sufficiently available. Choose the goal deliberately with the campaign owner rather than marking every interaction as a conversion.</w:t>
      </w:r>
    </w:p>
    <w:p>
      <w:r>
        <w:t xml:space="preserve">Avoid counting the same submission once through a native Google Ads tag and again through an imported GA4 event as separate primary goals. Keep one documented source for each business conversion action and test the account's counting rules. Where transaction identifiers are supported, provide stable identifiers for deduplication according to the relevant conversion action configuration. </w:t>
      </w:r>
      <w:hyperlink w:anchor="ref_R15">
        <w:r>
          <w:rPr>
            <w:color w:val="087F83"/>
            <w:rFonts w:ascii="Lato" w:hAnsi="Lato"/>
            <w:sz w:val="19"/>
          </w:rPr>
          <w:t>[R15]</w:t>
        </w:r>
      </w:hyperlink>
      <w:r/>
    </w:p>
    <w:p>
      <w:pPr>
        <w:pStyle w:val="Heading2"/>
      </w:pPr>
      <w:r>
        <w:t>12.4 Enhanced and offline conversion design</w:t>
      </w:r>
    </w:p>
    <w:p>
      <w:r>
        <w:t xml:space="preserve">Enhanced conversions can use permitted first-party customer information under Google's requirements. Hashing is a transport/matching transformation, not anonymization or permission to send data. Keep normalized identifiers out of GA4 event parameters, the generic dataLayer, and frontend logs. Apply destination-specific transformation only inside a controlled adapter and only when allowed. </w:t>
      </w:r>
      <w:hyperlink w:anchor="ref_R13">
        <w:r>
          <w:rPr>
            <w:color w:val="087F83"/>
            <w:rFonts w:ascii="Lato" w:hAnsi="Lato"/>
            <w:sz w:val="19"/>
          </w:rPr>
          <w:t>[R13]</w:t>
        </w:r>
      </w:hyperlink>
      <w:r>
        <w:t xml:space="preserve"> </w:t>
      </w:r>
      <w:hyperlink w:anchor="ref_R22">
        <w:r>
          <w:rPr>
            <w:color w:val="087F83"/>
            <w:rFonts w:ascii="Lato" w:hAnsi="Lato"/>
            <w:sz w:val="19"/>
          </w:rPr>
          <w:t>[R22]</w:t>
        </w:r>
      </w:hyperlink>
      <w:r/>
    </w:p>
    <w:p>
      <w:r>
        <w:t xml:space="preserve">For a new offline or enhanced-lead integration, use the current supported Google Data Manager API path and verify access and event requirements. Google's 2026 documentation directs these events through Data Manager; the older Google Ads upload path has changed restrictions. Do not begin a new implementation by copying an old UploadClickConversions tutorial without checking current support. </w:t>
      </w:r>
      <w:hyperlink w:anchor="ref_R14">
        <w:r>
          <w:rPr>
            <w:color w:val="087F83"/>
            <w:rFonts w:ascii="Lato" w:hAnsi="Lato"/>
            <w:sz w:val="19"/>
          </w:rPr>
          <w:t>[R14]</w:t>
        </w:r>
      </w:hyperlink>
      <w:r>
        <w:t xml:space="preserve"> </w:t>
      </w:r>
      <w:hyperlink w:anchor="ref_R16">
        <w:r>
          <w:rPr>
            <w:color w:val="087F83"/>
            <w:rFonts w:ascii="Lato" w:hAnsi="Lato"/>
            <w:sz w:val="19"/>
          </w:rPr>
          <w:t>[R16]</w:t>
        </w:r>
      </w:hyperlink>
      <w:r/>
    </w:p>
    <w:p>
      <w:r>
        <w:t>The CRM workflow records actual qualification or sale time, currency/value where meaningful, conversion action mapping, available eligible identifiers, and consent state. Queue delivery through an audited adapter. Capture platform diagnostics and retry only eligible failures within current provider rules. A received request, an accepted event, a matched event, and an attributed conversion are different states.</w:t>
      </w:r>
    </w:p>
    <w:p>
      <w:pPr>
        <w:pStyle w:val="Heading2"/>
      </w:pPr>
      <w:r>
        <w:t>12.5 Paid-traffic release gate</w:t>
      </w:r>
    </w:p>
    <w:p>
      <w:r>
        <w:t>Before increasing spend, submit test leads from representative landing pages, verify duplicate prevention, confirm CRM routing, inspect consent behavior, and reconcile with platform diagnostics. Keep test data and internal traffic separate from optimization where possible. Confirm that the sales team can respond within the agreed service level. Buying more traffic before fixing missed leads or bad conversion signals compounds the problem.</w:t>
      </w:r>
    </w:p>
    <w:p>
      <w:pPr>
        <w:pStyle w:val="Heading3"/>
      </w:pPr>
      <w:r>
        <w:t>Version 1.2 integration</w:t>
      </w:r>
    </w:p>
    <w:p>
      <w:pPr/>
      <w:r>
        <w:t>Chapter 51 expands Google Ads campaign operations, goals, budgets, automated features, native leads and current offline ingestion. Chapter 53 separates reporting, measurement/audience delivery and optional spending-authorized campaign writes.</w:t>
      </w:r>
    </w:p>
    <w:p>
      <w:pPr>
        <w:pStyle w:val="SmallNote"/>
        <w:spacing w:before="120"/>
      </w:pPr>
      <w:r>
        <w:t>Final edition integration: Resolve effective campaign goals, including custom-goal behavior, under Chapter 67.3.</w:t>
      </w:r>
    </w:p>
    <w:p>
      <w:pPr>
        <w:pStyle w:val="Heading1"/>
        <w:pageBreakBefore w:val="0"/>
        <w:spacing w:before="400"/>
        <w:pBdr>
          <w:bottom w:val="single" w:sz="8" w:color="087F83" w:space="8"/>
        </w:pBdr>
      </w:pPr>
      <w:bookmarkStart w:id="15" w:name="chapter_13"/>
      <w:bookmarkStart w:id="272" w:name="v12_ch13"/>
      <w:r>
        <w:t>13 | Meta Ads, Pixel, and Conversions API</w:t>
      </w:r>
      <w:bookmarkEnd w:id="15"/>
      <w:bookmarkEnd w:id="272"/>
      <w:bookmarkStart w:id="563" w:name="tocfinal_ch_13"/>
      <w:bookmarkEnd w:id="563"/>
    </w:p>
    <w:p>
      <w:pPr>
        <w:pStyle w:val="Heading2"/>
      </w:pPr>
      <w:r>
        <w:t>13.1 Operating model</w:t>
      </w:r>
    </w:p>
    <w:p>
      <w:r>
        <w:t>The business must own its Meta business assets, ad account, relevant Facebook/Instagram identities, dataset or pixel configuration, domain administration, and billing/recovery access. Agency or developer access must be delegated and removable. Record the actual asset identifiers and owners in a secure asset register, not in public source code.</w:t>
      </w:r>
    </w:p>
    <w:p>
      <w:r>
        <w:t xml:space="preserve">Meta's Conversions API is a connection for business event data from supported sources; it complements browser measurement. It does not guarantee full tracking, exact attribution, or permission to bypass user choices. Ad delivery also depends on factors beyond the website, including predicted actions and ad quality. </w:t>
      </w:r>
      <w:hyperlink w:anchor="ref_R17">
        <w:r>
          <w:rPr>
            <w:color w:val="087F83"/>
            <w:rFonts w:ascii="Lato" w:hAnsi="Lato"/>
            <w:sz w:val="19"/>
          </w:rPr>
          <w:t>[R17]</w:t>
        </w:r>
      </w:hyperlink>
      <w:r>
        <w:t xml:space="preserve"> </w:t>
      </w:r>
      <w:hyperlink w:anchor="ref_R18">
        <w:r>
          <w:rPr>
            <w:color w:val="087F83"/>
            <w:rFonts w:ascii="Lato" w:hAnsi="Lato"/>
            <w:sz w:val="19"/>
          </w:rPr>
          <w:t>[R18]</w:t>
        </w:r>
      </w:hyperlink>
      <w:r/>
    </w:p>
    <w:p>
      <w:pPr>
        <w:pStyle w:val="Heading2"/>
      </w:pPr>
      <w:r>
        <w:t>13.2 Event mapping and deduplication contract</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Internal business event</w:t>
            </w:r>
          </w:p>
        </w:tc>
        <w:tc>
          <w:tcPr>
            <w:tcW w:type="dxa" w:w="3883"/>
            <w:vAlign w:val="top"/>
            <w:tcMar>
              <w:top w:w="85" w:type="dxa"/>
              <w:bottom w:w="85" w:type="dxa"/>
              <w:left w:w="95" w:type="dxa"/>
              <w:right w:w="95" w:type="dxa"/>
            </w:tcMar>
            <w:shd w:fill="163349"/>
          </w:tcPr>
          <w:p>
            <w:pPr>
              <w:pStyle w:val="TableText"/>
              <w:keepNext/>
              <w:spacing w:after="20"/>
            </w:pPr>
            <w:r>
              <w:rPr>
                <w:b/>
                <w:color w:val="FFFFFF"/>
              </w:rPr>
              <w:t>Intended Meta mapping</w:t>
            </w:r>
          </w:p>
        </w:tc>
        <w:tc>
          <w:tcPr>
            <w:tcW w:type="dxa" w:w="3687"/>
            <w:vAlign w:val="top"/>
            <w:tcMar>
              <w:top w:w="85" w:type="dxa"/>
              <w:bottom w:w="85" w:type="dxa"/>
              <w:left w:w="95" w:type="dxa"/>
              <w:right w:w="95" w:type="dxa"/>
            </w:tcMar>
            <w:shd w:fill="163349"/>
          </w:tcPr>
          <w:p>
            <w:pPr>
              <w:pStyle w:val="TableText"/>
              <w:keepNext/>
              <w:spacing w:after="20"/>
            </w:pPr>
            <w:r>
              <w:rPr>
                <w:b/>
                <w:color w:val="FFFFFF"/>
              </w:rPr>
              <w:t>Required control</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Public page view</w:t>
            </w:r>
          </w:p>
        </w:tc>
        <w:tc>
          <w:tcPr>
            <w:tcW w:type="dxa" w:w="3883"/>
            <w:vAlign w:val="top"/>
            <w:tcMar>
              <w:top w:w="85" w:type="dxa"/>
              <w:bottom w:w="85" w:type="dxa"/>
              <w:left w:w="95" w:type="dxa"/>
              <w:right w:w="95" w:type="dxa"/>
            </w:tcMar>
            <w:shd w:fill="FFFFFF"/>
          </w:tcPr>
          <w:p>
            <w:pPr>
              <w:pStyle w:val="TableText"/>
              <w:keepNext w:val="0"/>
              <w:spacing w:after="20"/>
            </w:pPr>
            <w:r>
              <w:t>PageView, where enabled and permitted</w:t>
            </w:r>
          </w:p>
        </w:tc>
        <w:tc>
          <w:tcPr>
            <w:tcW w:type="dxa" w:w="3687"/>
            <w:vAlign w:val="top"/>
            <w:tcMar>
              <w:top w:w="85" w:type="dxa"/>
              <w:bottom w:w="85" w:type="dxa"/>
              <w:left w:w="95" w:type="dxa"/>
              <w:right w:w="95" w:type="dxa"/>
            </w:tcMar>
            <w:shd w:fill="FFFFFF"/>
          </w:tcPr>
          <w:p>
            <w:pPr>
              <w:pStyle w:val="TableText"/>
              <w:keepNext w:val="0"/>
              <w:spacing w:after="20"/>
            </w:pPr>
            <w:r>
              <w:t>Exactly one configured browser page-view owner per navigation.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Meaningful offering view</w:t>
            </w:r>
          </w:p>
        </w:tc>
        <w:tc>
          <w:tcPr>
            <w:tcW w:type="dxa" w:w="3883"/>
            <w:vAlign w:val="top"/>
            <w:tcMar>
              <w:top w:w="85" w:type="dxa"/>
              <w:bottom w:w="85" w:type="dxa"/>
              <w:left w:w="95" w:type="dxa"/>
              <w:right w:w="95" w:type="dxa"/>
            </w:tcMar>
            <w:shd w:fill="F3F7F9"/>
          </w:tcPr>
          <w:p>
            <w:pPr>
              <w:pStyle w:val="TableText"/>
              <w:keepNext w:val="0"/>
              <w:spacing w:after="20"/>
            </w:pPr>
            <w:r>
              <w:t>ViewContent where suitable</w:t>
            </w:r>
          </w:p>
        </w:tc>
        <w:tc>
          <w:tcPr>
            <w:tcW w:type="dxa" w:w="3687"/>
            <w:vAlign w:val="top"/>
            <w:tcMar>
              <w:top w:w="85" w:type="dxa"/>
              <w:bottom w:w="85" w:type="dxa"/>
              <w:left w:w="95" w:type="dxa"/>
              <w:right w:w="95" w:type="dxa"/>
            </w:tcMar>
            <w:shd w:fill="F3F7F9"/>
          </w:tcPr>
          <w:p>
            <w:pPr>
              <w:pStyle w:val="TableText"/>
              <w:keepNext w:val="0"/>
              <w:spacing w:after="20"/>
            </w:pPr>
            <w:r>
              <w:t>Map approved entity/content IDs; do not send sensitive page context.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Confirmed lead</w:t>
            </w:r>
          </w:p>
        </w:tc>
        <w:tc>
          <w:tcPr>
            <w:tcW w:type="dxa" w:w="3883"/>
            <w:vAlign w:val="top"/>
            <w:tcMar>
              <w:top w:w="85" w:type="dxa"/>
              <w:bottom w:w="85" w:type="dxa"/>
              <w:left w:w="95" w:type="dxa"/>
              <w:right w:w="95" w:type="dxa"/>
            </w:tcMar>
            <w:shd w:fill="FFFFFF"/>
          </w:tcPr>
          <w:p>
            <w:pPr>
              <w:pStyle w:val="TableText"/>
              <w:keepNext w:val="0"/>
              <w:spacing w:after="20"/>
            </w:pPr>
            <w:r>
              <w:t>Lead or the currently appropriate configured event</w:t>
            </w:r>
          </w:p>
        </w:tc>
        <w:tc>
          <w:tcPr>
            <w:tcW w:type="dxa" w:w="3687"/>
            <w:vAlign w:val="top"/>
            <w:tcMar>
              <w:top w:w="85" w:type="dxa"/>
              <w:bottom w:w="85" w:type="dxa"/>
              <w:left w:w="95" w:type="dxa"/>
              <w:right w:w="95" w:type="dxa"/>
            </w:tcMar>
            <w:shd w:fill="FFFFFF"/>
          </w:tcPr>
          <w:p>
            <w:pPr>
              <w:pStyle w:val="TableText"/>
              <w:keepNext w:val="0"/>
              <w:spacing w:after="20"/>
            </w:pPr>
            <w:r>
              <w:t>Browser and server representations of the same action share the agreed deduplication identity.</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Verified registration</w:t>
            </w:r>
          </w:p>
        </w:tc>
        <w:tc>
          <w:tcPr>
            <w:tcW w:type="dxa" w:w="3883"/>
            <w:vAlign w:val="top"/>
            <w:tcMar>
              <w:top w:w="85" w:type="dxa"/>
              <w:bottom w:w="85" w:type="dxa"/>
              <w:left w:w="95" w:type="dxa"/>
              <w:right w:w="95" w:type="dxa"/>
            </w:tcMar>
            <w:shd w:fill="F3F7F9"/>
          </w:tcPr>
          <w:p>
            <w:pPr>
              <w:pStyle w:val="TableText"/>
              <w:keepNext w:val="0"/>
              <w:spacing w:after="20"/>
            </w:pPr>
            <w:r>
              <w:t>CompleteRegistration where appropriate</w:t>
            </w:r>
          </w:p>
        </w:tc>
        <w:tc>
          <w:tcPr>
            <w:tcW w:type="dxa" w:w="3687"/>
            <w:vAlign w:val="top"/>
            <w:tcMar>
              <w:top w:w="85" w:type="dxa"/>
              <w:bottom w:w="85" w:type="dxa"/>
              <w:left w:w="95" w:type="dxa"/>
              <w:right w:w="95" w:type="dxa"/>
            </w:tcMar>
            <w:shd w:fill="F3F7F9"/>
          </w:tcPr>
          <w:p>
            <w:pPr>
              <w:pStyle w:val="TableText"/>
              <w:keepNext w:val="0"/>
              <w:spacing w:after="20"/>
            </w:pPr>
            <w:r>
              <w:t>Emit after account/registration success, not on a button click.</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Completed paid order</w:t>
            </w:r>
          </w:p>
        </w:tc>
        <w:tc>
          <w:tcPr>
            <w:tcW w:type="dxa" w:w="3883"/>
            <w:vAlign w:val="top"/>
            <w:tcMar>
              <w:top w:w="85" w:type="dxa"/>
              <w:bottom w:w="85" w:type="dxa"/>
              <w:left w:w="95" w:type="dxa"/>
              <w:right w:w="95" w:type="dxa"/>
            </w:tcMar>
            <w:shd w:fill="FFFFFF"/>
          </w:tcPr>
          <w:p>
            <w:pPr>
              <w:pStyle w:val="TableText"/>
              <w:keepNext w:val="0"/>
              <w:spacing w:after="20"/>
            </w:pPr>
            <w:r>
              <w:t>Purchase</w:t>
            </w:r>
          </w:p>
        </w:tc>
        <w:tc>
          <w:tcPr>
            <w:tcW w:type="dxa" w:w="3687"/>
            <w:vAlign w:val="top"/>
            <w:tcMar>
              <w:top w:w="85" w:type="dxa"/>
              <w:bottom w:w="85" w:type="dxa"/>
              <w:left w:w="95" w:type="dxa"/>
              <w:right w:w="95" w:type="dxa"/>
            </w:tcMar>
            <w:shd w:fill="FFFFFF"/>
          </w:tcPr>
          <w:p>
            <w:pPr>
              <w:pStyle w:val="TableText"/>
              <w:keepNext w:val="0"/>
              <w:spacing w:after="20"/>
            </w:pPr>
            <w:r>
              <w:t>Trusted order total/currency and stable order/event identifiers; never trust browser price.</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Qualified lead / later sale</w:t>
            </w:r>
          </w:p>
        </w:tc>
        <w:tc>
          <w:tcPr>
            <w:tcW w:type="dxa" w:w="3883"/>
            <w:vAlign w:val="top"/>
            <w:tcMar>
              <w:top w:w="85" w:type="dxa"/>
              <w:bottom w:w="85" w:type="dxa"/>
              <w:left w:w="95" w:type="dxa"/>
              <w:right w:w="95" w:type="dxa"/>
            </w:tcMar>
            <w:shd w:fill="F3F7F9"/>
          </w:tcPr>
          <w:p>
            <w:pPr>
              <w:pStyle w:val="TableText"/>
              <w:keepNext w:val="0"/>
              <w:spacing w:after="20"/>
            </w:pPr>
            <w:r>
              <w:t>Supported standard or custom event chosen in account design</w:t>
            </w:r>
          </w:p>
        </w:tc>
        <w:tc>
          <w:tcPr>
            <w:tcW w:type="dxa" w:w="3687"/>
            <w:vAlign w:val="top"/>
            <w:tcMar>
              <w:top w:w="85" w:type="dxa"/>
              <w:bottom w:w="85" w:type="dxa"/>
              <w:left w:w="95" w:type="dxa"/>
              <w:right w:w="95" w:type="dxa"/>
            </w:tcMar>
            <w:shd w:fill="F3F7F9"/>
          </w:tcPr>
          <w:p>
            <w:pPr>
              <w:pStyle w:val="TableText"/>
              <w:keepNext w:val="0"/>
              <w:spacing w:after="20"/>
            </w:pPr>
            <w:r>
              <w:t>Verify current optimization support and privacy restrictions before implementation.</w:t>
            </w:r>
          </w:p>
        </w:tc>
      </w:tr>
    </w:tbl>
    <w:p>
      <w:pPr>
        <w:spacing w:after="0"/>
      </w:pPr>
    </w:p>
    <w:p>
      <w:r>
        <w:t xml:space="preserve">The implementation contract must use matching event names and event identifiers for browser/server representations of one action. For a successful form, the server returns the stored conversion event ID; the browser uses that value for its corresponding Meta event. Retries reuse the same event ID. Separate lifecycle events receive separate IDs. Validate the exact Pixel/CAPI field names, dataset configuration, and current deduplication behavior against authenticated official documentation and Events Manager before launch. </w:t>
      </w:r>
      <w:hyperlink w:anchor="ref_R19">
        <w:r>
          <w:rPr>
            <w:color w:val="087F83"/>
            <w:rFonts w:ascii="Lato" w:hAnsi="Lato"/>
            <w:sz w:val="19"/>
          </w:rPr>
          <w:t>[R19]</w:t>
        </w:r>
      </w:hyperlink>
      <w:r/>
    </w:p>
    <w:p>
      <w:pPr>
        <w:pStyle w:val="Heading2"/>
      </w:pPr>
      <w:r>
        <w:t>13.3 Server-side event processing</w:t>
      </w:r>
    </w:p>
    <w:p>
      <w:r>
        <w:t>The server adapter sends only the approved event name, action source, actual event time, sanitized source URL, eligible matching data, and relevant custom data. Persist the original event time across retries. Store tokens in a secret manager, not the frontend or CMS text fields. Use an allowlist so a malicious browser cannot request arbitrary event types, values, or destinations.</w:t>
      </w:r>
    </w:p>
    <w:p>
      <w:r>
        <w:t>Consent and eligibility are checked when collecting and again before dispatch. Where available and permitted, platform cookies and click-derived identifiers must follow the provider's rules; do not manufacture them from unrelated data. Do not hash every field indiscriminately. Some identifiers have different handling requirements, which must be tested with provider-specific fixtures.</w:t>
      </w:r>
    </w:p>
    <w:p>
      <w:r>
        <w:t xml:space="preserve">Do not send sensitive health, financial, children's, or other prohibited information through event names, URLs, product labels, form content, or customer-data fields. An innocent-looking page path can itself disclose sensitive context. Apply a data minimization and platform-policy review before activating events for sensitive businesses. </w:t>
      </w:r>
      <w:hyperlink w:anchor="ref_R20">
        <w:r>
          <w:rPr>
            <w:color w:val="087F83"/>
            <w:rFonts w:ascii="Lato" w:hAnsi="Lato"/>
            <w:sz w:val="19"/>
          </w:rPr>
          <w:t>[R20]</w:t>
        </w:r>
      </w:hyperlink>
      <w:r/>
    </w:p>
    <w:p>
      <w:pPr>
        <w:pStyle w:val="Heading2"/>
      </w:pPr>
      <w:r>
        <w:t>13.4 Validation and ongoing operations</w:t>
      </w:r>
    </w:p>
    <w:p>
      <w:r>
        <w:t>Use provider test modes and diagnostics to confirm mapping, event timestamps, duplicate behavior, matching eligibility, and error responses. Test browser-only, server-only, consent-denied, blocker-affected, duplicate-retry, and delayed-delivery cases. Review dataset health and the difference between CRM outcomes and attributed platform results.</w:t>
      </w:r>
    </w:p>
    <w:p>
      <w:r>
        <w:t>Meta API versions, supported event details, account capabilities, and policy restrictions must be checked at implementation time. Several detailed Meta developer pages were rate-limited during preparation of this document; this plan deliberately avoids asserting unverified version-specific deadlines, parameter limits, or historical event-prioritization restrictions. The authenticated integration validation is a release requirement, not an optional later task.</w:t>
      </w:r>
    </w:p>
    <w:p>
      <w:pPr>
        <w:pStyle w:val="Heading3"/>
      </w:pPr>
      <w:r>
        <w:t>Version 1.2 integration</w:t>
      </w:r>
    </w:p>
    <w:p>
      <w:pPr/>
      <w:r>
        <w:t>Chapter 52 expands Meta assets, campaign/creative/destination workflows, native leads, conversion quality and diagnostics. Current account permissions, restrictions and exact API behavior remain explicit verification gates in Appendix L.</w:t>
      </w:r>
    </w:p>
    <w:p>
      <w:pPr>
        <w:pStyle w:val="SmallNote"/>
        <w:spacing w:before="120"/>
      </w:pPr>
      <w:r>
        <w:t>Final edition integration: Validate the serialized SDK payload under Chapter 69 before network transmission.</w:t>
      </w:r>
    </w:p>
    <w:p>
      <w:pPr>
        <w:pStyle w:val="Heading1"/>
        <w:pageBreakBefore w:val="0"/>
        <w:spacing w:before="400"/>
        <w:pBdr>
          <w:bottom w:val="single" w:sz="8" w:color="087F83" w:space="8"/>
        </w:pBdr>
      </w:pPr>
      <w:bookmarkStart w:id="16" w:name="chapter_14"/>
      <w:bookmarkStart w:id="273" w:name="v12_ch14"/>
      <w:r>
        <w:t>14 | Measurement architecture and event catalogue</w:t>
      </w:r>
      <w:bookmarkEnd w:id="16"/>
      <w:bookmarkEnd w:id="273"/>
      <w:bookmarkStart w:id="564" w:name="tocfinal_ch_14"/>
      <w:bookmarkEnd w:id="564"/>
    </w:p>
    <w:p>
      <w:pPr>
        <w:pStyle w:val="Heading2"/>
      </w:pPr>
      <w:r>
        <w:t>14.1 What the system is designed to answer</w:t>
      </w:r>
    </w:p>
    <w:p>
      <w:r>
        <w:t>The measurement system should explain which acquisition sources bring suitable visitors, what content they use, where they encounter friction, which actions become valid leads, and which leads become business outcomes. It should not collect every mouse movement, keystroke, or form value simply because collection is technically possible.</w:t>
      </w:r>
    </w:p>
    <w:p>
      <w:r>
        <w:t>Use three distinct streams: operational/security telemetry needed to run the service; consent-controlled behavioral analytics; and authoritative business records such as leads, orders, bookings, and subscriptions. Define purposes, access, retention, and external destinations separately. “First-party” does not automatically mean exempt from privacy requirements.</w:t>
      </w:r>
    </w:p>
    <w:p>
      <w:pPr>
        <w:pStyle w:val="Heading2"/>
      </w:pPr>
      <w:r>
        <w:t>14.2 Event dictionary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Event</w:t>
            </w:r>
          </w:p>
        </w:tc>
        <w:tc>
          <w:tcPr>
            <w:tcW w:type="dxa" w:w="3883"/>
            <w:vAlign w:val="top"/>
            <w:tcMar>
              <w:top w:w="85" w:type="dxa"/>
              <w:bottom w:w="85" w:type="dxa"/>
              <w:left w:w="95" w:type="dxa"/>
              <w:right w:w="95" w:type="dxa"/>
            </w:tcMar>
            <w:shd w:fill="163349"/>
          </w:tcPr>
          <w:p>
            <w:pPr>
              <w:pStyle w:val="TableText"/>
              <w:keepNext/>
              <w:spacing w:after="20"/>
            </w:pPr>
            <w:r>
              <w:rPr>
                <w:b/>
                <w:color w:val="FFFFFF"/>
              </w:rPr>
              <w:t>Trigger and authority</w:t>
            </w:r>
          </w:p>
        </w:tc>
        <w:tc>
          <w:tcPr>
            <w:tcW w:type="dxa" w:w="3687"/>
            <w:vAlign w:val="top"/>
            <w:tcMar>
              <w:top w:w="85" w:type="dxa"/>
              <w:bottom w:w="85" w:type="dxa"/>
              <w:left w:w="95" w:type="dxa"/>
              <w:right w:w="95" w:type="dxa"/>
            </w:tcMar>
            <w:shd w:fill="163349"/>
          </w:tcPr>
          <w:p>
            <w:pPr>
              <w:pStyle w:val="TableText"/>
              <w:keepNext/>
              <w:spacing w:after="20"/>
            </w:pPr>
            <w:r>
              <w:rPr>
                <w:b/>
                <w:color w:val="FFFFFF"/>
              </w:rPr>
              <w:t>Scope / critical parameters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page_view</w:t>
            </w:r>
          </w:p>
        </w:tc>
        <w:tc>
          <w:tcPr>
            <w:tcW w:type="dxa" w:w="3883"/>
            <w:vAlign w:val="top"/>
            <w:tcMar>
              <w:top w:w="85" w:type="dxa"/>
              <w:bottom w:w="85" w:type="dxa"/>
              <w:left w:w="95" w:type="dxa"/>
              <w:right w:w="95" w:type="dxa"/>
            </w:tcMar>
            <w:shd w:fill="FFFFFF"/>
          </w:tcPr>
          <w:p>
            <w:pPr>
              <w:pStyle w:val="TableText"/>
              <w:keepNext w:val="0"/>
              <w:spacing w:after="20"/>
            </w:pPr>
            <w:r>
              <w:t>Completed public route navigation; one frontend owner.</w:t>
            </w:r>
          </w:p>
        </w:tc>
        <w:tc>
          <w:tcPr>
            <w:tcW w:type="dxa" w:w="3687"/>
            <w:vAlign w:val="top"/>
            <w:tcMar>
              <w:top w:w="85" w:type="dxa"/>
              <w:bottom w:w="85" w:type="dxa"/>
              <w:left w:w="95" w:type="dxa"/>
              <w:right w:w="95" w:type="dxa"/>
            </w:tcMar>
            <w:shd w:fill="FFFFFF"/>
          </w:tcPr>
          <w:p>
            <w:pPr>
              <w:pStyle w:val="TableText"/>
              <w:keepNext w:val="0"/>
              <w:spacing w:after="20"/>
            </w:pPr>
            <w:r>
              <w:t>Once per page_view_id; route_id, page_id, content_revision, locale.</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navigation_click</w:t>
            </w:r>
          </w:p>
        </w:tc>
        <w:tc>
          <w:tcPr>
            <w:tcW w:type="dxa" w:w="3883"/>
            <w:vAlign w:val="top"/>
            <w:tcMar>
              <w:top w:w="85" w:type="dxa"/>
              <w:bottom w:w="85" w:type="dxa"/>
              <w:left w:w="95" w:type="dxa"/>
              <w:right w:w="95" w:type="dxa"/>
            </w:tcMar>
            <w:shd w:fill="F3F7F9"/>
          </w:tcPr>
          <w:p>
            <w:pPr>
              <w:pStyle w:val="TableText"/>
              <w:keepNext w:val="0"/>
              <w:spacing w:after="20"/>
            </w:pPr>
            <w:r>
              <w:t>User activates a meaningful menu/breadcrumb link.</w:t>
            </w:r>
          </w:p>
        </w:tc>
        <w:tc>
          <w:tcPr>
            <w:tcW w:type="dxa" w:w="3687"/>
            <w:vAlign w:val="top"/>
            <w:tcMar>
              <w:top w:w="85" w:type="dxa"/>
              <w:bottom w:w="85" w:type="dxa"/>
              <w:left w:w="95" w:type="dxa"/>
              <w:right w:w="95" w:type="dxa"/>
            </w:tcMar>
            <w:shd w:fill="F3F7F9"/>
          </w:tcPr>
          <w:p>
            <w:pPr>
              <w:pStyle w:val="TableText"/>
              <w:keepNext w:val="0"/>
              <w:spacing w:after="20"/>
            </w:pPr>
            <w:r>
              <w:t>action_id, destination_route; no arbitrary link text.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cta_click</w:t>
            </w:r>
          </w:p>
        </w:tc>
        <w:tc>
          <w:tcPr>
            <w:tcW w:type="dxa" w:w="3883"/>
            <w:vAlign w:val="top"/>
            <w:tcMar>
              <w:top w:w="85" w:type="dxa"/>
              <w:bottom w:w="85" w:type="dxa"/>
              <w:left w:w="95" w:type="dxa"/>
              <w:right w:w="95" w:type="dxa"/>
            </w:tcMar>
            <w:shd w:fill="FFFFFF"/>
          </w:tcPr>
          <w:p>
            <w:pPr>
              <w:pStyle w:val="TableText"/>
              <w:keepNext w:val="0"/>
              <w:spacing w:after="20"/>
            </w:pPr>
            <w:r>
              <w:t>Approved call-to-action activated.</w:t>
            </w:r>
          </w:p>
        </w:tc>
        <w:tc>
          <w:tcPr>
            <w:tcW w:type="dxa" w:w="3687"/>
            <w:vAlign w:val="top"/>
            <w:tcMar>
              <w:top w:w="85" w:type="dxa"/>
              <w:bottom w:w="85" w:type="dxa"/>
              <w:left w:w="95" w:type="dxa"/>
              <w:right w:w="95" w:type="dxa"/>
            </w:tcMar>
            <w:shd w:fill="FFFFFF"/>
          </w:tcPr>
          <w:p>
            <w:pPr>
              <w:pStyle w:val="TableText"/>
              <w:keepNext w:val="0"/>
              <w:spacing w:after="20"/>
            </w:pPr>
            <w:r>
              <w:t>action_id, block_id, placement, entity_id when relevant.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section_view</w:t>
            </w:r>
          </w:p>
        </w:tc>
        <w:tc>
          <w:tcPr>
            <w:tcW w:type="dxa" w:w="3883"/>
            <w:vAlign w:val="top"/>
            <w:tcMar>
              <w:top w:w="85" w:type="dxa"/>
              <w:bottom w:w="85" w:type="dxa"/>
              <w:left w:w="95" w:type="dxa"/>
              <w:right w:w="95" w:type="dxa"/>
            </w:tcMar>
            <w:shd w:fill="F3F7F9"/>
          </w:tcPr>
          <w:p>
            <w:pPr>
              <w:pStyle w:val="TableText"/>
              <w:keepNext w:val="0"/>
              <w:spacing w:after="20"/>
            </w:pPr>
            <w:r>
              <w:t>Defined visible section meets its agreed threshold.</w:t>
            </w:r>
          </w:p>
        </w:tc>
        <w:tc>
          <w:tcPr>
            <w:tcW w:type="dxa" w:w="3687"/>
            <w:vAlign w:val="top"/>
            <w:tcMar>
              <w:top w:w="85" w:type="dxa"/>
              <w:bottom w:w="85" w:type="dxa"/>
              <w:left w:w="95" w:type="dxa"/>
              <w:right w:w="95" w:type="dxa"/>
            </w:tcMar>
            <w:shd w:fill="F3F7F9"/>
          </w:tcPr>
          <w:p>
            <w:pPr>
              <w:pStyle w:val="TableText"/>
              <w:keepNext w:val="0"/>
              <w:spacing w:after="20"/>
            </w:pPr>
            <w:r>
              <w:t>section_id, visibility_rule; once per page view unless justified.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pricing_view</w:t>
            </w:r>
          </w:p>
        </w:tc>
        <w:tc>
          <w:tcPr>
            <w:tcW w:type="dxa" w:w="3883"/>
            <w:vAlign w:val="top"/>
            <w:tcMar>
              <w:top w:w="85" w:type="dxa"/>
              <w:bottom w:w="85" w:type="dxa"/>
              <w:left w:w="95" w:type="dxa"/>
              <w:right w:w="95" w:type="dxa"/>
            </w:tcMar>
            <w:shd w:fill="FFFFFF"/>
          </w:tcPr>
          <w:p>
            <w:pPr>
              <w:pStyle w:val="TableText"/>
              <w:keepNext w:val="0"/>
              <w:spacing w:after="20"/>
            </w:pPr>
            <w:r>
              <w:t>Pricing heading/first-card marker visible ≥ 50% for 1 continuous second while the document is visible.</w:t>
            </w:r>
          </w:p>
        </w:tc>
        <w:tc>
          <w:tcPr>
            <w:tcW w:type="dxa" w:w="3687"/>
            <w:vAlign w:val="top"/>
            <w:tcMar>
              <w:top w:w="85" w:type="dxa"/>
              <w:bottom w:w="85" w:type="dxa"/>
              <w:left w:w="95" w:type="dxa"/>
              <w:right w:w="95" w:type="dxa"/>
            </w:tcMar>
            <w:shd w:fill="FFFFFF"/>
          </w:tcPr>
          <w:p>
            <w:pPr>
              <w:pStyle w:val="TableText"/>
              <w:keepNext w:val="0"/>
              <w:spacing w:after="20"/>
            </w:pPr>
            <w:r>
              <w:t>pricing_id, page_view_id; reset timer when visibility is interrupted.</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scroll_depth</w:t>
            </w:r>
          </w:p>
        </w:tc>
        <w:tc>
          <w:tcPr>
            <w:tcW w:type="dxa" w:w="3883"/>
            <w:vAlign w:val="top"/>
            <w:tcMar>
              <w:top w:w="85" w:type="dxa"/>
              <w:bottom w:w="85" w:type="dxa"/>
              <w:left w:w="95" w:type="dxa"/>
              <w:right w:w="95" w:type="dxa"/>
            </w:tcMar>
            <w:shd w:fill="F3F7F9"/>
          </w:tcPr>
          <w:p>
            <w:pPr>
              <w:pStyle w:val="TableText"/>
              <w:keepNext w:val="0"/>
              <w:spacing w:after="20"/>
            </w:pPr>
            <w:r>
              <w:t>Optional coarse progress milestones, not continuous telemetry.</w:t>
            </w:r>
          </w:p>
        </w:tc>
        <w:tc>
          <w:tcPr>
            <w:tcW w:type="dxa" w:w="3687"/>
            <w:vAlign w:val="top"/>
            <w:tcMar>
              <w:top w:w="85" w:type="dxa"/>
              <w:bottom w:w="85" w:type="dxa"/>
              <w:left w:w="95" w:type="dxa"/>
              <w:right w:w="95" w:type="dxa"/>
            </w:tcMar>
            <w:shd w:fill="F3F7F9"/>
          </w:tcPr>
          <w:p>
            <w:pPr>
              <w:pStyle w:val="TableText"/>
              <w:keepNext w:val="0"/>
              <w:spacing w:after="20"/>
            </w:pPr>
            <w:r>
              <w:t>Approved milestones such as 25/50/75/90; once each per page view.</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plan_select</w:t>
            </w:r>
          </w:p>
        </w:tc>
        <w:tc>
          <w:tcPr>
            <w:tcW w:type="dxa" w:w="3883"/>
            <w:vAlign w:val="top"/>
            <w:tcMar>
              <w:top w:w="85" w:type="dxa"/>
              <w:bottom w:w="85" w:type="dxa"/>
              <w:left w:w="95" w:type="dxa"/>
              <w:right w:w="95" w:type="dxa"/>
            </w:tcMar>
            <w:shd w:fill="FFFFFF"/>
          </w:tcPr>
          <w:p>
            <w:pPr>
              <w:pStyle w:val="TableText"/>
              <w:keepNext w:val="0"/>
              <w:spacing w:after="20"/>
            </w:pPr>
            <w:r>
              <w:t>Visitor chooses an offered package.</w:t>
            </w:r>
          </w:p>
        </w:tc>
        <w:tc>
          <w:tcPr>
            <w:tcW w:type="dxa" w:w="3687"/>
            <w:vAlign w:val="top"/>
            <w:tcMar>
              <w:top w:w="85" w:type="dxa"/>
              <w:bottom w:w="85" w:type="dxa"/>
              <w:left w:w="95" w:type="dxa"/>
              <w:right w:w="95" w:type="dxa"/>
            </w:tcMar>
            <w:shd w:fill="FFFFFF"/>
          </w:tcPr>
          <w:p>
            <w:pPr>
              <w:pStyle w:val="TableText"/>
              <w:keepNext w:val="0"/>
              <w:spacing w:after="20"/>
            </w:pPr>
            <w:r>
              <w:t>plan_id, context; not a payment or lead by itself.</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faq_open</w:t>
            </w:r>
          </w:p>
        </w:tc>
        <w:tc>
          <w:tcPr>
            <w:tcW w:type="dxa" w:w="3883"/>
            <w:vAlign w:val="top"/>
            <w:tcMar>
              <w:top w:w="85" w:type="dxa"/>
              <w:bottom w:w="85" w:type="dxa"/>
              <w:left w:w="95" w:type="dxa"/>
              <w:right w:w="95" w:type="dxa"/>
            </w:tcMar>
            <w:shd w:fill="F3F7F9"/>
          </w:tcPr>
          <w:p>
            <w:pPr>
              <w:pStyle w:val="TableText"/>
              <w:keepNext w:val="0"/>
              <w:spacing w:after="20"/>
            </w:pPr>
            <w:r>
              <w:t>Visitor expands a tracked question.</w:t>
            </w:r>
          </w:p>
        </w:tc>
        <w:tc>
          <w:tcPr>
            <w:tcW w:type="dxa" w:w="3687"/>
            <w:vAlign w:val="top"/>
            <w:tcMar>
              <w:top w:w="85" w:type="dxa"/>
              <w:bottom w:w="85" w:type="dxa"/>
              <w:left w:w="95" w:type="dxa"/>
              <w:right w:w="95" w:type="dxa"/>
            </w:tcMar>
            <w:shd w:fill="F3F7F9"/>
          </w:tcPr>
          <w:p>
            <w:pPr>
              <w:pStyle w:val="TableText"/>
              <w:keepNext w:val="0"/>
              <w:spacing w:after="20"/>
            </w:pPr>
            <w:r>
              <w:t>question_id, block_id; never the answer or user text.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download_click</w:t>
            </w:r>
          </w:p>
        </w:tc>
        <w:tc>
          <w:tcPr>
            <w:tcW w:type="dxa" w:w="3883"/>
            <w:vAlign w:val="top"/>
            <w:tcMar>
              <w:top w:w="85" w:type="dxa"/>
              <w:bottom w:w="85" w:type="dxa"/>
              <w:left w:w="95" w:type="dxa"/>
              <w:right w:w="95" w:type="dxa"/>
            </w:tcMar>
            <w:shd w:fill="FFFFFF"/>
          </w:tcPr>
          <w:p>
            <w:pPr>
              <w:pStyle w:val="TableText"/>
              <w:keepNext w:val="0"/>
              <w:spacing w:after="20"/>
            </w:pPr>
            <w:r>
              <w:t>Visitor activates a resource link.</w:t>
            </w:r>
          </w:p>
        </w:tc>
        <w:tc>
          <w:tcPr>
            <w:tcW w:type="dxa" w:w="3687"/>
            <w:vAlign w:val="top"/>
            <w:tcMar>
              <w:top w:w="85" w:type="dxa"/>
              <w:bottom w:w="85" w:type="dxa"/>
              <w:left w:w="95" w:type="dxa"/>
              <w:right w:w="95" w:type="dxa"/>
            </w:tcMar>
            <w:shd w:fill="FFFFFF"/>
          </w:tcPr>
          <w:p>
            <w:pPr>
              <w:pStyle w:val="TableText"/>
              <w:keepNext w:val="0"/>
              <w:spacing w:after="20"/>
            </w:pPr>
            <w:r>
              <w:t>asset_id, version, file_type; label as intent.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download_authorized</w:t>
            </w:r>
          </w:p>
        </w:tc>
        <w:tc>
          <w:tcPr>
            <w:tcW w:type="dxa" w:w="3883"/>
            <w:vAlign w:val="top"/>
            <w:tcMar>
              <w:top w:w="85" w:type="dxa"/>
              <w:bottom w:w="85" w:type="dxa"/>
              <w:left w:w="95" w:type="dxa"/>
              <w:right w:w="95" w:type="dxa"/>
            </w:tcMar>
            <w:shd w:fill="F3F7F9"/>
          </w:tcPr>
          <w:p>
            <w:pPr>
              <w:pStyle w:val="TableText"/>
              <w:keepNext w:val="0"/>
              <w:spacing w:after="20"/>
            </w:pPr>
            <w:r>
              <w:t>Server grants access to a protected resource.</w:t>
            </w:r>
          </w:p>
        </w:tc>
        <w:tc>
          <w:tcPr>
            <w:tcW w:type="dxa" w:w="3687"/>
            <w:vAlign w:val="top"/>
            <w:tcMar>
              <w:top w:w="85" w:type="dxa"/>
              <w:bottom w:w="85" w:type="dxa"/>
              <w:left w:w="95" w:type="dxa"/>
              <w:right w:w="95" w:type="dxa"/>
            </w:tcMar>
            <w:shd w:fill="F3F7F9"/>
          </w:tcPr>
          <w:p>
            <w:pPr>
              <w:pStyle w:val="TableText"/>
              <w:keepNext w:val="0"/>
              <w:spacing w:after="20"/>
            </w:pPr>
            <w:r>
              <w:t>asset_id, access_method; does not prove full download or reading.</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form_start</w:t>
            </w:r>
          </w:p>
        </w:tc>
        <w:tc>
          <w:tcPr>
            <w:tcW w:type="dxa" w:w="3883"/>
            <w:vAlign w:val="top"/>
            <w:tcMar>
              <w:top w:w="85" w:type="dxa"/>
              <w:bottom w:w="85" w:type="dxa"/>
              <w:left w:w="95" w:type="dxa"/>
              <w:right w:w="95" w:type="dxa"/>
            </w:tcMar>
            <w:shd w:fill="FFFFFF"/>
          </w:tcPr>
          <w:p>
            <w:pPr>
              <w:pStyle w:val="TableText"/>
              <w:keepNext w:val="0"/>
              <w:spacing w:after="20"/>
            </w:pPr>
            <w:r>
              <w:t>First meaningful interaction with an approved form.</w:t>
            </w:r>
          </w:p>
        </w:tc>
        <w:tc>
          <w:tcPr>
            <w:tcW w:type="dxa" w:w="3687"/>
            <w:vAlign w:val="top"/>
            <w:tcMar>
              <w:top w:w="85" w:type="dxa"/>
              <w:bottom w:w="85" w:type="dxa"/>
              <w:left w:w="95" w:type="dxa"/>
              <w:right w:w="95" w:type="dxa"/>
            </w:tcMar>
            <w:shd w:fill="FFFFFF"/>
          </w:tcPr>
          <w:p>
            <w:pPr>
              <w:pStyle w:val="TableText"/>
              <w:keepNext w:val="0"/>
              <w:spacing w:after="20"/>
            </w:pPr>
            <w:r>
              <w:t>form_id, form_revision; no field values.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form_step_complete</w:t>
            </w:r>
          </w:p>
        </w:tc>
        <w:tc>
          <w:tcPr>
            <w:tcW w:type="dxa" w:w="3883"/>
            <w:vAlign w:val="top"/>
            <w:tcMar>
              <w:top w:w="85" w:type="dxa"/>
              <w:bottom w:w="85" w:type="dxa"/>
              <w:left w:w="95" w:type="dxa"/>
              <w:right w:w="95" w:type="dxa"/>
            </w:tcMar>
            <w:shd w:fill="F3F7F9"/>
          </w:tcPr>
          <w:p>
            <w:pPr>
              <w:pStyle w:val="TableText"/>
              <w:keepNext w:val="0"/>
              <w:spacing w:after="20"/>
            </w:pPr>
            <w:r>
              <w:t>Multi-step form passes a validated step.</w:t>
            </w:r>
          </w:p>
        </w:tc>
        <w:tc>
          <w:tcPr>
            <w:tcW w:type="dxa" w:w="3687"/>
            <w:vAlign w:val="top"/>
            <w:tcMar>
              <w:top w:w="85" w:type="dxa"/>
              <w:bottom w:w="85" w:type="dxa"/>
              <w:left w:w="95" w:type="dxa"/>
              <w:right w:w="95" w:type="dxa"/>
            </w:tcMar>
            <w:shd w:fill="F3F7F9"/>
          </w:tcPr>
          <w:p>
            <w:pPr>
              <w:pStyle w:val="TableText"/>
              <w:keepNext w:val="0"/>
              <w:spacing w:after="20"/>
            </w:pPr>
            <w:r>
              <w:t>step_id; never input content.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form_validation_error</w:t>
            </w:r>
          </w:p>
        </w:tc>
        <w:tc>
          <w:tcPr>
            <w:tcW w:type="dxa" w:w="3883"/>
            <w:vAlign w:val="top"/>
            <w:tcMar>
              <w:top w:w="85" w:type="dxa"/>
              <w:bottom w:w="85" w:type="dxa"/>
              <w:left w:w="95" w:type="dxa"/>
              <w:right w:w="95" w:type="dxa"/>
            </w:tcMar>
            <w:shd w:fill="FFFFFF"/>
          </w:tcPr>
          <w:p>
            <w:pPr>
              <w:pStyle w:val="TableText"/>
              <w:keepNext w:val="0"/>
              <w:spacing w:after="20"/>
            </w:pPr>
            <w:r>
              <w:t>Client/server rejects approved validation rule.</w:t>
            </w:r>
          </w:p>
        </w:tc>
        <w:tc>
          <w:tcPr>
            <w:tcW w:type="dxa" w:w="3687"/>
            <w:vAlign w:val="top"/>
            <w:tcMar>
              <w:top w:w="85" w:type="dxa"/>
              <w:bottom w:w="85" w:type="dxa"/>
              <w:left w:w="95" w:type="dxa"/>
              <w:right w:w="95" w:type="dxa"/>
            </w:tcMar>
            <w:shd w:fill="FFFFFF"/>
          </w:tcPr>
          <w:p>
            <w:pPr>
              <w:pStyle w:val="TableText"/>
              <w:keepNext w:val="0"/>
              <w:spacing w:after="20"/>
            </w:pPr>
            <w:r>
              <w:t>field_key and error_code from allowlists, not entered text.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form_submit_attempt</w:t>
            </w:r>
          </w:p>
        </w:tc>
        <w:tc>
          <w:tcPr>
            <w:tcW w:type="dxa" w:w="3883"/>
            <w:vAlign w:val="top"/>
            <w:tcMar>
              <w:top w:w="85" w:type="dxa"/>
              <w:bottom w:w="85" w:type="dxa"/>
              <w:left w:w="95" w:type="dxa"/>
              <w:right w:w="95" w:type="dxa"/>
            </w:tcMar>
            <w:shd w:fill="F3F7F9"/>
          </w:tcPr>
          <w:p>
            <w:pPr>
              <w:pStyle w:val="TableText"/>
              <w:keepNext w:val="0"/>
              <w:spacing w:after="20"/>
            </w:pPr>
            <w:r>
              <w:t>User sends a submission attempt.</w:t>
            </w:r>
          </w:p>
        </w:tc>
        <w:tc>
          <w:tcPr>
            <w:tcW w:type="dxa" w:w="3687"/>
            <w:vAlign w:val="top"/>
            <w:tcMar>
              <w:top w:w="85" w:type="dxa"/>
              <w:bottom w:w="85" w:type="dxa"/>
              <w:left w:w="95" w:type="dxa"/>
              <w:right w:w="95" w:type="dxa"/>
            </w:tcMar>
            <w:shd w:fill="F3F7F9"/>
          </w:tcPr>
          <w:p>
            <w:pPr>
              <w:pStyle w:val="TableText"/>
              <w:keepNext w:val="0"/>
              <w:spacing w:after="20"/>
            </w:pPr>
            <w:r>
              <w:t>form_id, attempt_id; secondary diagnostic only.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generate_lead</w:t>
            </w:r>
          </w:p>
        </w:tc>
        <w:tc>
          <w:tcPr>
            <w:tcW w:type="dxa" w:w="3883"/>
            <w:vAlign w:val="top"/>
            <w:tcMar>
              <w:top w:w="85" w:type="dxa"/>
              <w:bottom w:w="85" w:type="dxa"/>
              <w:left w:w="95" w:type="dxa"/>
              <w:right w:w="95" w:type="dxa"/>
            </w:tcMar>
            <w:shd w:fill="FFFFFF"/>
          </w:tcPr>
          <w:p>
            <w:pPr>
              <w:pStyle w:val="TableText"/>
              <w:keepNext w:val="0"/>
              <w:spacing w:after="20"/>
            </w:pPr>
            <w:r>
              <w:t>API validates and durably commits a genuine accepted lead.</w:t>
            </w:r>
          </w:p>
        </w:tc>
        <w:tc>
          <w:tcPr>
            <w:tcW w:type="dxa" w:w="3687"/>
            <w:vAlign w:val="top"/>
            <w:tcMar>
              <w:top w:w="85" w:type="dxa"/>
              <w:bottom w:w="85" w:type="dxa"/>
              <w:left w:w="95" w:type="dxa"/>
              <w:right w:w="95" w:type="dxa"/>
            </w:tcMar>
            <w:shd w:fill="FFFFFF"/>
          </w:tcPr>
          <w:p>
            <w:pPr>
              <w:pStyle w:val="TableText"/>
              <w:keepNext w:val="0"/>
              <w:spacing w:after="20"/>
            </w:pPr>
            <w:r>
              <w:t>lead event_id, form_id; server authority.</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lead_qualified</w:t>
            </w:r>
          </w:p>
        </w:tc>
        <w:tc>
          <w:tcPr>
            <w:tcW w:type="dxa" w:w="3883"/>
            <w:vAlign w:val="top"/>
            <w:tcMar>
              <w:top w:w="85" w:type="dxa"/>
              <w:bottom w:w="85" w:type="dxa"/>
              <w:left w:w="95" w:type="dxa"/>
              <w:right w:w="95" w:type="dxa"/>
            </w:tcMar>
            <w:shd w:fill="F3F7F9"/>
          </w:tcPr>
          <w:p>
            <w:pPr>
              <w:pStyle w:val="TableText"/>
              <w:keepNext w:val="0"/>
              <w:spacing w:after="20"/>
            </w:pPr>
            <w:r>
              <w:t>Authorized CRM rule or staff action marks qualification.</w:t>
            </w:r>
          </w:p>
        </w:tc>
        <w:tc>
          <w:tcPr>
            <w:tcW w:type="dxa" w:w="3687"/>
            <w:vAlign w:val="top"/>
            <w:tcMar>
              <w:top w:w="85" w:type="dxa"/>
              <w:bottom w:w="85" w:type="dxa"/>
              <w:left w:w="95" w:type="dxa"/>
              <w:right w:w="95" w:type="dxa"/>
            </w:tcMar>
            <w:shd w:fill="F3F7F9"/>
          </w:tcPr>
          <w:p>
            <w:pPr>
              <w:pStyle w:val="TableText"/>
              <w:keepNext w:val="0"/>
              <w:spacing w:after="20"/>
            </w:pPr>
            <w:r>
              <w:t>lead_id internally, reason_code, qualification_rule_version.</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lead_disqualified</w:t>
            </w:r>
          </w:p>
        </w:tc>
        <w:tc>
          <w:tcPr>
            <w:tcW w:type="dxa" w:w="3883"/>
            <w:vAlign w:val="top"/>
            <w:tcMar>
              <w:top w:w="85" w:type="dxa"/>
              <w:bottom w:w="85" w:type="dxa"/>
              <w:left w:w="95" w:type="dxa"/>
              <w:right w:w="95" w:type="dxa"/>
            </w:tcMar>
            <w:shd w:fill="FFFFFF"/>
          </w:tcPr>
          <w:p>
            <w:pPr>
              <w:pStyle w:val="TableText"/>
              <w:keepNext w:val="0"/>
              <w:spacing w:after="20"/>
            </w:pPr>
            <w:r>
              <w:t>Business classifies spam, invalid, or unsuitable lead.</w:t>
            </w:r>
          </w:p>
        </w:tc>
        <w:tc>
          <w:tcPr>
            <w:tcW w:type="dxa" w:w="3687"/>
            <w:vAlign w:val="top"/>
            <w:tcMar>
              <w:top w:w="85" w:type="dxa"/>
              <w:bottom w:w="85" w:type="dxa"/>
              <w:left w:w="95" w:type="dxa"/>
              <w:right w:w="95" w:type="dxa"/>
            </w:tcMar>
            <w:shd w:fill="FFFFFF"/>
          </w:tcPr>
          <w:p>
            <w:pPr>
              <w:pStyle w:val="TableText"/>
              <w:keepNext w:val="0"/>
              <w:spacing w:after="20"/>
            </w:pPr>
            <w:r>
              <w:t>Controlled reason_code; exclude confidential staff notes.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booking_confirmed</w:t>
            </w:r>
          </w:p>
        </w:tc>
        <w:tc>
          <w:tcPr>
            <w:tcW w:type="dxa" w:w="3883"/>
            <w:vAlign w:val="top"/>
            <w:tcMar>
              <w:top w:w="85" w:type="dxa"/>
              <w:bottom w:w="85" w:type="dxa"/>
              <w:left w:w="95" w:type="dxa"/>
              <w:right w:w="95" w:type="dxa"/>
            </w:tcMar>
            <w:shd w:fill="F3F7F9"/>
          </w:tcPr>
          <w:p>
            <w:pPr>
              <w:pStyle w:val="TableText"/>
              <w:keepNext w:val="0"/>
              <w:spacing w:after="20"/>
            </w:pPr>
            <w:r>
              <w:t>Booking committed with capacity/time checks satisfied.</w:t>
            </w:r>
          </w:p>
        </w:tc>
        <w:tc>
          <w:tcPr>
            <w:tcW w:type="dxa" w:w="3687"/>
            <w:vAlign w:val="top"/>
            <w:tcMar>
              <w:top w:w="85" w:type="dxa"/>
              <w:bottom w:w="85" w:type="dxa"/>
              <w:left w:w="95" w:type="dxa"/>
              <w:right w:w="95" w:type="dxa"/>
            </w:tcMar>
            <w:shd w:fill="F3F7F9"/>
          </w:tcPr>
          <w:p>
            <w:pPr>
              <w:pStyle w:val="TableText"/>
              <w:keepNext w:val="0"/>
              <w:spacing w:after="20"/>
            </w:pPr>
            <w:r>
              <w:t>booking_id internally, service_id, actual confirmation time.</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sign_up</w:t>
            </w:r>
          </w:p>
        </w:tc>
        <w:tc>
          <w:tcPr>
            <w:tcW w:type="dxa" w:w="3883"/>
            <w:vAlign w:val="top"/>
            <w:tcMar>
              <w:top w:w="85" w:type="dxa"/>
              <w:bottom w:w="85" w:type="dxa"/>
              <w:left w:w="95" w:type="dxa"/>
              <w:right w:w="95" w:type="dxa"/>
            </w:tcMar>
            <w:shd w:fill="FFFFFF"/>
          </w:tcPr>
          <w:p>
            <w:pPr>
              <w:pStyle w:val="TableText"/>
              <w:keepNext w:val="0"/>
              <w:spacing w:after="20"/>
            </w:pPr>
            <w:r>
              <w:t>Required registration state successfully completed.</w:t>
            </w:r>
          </w:p>
        </w:tc>
        <w:tc>
          <w:tcPr>
            <w:tcW w:type="dxa" w:w="3687"/>
            <w:vAlign w:val="top"/>
            <w:tcMar>
              <w:top w:w="85" w:type="dxa"/>
              <w:bottom w:w="85" w:type="dxa"/>
              <w:left w:w="95" w:type="dxa"/>
              <w:right w:w="95" w:type="dxa"/>
            </w:tcMar>
            <w:shd w:fill="FFFFFF"/>
          </w:tcPr>
          <w:p>
            <w:pPr>
              <w:pStyle w:val="TableText"/>
              <w:keepNext w:val="0"/>
              <w:spacing w:after="20"/>
            </w:pPr>
            <w:r>
              <w:t>Opaque account reference internally; policy-controlled destination mapping.</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purchase</w:t>
            </w:r>
          </w:p>
        </w:tc>
        <w:tc>
          <w:tcPr>
            <w:tcW w:type="dxa" w:w="3883"/>
            <w:vAlign w:val="top"/>
            <w:tcMar>
              <w:top w:w="85" w:type="dxa"/>
              <w:bottom w:w="85" w:type="dxa"/>
              <w:left w:w="95" w:type="dxa"/>
              <w:right w:w="95" w:type="dxa"/>
            </w:tcMar>
            <w:shd w:fill="F3F7F9"/>
          </w:tcPr>
          <w:p>
            <w:pPr>
              <w:pStyle w:val="TableText"/>
              <w:keepNext w:val="0"/>
              <w:spacing w:after="20"/>
            </w:pPr>
            <w:r>
              <w:t>Verified payment/business completion rule satisfied.</w:t>
            </w:r>
          </w:p>
        </w:tc>
        <w:tc>
          <w:tcPr>
            <w:tcW w:type="dxa" w:w="3687"/>
            <w:vAlign w:val="top"/>
            <w:tcMar>
              <w:top w:w="85" w:type="dxa"/>
              <w:bottom w:w="85" w:type="dxa"/>
              <w:left w:w="95" w:type="dxa"/>
              <w:right w:w="95" w:type="dxa"/>
            </w:tcMar>
            <w:shd w:fill="F3F7F9"/>
          </w:tcPr>
          <w:p>
            <w:pPr>
              <w:pStyle w:val="TableText"/>
              <w:keepNext w:val="0"/>
              <w:spacing w:after="20"/>
            </w:pPr>
            <w:r>
              <w:t>order_id, amount, currency; server authority.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refund</w:t>
            </w:r>
          </w:p>
        </w:tc>
        <w:tc>
          <w:tcPr>
            <w:tcW w:type="dxa" w:w="3883"/>
            <w:vAlign w:val="top"/>
            <w:tcMar>
              <w:top w:w="85" w:type="dxa"/>
              <w:bottom w:w="85" w:type="dxa"/>
              <w:left w:w="95" w:type="dxa"/>
              <w:right w:w="95" w:type="dxa"/>
            </w:tcMar>
            <w:shd w:fill="FFFFFF"/>
          </w:tcPr>
          <w:p>
            <w:pPr>
              <w:pStyle w:val="TableText"/>
              <w:keepNext w:val="0"/>
              <w:spacing w:after="20"/>
            </w:pPr>
            <w:r>
              <w:t>Verified full or partial refund recorded.</w:t>
            </w:r>
          </w:p>
        </w:tc>
        <w:tc>
          <w:tcPr>
            <w:tcW w:type="dxa" w:w="3687"/>
            <w:vAlign w:val="top"/>
            <w:tcMar>
              <w:top w:w="85" w:type="dxa"/>
              <w:bottom w:w="85" w:type="dxa"/>
              <w:left w:w="95" w:type="dxa"/>
              <w:right w:w="95" w:type="dxa"/>
            </w:tcMar>
            <w:shd w:fill="FFFFFF"/>
          </w:tcPr>
          <w:p>
            <w:pPr>
              <w:pStyle w:val="TableText"/>
              <w:keepNext w:val="0"/>
              <w:spacing w:after="20"/>
            </w:pPr>
            <w:r>
              <w:t>refund_id, order_id, amount, currency; distinct lifecycle event.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site_search</w:t>
            </w:r>
          </w:p>
        </w:tc>
        <w:tc>
          <w:tcPr>
            <w:tcW w:type="dxa" w:w="3883"/>
            <w:vAlign w:val="top"/>
            <w:tcMar>
              <w:top w:w="85" w:type="dxa"/>
              <w:bottom w:w="85" w:type="dxa"/>
              <w:left w:w="95" w:type="dxa"/>
              <w:right w:w="95" w:type="dxa"/>
            </w:tcMar>
            <w:shd w:fill="F3F7F9"/>
          </w:tcPr>
          <w:p>
            <w:pPr>
              <w:pStyle w:val="TableText"/>
              <w:keepNext w:val="0"/>
              <w:spacing w:after="20"/>
            </w:pPr>
            <w:r>
              <w:t>Approved search interaction with sanitized query policy.</w:t>
            </w:r>
          </w:p>
        </w:tc>
        <w:tc>
          <w:tcPr>
            <w:tcW w:type="dxa" w:w="3687"/>
            <w:vAlign w:val="top"/>
            <w:tcMar>
              <w:top w:w="85" w:type="dxa"/>
              <w:bottom w:w="85" w:type="dxa"/>
              <w:left w:w="95" w:type="dxa"/>
              <w:right w:w="95" w:type="dxa"/>
            </w:tcMar>
            <w:shd w:fill="F3F7F9"/>
          </w:tcPr>
          <w:p>
            <w:pPr>
              <w:pStyle w:val="TableText"/>
              <w:keepNext w:val="0"/>
              <w:spacing w:after="20"/>
            </w:pPr>
            <w:r>
              <w:t>Category/result_count by default; raw queries off unless reviewed.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contact_click</w:t>
            </w:r>
          </w:p>
        </w:tc>
        <w:tc>
          <w:tcPr>
            <w:tcW w:type="dxa" w:w="3883"/>
            <w:vAlign w:val="top"/>
            <w:tcMar>
              <w:top w:w="85" w:type="dxa"/>
              <w:bottom w:w="85" w:type="dxa"/>
              <w:left w:w="95" w:type="dxa"/>
              <w:right w:w="95" w:type="dxa"/>
            </w:tcMar>
            <w:shd w:fill="FFFFFF"/>
          </w:tcPr>
          <w:p>
            <w:pPr>
              <w:pStyle w:val="TableText"/>
              <w:keepNext w:val="0"/>
              <w:spacing w:after="20"/>
            </w:pPr>
            <w:r>
              <w:t>Click-to-call, email, chat, or WhatsApp action.</w:t>
            </w:r>
          </w:p>
        </w:tc>
        <w:tc>
          <w:tcPr>
            <w:tcW w:type="dxa" w:w="3687"/>
            <w:vAlign w:val="top"/>
            <w:tcMar>
              <w:top w:w="85" w:type="dxa"/>
              <w:bottom w:w="85" w:type="dxa"/>
              <w:left w:w="95" w:type="dxa"/>
              <w:right w:w="95" w:type="dxa"/>
            </w:tcMar>
            <w:shd w:fill="FFFFFF"/>
          </w:tcPr>
          <w:p>
            <w:pPr>
              <w:pStyle w:val="TableText"/>
              <w:keepNext w:val="0"/>
              <w:spacing w:after="20"/>
            </w:pPr>
            <w:r>
              <w:t>channel and action_id; not proof of a completed conversation.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video_progress</w:t>
            </w:r>
          </w:p>
        </w:tc>
        <w:tc>
          <w:tcPr>
            <w:tcW w:type="dxa" w:w="3883"/>
            <w:vAlign w:val="top"/>
            <w:tcMar>
              <w:top w:w="85" w:type="dxa"/>
              <w:bottom w:w="85" w:type="dxa"/>
              <w:left w:w="95" w:type="dxa"/>
              <w:right w:w="95" w:type="dxa"/>
            </w:tcMar>
            <w:shd w:fill="F3F7F9"/>
          </w:tcPr>
          <w:p>
            <w:pPr>
              <w:pStyle w:val="TableText"/>
              <w:keepNext w:val="0"/>
              <w:spacing w:after="20"/>
            </w:pPr>
            <w:r>
              <w:t>Approved player reports defined milestones.</w:t>
            </w:r>
          </w:p>
        </w:tc>
        <w:tc>
          <w:tcPr>
            <w:tcW w:type="dxa" w:w="3687"/>
            <w:vAlign w:val="top"/>
            <w:tcMar>
              <w:top w:w="85" w:type="dxa"/>
              <w:bottom w:w="85" w:type="dxa"/>
              <w:left w:w="95" w:type="dxa"/>
              <w:right w:w="95" w:type="dxa"/>
            </w:tcMar>
            <w:shd w:fill="F3F7F9"/>
          </w:tcPr>
          <w:p>
            <w:pPr>
              <w:pStyle w:val="TableText"/>
              <w:keepNext w:val="0"/>
              <w:spacing w:after="20"/>
            </w:pPr>
            <w:r>
              <w:t>video_id and milestone; only for supported players and consent.</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experiment_exposure</w:t>
            </w:r>
          </w:p>
        </w:tc>
        <w:tc>
          <w:tcPr>
            <w:tcW w:type="dxa" w:w="3883"/>
            <w:vAlign w:val="top"/>
            <w:tcMar>
              <w:top w:w="85" w:type="dxa"/>
              <w:bottom w:w="85" w:type="dxa"/>
              <w:left w:w="95" w:type="dxa"/>
              <w:right w:w="95" w:type="dxa"/>
            </w:tcMar>
            <w:shd w:fill="FFFFFF"/>
          </w:tcPr>
          <w:p>
            <w:pPr>
              <w:pStyle w:val="TableText"/>
              <w:keepNext w:val="0"/>
              <w:spacing w:after="20"/>
            </w:pPr>
            <w:r>
              <w:t>A visitor actually receives a rendered variant.</w:t>
            </w:r>
          </w:p>
        </w:tc>
        <w:tc>
          <w:tcPr>
            <w:tcW w:type="dxa" w:w="3687"/>
            <w:vAlign w:val="top"/>
            <w:tcMar>
              <w:top w:w="85" w:type="dxa"/>
              <w:bottom w:w="85" w:type="dxa"/>
              <w:left w:w="95" w:type="dxa"/>
              <w:right w:w="95" w:type="dxa"/>
            </w:tcMar>
            <w:shd w:fill="FFFFFF"/>
          </w:tcPr>
          <w:p>
            <w:pPr>
              <w:pStyle w:val="TableText"/>
              <w:keepNext w:val="0"/>
              <w:spacing w:after="20"/>
            </w:pPr>
            <w:r>
              <w:t>experiment_id, variant_id, allocation_version.</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consent_change</w:t>
            </w:r>
          </w:p>
        </w:tc>
        <w:tc>
          <w:tcPr>
            <w:tcW w:type="dxa" w:w="3883"/>
            <w:vAlign w:val="top"/>
            <w:tcMar>
              <w:top w:w="85" w:type="dxa"/>
              <w:bottom w:w="85" w:type="dxa"/>
              <w:left w:w="95" w:type="dxa"/>
              <w:right w:w="95" w:type="dxa"/>
            </w:tcMar>
            <w:shd w:fill="F3F7F9"/>
          </w:tcPr>
          <w:p>
            <w:pPr>
              <w:pStyle w:val="TableText"/>
              <w:keepNext w:val="0"/>
              <w:spacing w:after="20"/>
            </w:pPr>
            <w:r>
              <w:t>User saves or changes preferences.</w:t>
            </w:r>
          </w:p>
        </w:tc>
        <w:tc>
          <w:tcPr>
            <w:tcW w:type="dxa" w:w="3687"/>
            <w:vAlign w:val="top"/>
            <w:tcMar>
              <w:top w:w="85" w:type="dxa"/>
              <w:bottom w:w="85" w:type="dxa"/>
              <w:left w:w="95" w:type="dxa"/>
              <w:right w:w="95" w:type="dxa"/>
            </w:tcMar>
            <w:shd w:fill="F3F7F9"/>
          </w:tcPr>
          <w:p>
            <w:pPr>
              <w:pStyle w:val="TableText"/>
              <w:keepNext w:val="0"/>
              <w:spacing w:after="20"/>
            </w:pPr>
            <w:r>
              <w:t>Restricted consent ledger; not an excuse to load rejected marketing tags.</w:t>
            </w:r>
          </w:p>
        </w:tc>
      </w:tr>
    </w:tbl>
    <w:p>
      <w:pPr>
        <w:spacing w:after="0"/>
      </w:pPr>
    </w:p>
    <w:p>
      <w:pPr>
        <w:pStyle w:val="Heading2"/>
      </w:pPr>
      <w:r>
        <w:t>14.3 Trigger precision</w:t>
      </w:r>
    </w:p>
    <w:p>
      <w:r>
        <w:t xml:space="preserve">GTM has an Element Visibility trigger; GA4's enhanced scroll measurement is not an exact pricing-section detector. Default enhanced scroll measurement concerns reaching approximately 90% of the page, not visiting a named section. Configure one strategy deliberately and prevent duplicate automatic/custom events. </w:t>
      </w:r>
      <w:hyperlink w:anchor="ref_R23">
        <w:r>
          <w:rPr>
            <w:color w:val="087F83"/>
            <w:rFonts w:ascii="Lato" w:hAnsi="Lato"/>
            <w:sz w:val="19"/>
          </w:rPr>
          <w:t>[R23]</w:t>
        </w:r>
      </w:hyperlink>
      <w:r>
        <w:t xml:space="preserve"> </w:t>
      </w:r>
      <w:hyperlink w:anchor="ref_R24">
        <w:r>
          <w:rPr>
            <w:color w:val="087F83"/>
            <w:rFonts w:ascii="Lato" w:hAnsi="Lato"/>
            <w:sz w:val="19"/>
          </w:rPr>
          <w:t>[R24]</w:t>
        </w:r>
      </w:hyperlink>
      <w:r/>
    </w:p>
    <w:p>
      <w:r>
        <w:t xml:space="preserve">Pause/reset dwell when the document becomes hidden or the route changes. For the pricing rule above, observe a small marker such as the heading or first price card rather than a tall entire section that cannot fit 50% in the viewport. A custom IntersectionObserver can implement continuous dwell. GTM's duration behavior must be checked because its configured visible duration can accumulate; do not describe cumulative time as a continuous second. Store the rule in the event dictionary so analysts know precisely what the event means. </w:t>
      </w:r>
      <w:hyperlink w:anchor="ref_R24">
        <w:r>
          <w:rPr>
            <w:color w:val="087F83"/>
            <w:rFonts w:ascii="Lato" w:hAnsi="Lato"/>
            <w:sz w:val="19"/>
          </w:rPr>
          <w:t>[R24]</w:t>
        </w:r>
      </w:hyperlink>
      <w:r/>
    </w:p>
    <w:p>
      <w:pPr>
        <w:pStyle w:val="Heading2"/>
      </w:pPr>
      <w:r>
        <w:t>14.4 Event ownership and versions</w:t>
      </w:r>
    </w:p>
    <w:p>
      <w:r>
        <w:t>Every event definition needs a business owner, trigger, authority, schema version, allowed fields, sensitivity classification, consent purpose, duplicate scope, supported destinations, test cases, and retirement policy. Enforce schemas in the frontend SDK and ingestion API. Unknown events or unexpected fields are rejected or quarantined, not forwarded silently.</w:t>
      </w:r>
    </w:p>
    <w:p>
      <w:r>
        <w:t xml:space="preserve">Do not register event IDs, user IDs, full URLs, or lead IDs as high-cardinality GA4 custom dimensions. Keep diagnostic details in restricted internal storage. Check current provider collection limits when mapping the catalogue; the internal model should not force every field into every external tool. </w:t>
      </w:r>
      <w:hyperlink w:anchor="ref_R25">
        <w:r>
          <w:rPr>
            <w:color w:val="087F83"/>
            <w:rFonts w:ascii="Lato" w:hAnsi="Lato"/>
            <w:sz w:val="19"/>
          </w:rPr>
          <w:t>[R25]</w:t>
        </w:r>
      </w:hyperlink>
      <w:r/>
    </w:p>
    <w:p>
      <w:pPr>
        <w:pStyle w:val="Heading2"/>
        <w:keepNext/>
        <w:widowControl/>
      </w:pPr>
      <w:r>
        <w:t>14.5 Extended events and shared context</w:t>
      </w:r>
    </w:p>
    <w:p>
      <w:pPr>
        <w:widowControl/>
      </w:pPr>
      <w:r>
        <w:t>Appendix F extends this catalogue with acquisition, assignment/exposure, chatbot, location-task, content-deletion and audit-integrity events. Chapter 40 connects their frontend, API and database owners. Use one consent-aware SDK and one authoritative lead workflow for forms and chatbot capture; do not add a duplicate primary conversion merely because a lead came through chat.</w:t>
      </w:r>
    </w:p>
    <w:p>
      <w:pPr>
        <w:pStyle w:val="Heading1"/>
        <w:pageBreakBefore w:val="0"/>
        <w:spacing w:before="400"/>
        <w:pBdr>
          <w:bottom w:val="single" w:sz="8" w:color="087F83" w:space="8"/>
        </w:pBdr>
      </w:pPr>
      <w:bookmarkStart w:id="17" w:name="chapter_15"/>
      <w:bookmarkStart w:id="274" w:name="v12_ch15"/>
      <w:r>
        <w:t>15 | Visitor journey and frontend event contract</w:t>
      </w:r>
      <w:bookmarkEnd w:id="17"/>
      <w:bookmarkEnd w:id="274"/>
      <w:bookmarkStart w:id="565" w:name="tocfinal_ch_15"/>
      <w:bookmarkEnd w:id="565"/>
    </w:p>
    <w:p>
      <w:pPr>
        <w:pStyle w:val="Heading2"/>
      </w:pPr>
      <w:r>
        <w:t>15.1 The requested journey, implemented honestly</w:t>
      </w:r>
    </w:p>
    <w:p>
      <w:r>
        <w:t>This illustrative sequence assumes the visitor has granted the required analytics permission and any advertising permission needed for the relevant destination. Times are examples, not observations of a real person. Without permission or a reliable identifier, the system intentionally records less information and must not pretend the complete journey is known.</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475"/>
        <w:gridCol w:w="3932"/>
        <w:gridCol w:w="4424"/>
      </w:tblGrid>
      <w:tr>
        <w:trPr>
          <w:cantSplit/>
          <w:tblHeader w:val="true"/>
        </w:trPr>
        <w:tc>
          <w:tcPr>
            <w:tcW w:type="dxa" w:w="1475"/>
            <w:vAlign w:val="top"/>
            <w:tcMar>
              <w:top w:w="85" w:type="dxa"/>
              <w:bottom w:w="85" w:type="dxa"/>
              <w:left w:w="95" w:type="dxa"/>
              <w:right w:w="95" w:type="dxa"/>
            </w:tcMar>
            <w:shd w:fill="163349"/>
          </w:tcPr>
          <w:p>
            <w:pPr>
              <w:pStyle w:val="TableText"/>
              <w:keepNext/>
              <w:spacing w:after="20"/>
            </w:pPr>
            <w:r>
              <w:rPr>
                <w:b/>
                <w:color w:val="FFFFFF"/>
              </w:rPr>
              <w:t>Time</w:t>
            </w:r>
          </w:p>
        </w:tc>
        <w:tc>
          <w:tcPr>
            <w:tcW w:type="dxa" w:w="3932"/>
            <w:vAlign w:val="top"/>
            <w:tcMar>
              <w:top w:w="85" w:type="dxa"/>
              <w:bottom w:w="85" w:type="dxa"/>
              <w:left w:w="95" w:type="dxa"/>
              <w:right w:w="95" w:type="dxa"/>
            </w:tcMar>
            <w:shd w:fill="163349"/>
          </w:tcPr>
          <w:p>
            <w:pPr>
              <w:pStyle w:val="TableText"/>
              <w:keepNext/>
              <w:spacing w:after="20"/>
            </w:pPr>
            <w:r>
              <w:rPr>
                <w:b/>
                <w:color w:val="FFFFFF"/>
              </w:rPr>
              <w:t>Visitor action</w:t>
            </w:r>
          </w:p>
        </w:tc>
        <w:tc>
          <w:tcPr>
            <w:tcW w:type="dxa" w:w="4424"/>
            <w:vAlign w:val="top"/>
            <w:tcMar>
              <w:top w:w="85" w:type="dxa"/>
              <w:bottom w:w="85" w:type="dxa"/>
              <w:left w:w="95" w:type="dxa"/>
              <w:right w:w="95" w:type="dxa"/>
            </w:tcMar>
            <w:shd w:fill="163349"/>
          </w:tcPr>
          <w:p>
            <w:pPr>
              <w:pStyle w:val="TableText"/>
              <w:keepNext/>
              <w:spacing w:after="20"/>
            </w:pPr>
            <w:r>
              <w:rPr>
                <w:b/>
                <w:color w:val="FFFFFF"/>
              </w:rPr>
              <w:t>Reliable evidence and limitation</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10:00:00</w:t>
            </w:r>
          </w:p>
        </w:tc>
        <w:tc>
          <w:tcPr>
            <w:tcW w:type="dxa" w:w="3932"/>
            <w:vAlign w:val="top"/>
            <w:tcMar>
              <w:top w:w="85" w:type="dxa"/>
              <w:bottom w:w="85" w:type="dxa"/>
              <w:left w:w="95" w:type="dxa"/>
              <w:right w:w="95" w:type="dxa"/>
            </w:tcMar>
            <w:shd w:fill="FFFFFF"/>
          </w:tcPr>
          <w:p>
            <w:pPr>
              <w:pStyle w:val="TableText"/>
              <w:keepNext w:val="0"/>
              <w:spacing w:after="20"/>
            </w:pPr>
            <w:r>
              <w:t>Opens a campaign page.</w:t>
            </w:r>
          </w:p>
        </w:tc>
        <w:tc>
          <w:tcPr>
            <w:tcW w:type="dxa" w:w="4424"/>
            <w:vAlign w:val="top"/>
            <w:tcMar>
              <w:top w:w="85" w:type="dxa"/>
              <w:bottom w:w="85" w:type="dxa"/>
              <w:left w:w="95" w:type="dxa"/>
              <w:right w:w="95" w:type="dxa"/>
            </w:tcMar>
            <w:shd w:fill="FFFFFF"/>
          </w:tcPr>
          <w:p>
            <w:pPr>
              <w:pStyle w:val="TableText"/>
              <w:keepNext w:val="0"/>
              <w:spacing w:after="20"/>
            </w:pPr>
            <w:r>
              <w:t>page_view, sanitized route, eligible campaign touch, pseudonymous session; not automatically a named person.</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10:00:12</w:t>
            </w:r>
          </w:p>
        </w:tc>
        <w:tc>
          <w:tcPr>
            <w:tcW w:type="dxa" w:w="3932"/>
            <w:vAlign w:val="top"/>
            <w:tcMar>
              <w:top w:w="85" w:type="dxa"/>
              <w:bottom w:w="85" w:type="dxa"/>
              <w:left w:w="95" w:type="dxa"/>
              <w:right w:w="95" w:type="dxa"/>
            </w:tcMar>
            <w:shd w:fill="F3F7F9"/>
          </w:tcPr>
          <w:p>
            <w:pPr>
              <w:pStyle w:val="TableText"/>
              <w:keepNext w:val="0"/>
              <w:spacing w:after="20"/>
            </w:pPr>
            <w:r>
              <w:t>Clicks “Explore packages.”</w:t>
            </w:r>
          </w:p>
        </w:tc>
        <w:tc>
          <w:tcPr>
            <w:tcW w:type="dxa" w:w="4424"/>
            <w:vAlign w:val="top"/>
            <w:tcMar>
              <w:top w:w="85" w:type="dxa"/>
              <w:bottom w:w="85" w:type="dxa"/>
              <w:left w:w="95" w:type="dxa"/>
              <w:right w:w="95" w:type="dxa"/>
            </w:tcMar>
            <w:shd w:fill="F3F7F9"/>
          </w:tcPr>
          <w:p>
            <w:pPr>
              <w:pStyle w:val="TableText"/>
              <w:keepNext w:val="0"/>
              <w:spacing w:after="20"/>
            </w:pPr>
            <w:r>
              <w:t>cta_click with stable action_id and block_id.</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10:00:19</w:t>
            </w:r>
          </w:p>
        </w:tc>
        <w:tc>
          <w:tcPr>
            <w:tcW w:type="dxa" w:w="3932"/>
            <w:vAlign w:val="top"/>
            <w:tcMar>
              <w:top w:w="85" w:type="dxa"/>
              <w:bottom w:w="85" w:type="dxa"/>
              <w:left w:w="95" w:type="dxa"/>
              <w:right w:w="95" w:type="dxa"/>
            </w:tcMar>
            <w:shd w:fill="FFFFFF"/>
          </w:tcPr>
          <w:p>
            <w:pPr>
              <w:pStyle w:val="TableText"/>
              <w:keepNext w:val="0"/>
              <w:spacing w:after="20"/>
            </w:pPr>
            <w:r>
              <w:t>Views the pricing marker for the defined dwell time.</w:t>
            </w:r>
          </w:p>
        </w:tc>
        <w:tc>
          <w:tcPr>
            <w:tcW w:type="dxa" w:w="4424"/>
            <w:vAlign w:val="top"/>
            <w:tcMar>
              <w:top w:w="85" w:type="dxa"/>
              <w:bottom w:w="85" w:type="dxa"/>
              <w:left w:w="95" w:type="dxa"/>
              <w:right w:w="95" w:type="dxa"/>
            </w:tcMar>
            <w:shd w:fill="FFFFFF"/>
          </w:tcPr>
          <w:p>
            <w:pPr>
              <w:pStyle w:val="TableText"/>
              <w:keepNext w:val="0"/>
              <w:spacing w:after="20"/>
            </w:pPr>
            <w:r>
              <w:t>pricing_view; indicates exposure to that marker, not that every price was read.</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10:00:45</w:t>
            </w:r>
          </w:p>
        </w:tc>
        <w:tc>
          <w:tcPr>
            <w:tcW w:type="dxa" w:w="3932"/>
            <w:vAlign w:val="top"/>
            <w:tcMar>
              <w:top w:w="85" w:type="dxa"/>
              <w:bottom w:w="85" w:type="dxa"/>
              <w:left w:w="95" w:type="dxa"/>
              <w:right w:w="95" w:type="dxa"/>
            </w:tcMar>
            <w:shd w:fill="F3F7F9"/>
          </w:tcPr>
          <w:p>
            <w:pPr>
              <w:pStyle w:val="TableText"/>
              <w:keepNext w:val="0"/>
              <w:spacing w:after="20"/>
            </w:pPr>
            <w:r>
              <w:t>Clicks a brochure download.</w:t>
            </w:r>
          </w:p>
        </w:tc>
        <w:tc>
          <w:tcPr>
            <w:tcW w:type="dxa" w:w="4424"/>
            <w:vAlign w:val="top"/>
            <w:tcMar>
              <w:top w:w="85" w:type="dxa"/>
              <w:bottom w:w="85" w:type="dxa"/>
              <w:left w:w="95" w:type="dxa"/>
              <w:right w:w="95" w:type="dxa"/>
            </w:tcMar>
            <w:shd w:fill="F3F7F9"/>
          </w:tcPr>
          <w:p>
            <w:pPr>
              <w:pStyle w:val="TableText"/>
              <w:keepNext w:val="0"/>
              <w:spacing w:after="20"/>
            </w:pPr>
            <w:r>
              <w:t>download_click; optional server authorization record if gated.</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10:01:10</w:t>
            </w:r>
          </w:p>
        </w:tc>
        <w:tc>
          <w:tcPr>
            <w:tcW w:type="dxa" w:w="3932"/>
            <w:vAlign w:val="top"/>
            <w:tcMar>
              <w:top w:w="85" w:type="dxa"/>
              <w:bottom w:w="85" w:type="dxa"/>
              <w:left w:w="95" w:type="dxa"/>
              <w:right w:w="95" w:type="dxa"/>
            </w:tcMar>
            <w:shd w:fill="FFFFFF"/>
          </w:tcPr>
          <w:p>
            <w:pPr>
              <w:pStyle w:val="TableText"/>
              <w:keepNext w:val="0"/>
              <w:spacing w:after="20"/>
            </w:pPr>
            <w:r>
              <w:t>Begins the enquiry form.</w:t>
            </w:r>
          </w:p>
        </w:tc>
        <w:tc>
          <w:tcPr>
            <w:tcW w:type="dxa" w:w="4424"/>
            <w:vAlign w:val="top"/>
            <w:tcMar>
              <w:top w:w="85" w:type="dxa"/>
              <w:bottom w:w="85" w:type="dxa"/>
              <w:left w:w="95" w:type="dxa"/>
              <w:right w:w="95" w:type="dxa"/>
            </w:tcMar>
            <w:shd w:fill="FFFFFF"/>
          </w:tcPr>
          <w:p>
            <w:pPr>
              <w:pStyle w:val="TableText"/>
              <w:keepNext w:val="0"/>
              <w:spacing w:after="20"/>
            </w:pPr>
            <w:r>
              <w:t>form_start, then approved field-level error codes if applicable; input values stay out of analytics.</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10:01:35</w:t>
            </w:r>
          </w:p>
        </w:tc>
        <w:tc>
          <w:tcPr>
            <w:tcW w:type="dxa" w:w="3932"/>
            <w:vAlign w:val="top"/>
            <w:tcMar>
              <w:top w:w="85" w:type="dxa"/>
              <w:bottom w:w="85" w:type="dxa"/>
              <w:left w:w="95" w:type="dxa"/>
              <w:right w:w="95" w:type="dxa"/>
            </w:tcMar>
            <w:shd w:fill="F3F7F9"/>
          </w:tcPr>
          <w:p>
            <w:pPr>
              <w:pStyle w:val="TableText"/>
              <w:keepNext w:val="0"/>
              <w:spacing w:after="20"/>
            </w:pPr>
            <w:r>
              <w:t>Submits valid details.</w:t>
            </w:r>
          </w:p>
        </w:tc>
        <w:tc>
          <w:tcPr>
            <w:tcW w:type="dxa" w:w="4424"/>
            <w:vAlign w:val="top"/>
            <w:tcMar>
              <w:top w:w="85" w:type="dxa"/>
              <w:bottom w:w="85" w:type="dxa"/>
              <w:left w:w="95" w:type="dxa"/>
              <w:right w:w="95" w:type="dxa"/>
            </w:tcMar>
            <w:shd w:fill="F3F7F9"/>
          </w:tcPr>
          <w:p>
            <w:pPr>
              <w:pStyle w:val="TableText"/>
              <w:keepNext w:val="0"/>
              <w:spacing w:after="20"/>
            </w:pPr>
            <w:r>
              <w:t>API commits lead and outbox; generate_lead event_id returned. Contact details are stored only in the protected lead record.</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11:30:00</w:t>
            </w:r>
          </w:p>
        </w:tc>
        <w:tc>
          <w:tcPr>
            <w:tcW w:type="dxa" w:w="3932"/>
            <w:vAlign w:val="top"/>
            <w:tcMar>
              <w:top w:w="85" w:type="dxa"/>
              <w:bottom w:w="85" w:type="dxa"/>
              <w:left w:w="95" w:type="dxa"/>
              <w:right w:w="95" w:type="dxa"/>
            </w:tcMar>
            <w:shd w:fill="FFFFFF"/>
          </w:tcPr>
          <w:p>
            <w:pPr>
              <w:pStyle w:val="TableText"/>
              <w:keepNext w:val="0"/>
              <w:spacing w:after="20"/>
            </w:pPr>
            <w:r>
              <w:t>Staff confirms suitability.</w:t>
            </w:r>
          </w:p>
        </w:tc>
        <w:tc>
          <w:tcPr>
            <w:tcW w:type="dxa" w:w="4424"/>
            <w:vAlign w:val="top"/>
            <w:tcMar>
              <w:top w:w="85" w:type="dxa"/>
              <w:bottom w:w="85" w:type="dxa"/>
              <w:left w:w="95" w:type="dxa"/>
              <w:right w:w="95" w:type="dxa"/>
            </w:tcMar>
            <w:shd w:fill="FFFFFF"/>
          </w:tcPr>
          <w:p>
            <w:pPr>
              <w:pStyle w:val="TableText"/>
              <w:keepNext w:val="0"/>
              <w:spacing w:after="20"/>
            </w:pPr>
            <w:r>
              <w:t>lead_qualified from CRM/staff action with auditable rule/reason.</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Next day</w:t>
            </w:r>
          </w:p>
        </w:tc>
        <w:tc>
          <w:tcPr>
            <w:tcW w:type="dxa" w:w="3932"/>
            <w:vAlign w:val="top"/>
            <w:tcMar>
              <w:top w:w="85" w:type="dxa"/>
              <w:bottom w:w="85" w:type="dxa"/>
              <w:left w:w="95" w:type="dxa"/>
              <w:right w:w="95" w:type="dxa"/>
            </w:tcMar>
            <w:shd w:fill="F3F7F9"/>
          </w:tcPr>
          <w:p>
            <w:pPr>
              <w:pStyle w:val="TableText"/>
              <w:keepNext w:val="0"/>
              <w:spacing w:after="20"/>
            </w:pPr>
            <w:r>
              <w:t>Customer pays or confirms service.</w:t>
            </w:r>
          </w:p>
        </w:tc>
        <w:tc>
          <w:tcPr>
            <w:tcW w:type="dxa" w:w="4424"/>
            <w:vAlign w:val="top"/>
            <w:tcMar>
              <w:top w:w="85" w:type="dxa"/>
              <w:bottom w:w="85" w:type="dxa"/>
              <w:left w:w="95" w:type="dxa"/>
              <w:right w:w="95" w:type="dxa"/>
            </w:tcMar>
            <w:shd w:fill="F3F7F9"/>
          </w:tcPr>
          <w:p>
            <w:pPr>
              <w:pStyle w:val="TableText"/>
              <w:keepNext w:val="0"/>
              <w:spacing w:after="20"/>
            </w:pPr>
            <w:r>
              <w:t>Verified purchase/booking event under the actual business workflow; eligible ad feedback queued.</w:t>
            </w:r>
          </w:p>
        </w:tc>
      </w:tr>
    </w:tbl>
    <w:p>
      <w:pPr>
        <w:spacing w:after="0"/>
      </w:pPr>
    </w:p>
    <w:p>
      <w:pPr>
        <w:pStyle w:val="Heading2"/>
      </w:pPr>
      <w:r>
        <w:t>15.2 Identity fields and meanings</w:t>
      </w:r>
    </w:p>
    <w:p>
      <w:r>
        <w:t>Use event_id for one event, page_view_id for one navigation instance, session_id for the defined permitted session, anonymous_id for a permitted browser-level identity, and user_id only for an authenticated internal account where justified. A lead_id identifies a business record, not the anonymous visitor population. Keep internal and external identifiers separate through explicit mappings.</w:t>
      </w:r>
    </w:p>
    <w:p>
      <w:r>
        <w:t>A session timeout, attribution lookback, and retention period are project policy choices; document them. Do not promise cross-device identity from cookies or infer that two people sharing a device are the same person. For sensitive journeys, do not attach pre-form browsing history to an identified lead without an approved purpose, notice, and processing basis.</w:t>
      </w:r>
    </w:p>
    <w:p>
      <w:pPr>
        <w:pStyle w:val="Heading2"/>
      </w:pPr>
      <w:r>
        <w:t>15.3 Example dataLayer payload</w:t>
      </w:r>
    </w:p>
    <w:p>
      <w:r>
        <w:t>The following is an illustrative contract, not a complete tracking implementation. The application tracking SDK validates the event and checks required permission before pushing it. The GTM container must independently enforce the destination's consent requirements. No email, phone, name, address, form answer, access token, raw query string, or free-text search value belongs in this payload.</w:t>
      </w:r>
    </w:p>
    <w:p>
      <w:pPr>
        <w:pStyle w:val="CodeBlock"/>
        <w:keepNext/>
        <w:shd w:fill="F0F4F6"/>
      </w:pPr>
      <w:r>
        <w:t>{</w:t>
      </w:r>
    </w:p>
    <w:p>
      <w:pPr>
        <w:pStyle w:val="CodeBlock"/>
        <w:keepNext/>
        <w:shd w:fill="F0F4F6"/>
      </w:pPr>
      <w:r>
        <w:t xml:space="preserve">  "event": "pricing_view",</w:t>
      </w:r>
    </w:p>
    <w:p>
      <w:pPr>
        <w:pStyle w:val="CodeBlock"/>
        <w:keepNext/>
        <w:shd w:fill="F0F4F6"/>
      </w:pPr>
      <w:r>
        <w:t xml:space="preserve">  "event_schema_version": 1,</w:t>
      </w:r>
    </w:p>
    <w:p>
      <w:pPr>
        <w:pStyle w:val="CodeBlock"/>
        <w:keepNext/>
        <w:shd w:fill="F0F4F6"/>
      </w:pPr>
      <w:r>
        <w:t xml:space="preserve">  "event_id": "evt_7fa2...",</w:t>
      </w:r>
    </w:p>
    <w:p>
      <w:pPr>
        <w:pStyle w:val="CodeBlock"/>
        <w:keepNext/>
        <w:shd w:fill="F0F4F6"/>
      </w:pPr>
      <w:r>
        <w:t xml:space="preserve">  "page_view_id": "pv_61b4...",</w:t>
      </w:r>
    </w:p>
    <w:p>
      <w:pPr>
        <w:pStyle w:val="CodeBlock"/>
        <w:keepNext/>
        <w:shd w:fill="F0F4F6"/>
      </w:pPr>
      <w:r>
        <w:t xml:space="preserve">  "site_id": "site_public_01",</w:t>
      </w:r>
    </w:p>
    <w:p>
      <w:pPr>
        <w:pStyle w:val="CodeBlock"/>
        <w:keepNext/>
        <w:shd w:fill="F0F4F6"/>
      </w:pPr>
      <w:r>
        <w:t xml:space="preserve">  "page_id": "page_programs_01",</w:t>
      </w:r>
    </w:p>
    <w:p>
      <w:pPr>
        <w:pStyle w:val="CodeBlock"/>
        <w:keepNext/>
        <w:shd w:fill="F0F4F6"/>
      </w:pPr>
      <w:r>
        <w:t xml:space="preserve">  "route_id": "program_detail",</w:t>
      </w:r>
    </w:p>
    <w:p>
      <w:pPr>
        <w:pStyle w:val="CodeBlock"/>
        <w:keepNext/>
        <w:shd w:fill="F0F4F6"/>
      </w:pPr>
      <w:r>
        <w:t xml:space="preserve">  "page_path": "/programs/example",</w:t>
      </w:r>
    </w:p>
    <w:p>
      <w:pPr>
        <w:pStyle w:val="CodeBlock"/>
        <w:keepNext/>
        <w:shd w:fill="F0F4F6"/>
      </w:pPr>
      <w:r>
        <w:t xml:space="preserve">  "locale": "en-IN",</w:t>
      </w:r>
    </w:p>
    <w:p>
      <w:pPr>
        <w:pStyle w:val="CodeBlock"/>
        <w:keepNext/>
        <w:shd w:fill="F0F4F6"/>
      </w:pPr>
      <w:r>
        <w:t xml:space="preserve">  "content_revision": "rev_0038",</w:t>
      </w:r>
    </w:p>
    <w:p>
      <w:pPr>
        <w:pStyle w:val="CodeBlock"/>
        <w:keepNext/>
        <w:shd w:fill="F0F4F6"/>
      </w:pPr>
      <w:r>
        <w:t xml:space="preserve">  "section_id": "pricing_primary",</w:t>
      </w:r>
    </w:p>
    <w:p>
      <w:pPr>
        <w:pStyle w:val="CodeBlock"/>
        <w:keepNext/>
        <w:shd w:fill="F0F4F6"/>
      </w:pPr>
      <w:r>
        <w:t xml:space="preserve">  "visibility_rule": "marker_50pct_continuous_1000ms",</w:t>
      </w:r>
    </w:p>
    <w:p>
      <w:pPr>
        <w:pStyle w:val="CodeBlock"/>
        <w:keepNext/>
        <w:shd w:fill="F0F4F6"/>
      </w:pPr>
      <w:r>
        <w:t xml:space="preserve">  "consent_policy_version": "policy_2026_10"</w:t>
      </w:r>
    </w:p>
    <w:p>
      <w:pPr>
        <w:pStyle w:val="CodeBlock"/>
        <w:keepNext w:val="0"/>
        <w:shd w:fill="F0F4F6"/>
      </w:pPr>
      <w:r>
        <w:t>}</w:t>
      </w:r>
    </w:p>
    <w:p>
      <w:pPr>
        <w:spacing w:after="0" w:before="20"/>
      </w:pPr>
    </w:p>
    <w:p>
      <w:r>
        <w:t xml:space="preserve">Use dataLayer.push rather than replacing the shared array after tags have initialized. Treat the dataLayer as a public browser surface. GTM is a distribution/configuration layer, not the database of business truth. Publishing containers requires review, versions, rollback, and separate permissions from content editing. </w:t>
      </w:r>
      <w:hyperlink w:anchor="ref_R26">
        <w:r>
          <w:rPr>
            <w:color w:val="087F83"/>
            <w:rFonts w:ascii="Lato" w:hAnsi="Lato"/>
            <w:sz w:val="19"/>
          </w:rPr>
          <w:t>[R26]</w:t>
        </w:r>
      </w:hyperlink>
      <w:r/>
    </w:p>
    <w:p>
      <w:pPr>
        <w:pStyle w:val="Heading2"/>
      </w:pPr>
      <w:r>
        <w:t>15.4 Frontend SDK rules</w:t>
      </w:r>
    </w:p>
    <w:p>
      <w:r>
        <w:t>The SDK should expose typed methods such as trackPageView, trackAction, trackSectionView, trackFormStart, and confirmLeadFromServer. Each method accepts a small approved payload and fills consistent context. It must strip query strings by default, canonicalize approved paths, validate lengths, and refuse unknown properties.</w:t>
      </w:r>
    </w:p>
    <w:p>
      <w:r>
        <w:t xml:space="preserve">Handle client-side navigation, browser back/forward, and restored pages intentionally. Assign one page-view owner; disable overlapping automatic configuration where it would double count. SPA instrumentation must be tested across route transitions rather than only on the initial document load. </w:t>
      </w:r>
      <w:hyperlink w:anchor="ref_R27">
        <w:r>
          <w:rPr>
            <w:color w:val="087F83"/>
            <w:rFonts w:ascii="Lato" w:hAnsi="Lato"/>
            <w:sz w:val="19"/>
          </w:rPr>
          <w:t>[R27]</w:t>
        </w:r>
      </w:hyperlink>
      <w:r/>
    </w:p>
    <w:p>
      <w:r>
        <w:t>Do not persist a queue of nonessential behavioral events before permission and replay it after consent. Withdrawal stops future nonessential collection and eligible queued sends according to policy. A failed analytics request must fail quietly without changing the visitor's business action. Browser unload delivery is best effort, not a guarantee.</w:t>
      </w:r>
    </w:p>
    <w:p>
      <w:pPr>
        <w:pStyle w:val="SmallNote"/>
        <w:spacing w:before="120"/>
      </w:pPr>
      <w:r>
        <w:t>Final edition integration: Chapter 72 controls lifecycle, cross-tab choice changes, scanners and transport limitations.</w:t>
      </w:r>
    </w:p>
    <w:p>
      <w:pPr>
        <w:pStyle w:val="Heading1"/>
        <w:pageBreakBefore w:val="0"/>
        <w:spacing w:before="400"/>
        <w:pBdr>
          <w:bottom w:val="single" w:sz="8" w:color="087F83" w:space="8"/>
        </w:pBdr>
      </w:pPr>
      <w:bookmarkStart w:id="18" w:name="chapter_16"/>
      <w:bookmarkStart w:id="275" w:name="v12_ch16"/>
      <w:r>
        <w:t>16 | Event ingestion, server conversions, and delivery reliability</w:t>
      </w:r>
      <w:bookmarkEnd w:id="18"/>
      <w:bookmarkEnd w:id="275"/>
      <w:bookmarkStart w:id="566" w:name="tocfinal_ch_16"/>
      <w:bookmarkEnd w:id="566"/>
    </w:p>
    <w:p>
      <w:pPr>
        <w:pStyle w:val="Heading2"/>
      </w:pPr>
      <w:r>
        <w:t>16.1 Two deliberately different entry paths</w:t>
      </w:r>
    </w:p>
    <w:p>
      <w:r>
        <w:t>Browser behavior enters a schema-validated collector or a consent-gated tag destination. Business conversions originate from a trusted backend transaction. A public collector cannot declare that a purchase happened, that a lead is qualified, or that a payment is worth a given amount. Keep trusted conversion endpoints inaccessible to arbitrary browser assertions.</w:t>
      </w:r>
    </w:p>
    <w:p>
      <w:r>
        <w:t>For a form, the API creates the lead and the conversion outbox record in one database transaction. It returns success only after commit. The response includes the server-generated event_id for any allowed browser representation. Email delivery, CRM availability, or an ad API response must not be required to commit the original valid lead.</w:t>
      </w:r>
    </w:p>
    <w:p>
      <w:pPr>
        <w:pStyle w:val="Heading2"/>
      </w:pPr>
      <w:r>
        <w:t>16.2 Delivery state model</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State</w:t>
            </w:r>
          </w:p>
        </w:tc>
        <w:tc>
          <w:tcPr>
            <w:tcW w:type="dxa" w:w="3883"/>
            <w:vAlign w:val="top"/>
            <w:tcMar>
              <w:top w:w="85" w:type="dxa"/>
              <w:bottom w:w="85" w:type="dxa"/>
              <w:left w:w="95" w:type="dxa"/>
              <w:right w:w="95" w:type="dxa"/>
            </w:tcMar>
            <w:shd w:fill="163349"/>
          </w:tcPr>
          <w:p>
            <w:pPr>
              <w:pStyle w:val="TableText"/>
              <w:keepNext/>
              <w:spacing w:after="20"/>
            </w:pPr>
            <w:r>
              <w:rPr>
                <w:b/>
                <w:color w:val="FFFFFF"/>
              </w:rPr>
              <w:t>Meaning</w:t>
            </w:r>
          </w:p>
        </w:tc>
        <w:tc>
          <w:tcPr>
            <w:tcW w:type="dxa" w:w="3687"/>
            <w:vAlign w:val="top"/>
            <w:tcMar>
              <w:top w:w="85" w:type="dxa"/>
              <w:bottom w:w="85" w:type="dxa"/>
              <w:left w:w="95" w:type="dxa"/>
              <w:right w:w="95" w:type="dxa"/>
            </w:tcMar>
            <w:shd w:fill="163349"/>
          </w:tcPr>
          <w:p>
            <w:pPr>
              <w:pStyle w:val="TableText"/>
              <w:keepNext/>
              <w:spacing w:after="20"/>
            </w:pPr>
            <w:r>
              <w:rPr>
                <w:b/>
                <w:color w:val="FFFFFF"/>
              </w:rPr>
              <w:t>Required action</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pending</w:t>
            </w:r>
          </w:p>
        </w:tc>
        <w:tc>
          <w:tcPr>
            <w:tcW w:type="dxa" w:w="3883"/>
            <w:vAlign w:val="top"/>
            <w:tcMar>
              <w:top w:w="85" w:type="dxa"/>
              <w:bottom w:w="85" w:type="dxa"/>
              <w:left w:w="95" w:type="dxa"/>
              <w:right w:w="95" w:type="dxa"/>
            </w:tcMar>
            <w:shd w:fill="FFFFFF"/>
          </w:tcPr>
          <w:p>
            <w:pPr>
              <w:pStyle w:val="TableText"/>
              <w:keepNext w:val="0"/>
              <w:spacing w:after="20"/>
            </w:pPr>
            <w:r>
              <w:t>Durable outbox entry created.</w:t>
            </w:r>
          </w:p>
        </w:tc>
        <w:tc>
          <w:tcPr>
            <w:tcW w:type="dxa" w:w="3687"/>
            <w:vAlign w:val="top"/>
            <w:tcMar>
              <w:top w:w="85" w:type="dxa"/>
              <w:bottom w:w="85" w:type="dxa"/>
              <w:left w:w="95" w:type="dxa"/>
              <w:right w:w="95" w:type="dxa"/>
            </w:tcMar>
            <w:shd w:fill="FFFFFF"/>
          </w:tcPr>
          <w:p>
            <w:pPr>
              <w:pStyle w:val="TableText"/>
              <w:keepNext w:val="0"/>
              <w:spacing w:after="20"/>
            </w:pPr>
            <w:r>
              <w:t>Worker claims work using a lease/lock and bounded batch size.</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eligible</w:t>
            </w:r>
          </w:p>
        </w:tc>
        <w:tc>
          <w:tcPr>
            <w:tcW w:type="dxa" w:w="3883"/>
            <w:vAlign w:val="top"/>
            <w:tcMar>
              <w:top w:w="85" w:type="dxa"/>
              <w:bottom w:w="85" w:type="dxa"/>
              <w:left w:w="95" w:type="dxa"/>
              <w:right w:w="95" w:type="dxa"/>
            </w:tcMar>
            <w:shd w:fill="F3F7F9"/>
          </w:tcPr>
          <w:p>
            <w:pPr>
              <w:pStyle w:val="TableText"/>
              <w:keepNext w:val="0"/>
              <w:spacing w:after="20"/>
            </w:pPr>
            <w:r>
              <w:t>Purpose, consent, destination policy, and schema checks pass.</w:t>
            </w:r>
          </w:p>
        </w:tc>
        <w:tc>
          <w:tcPr>
            <w:tcW w:type="dxa" w:w="3687"/>
            <w:vAlign w:val="top"/>
            <w:tcMar>
              <w:top w:w="85" w:type="dxa"/>
              <w:bottom w:w="85" w:type="dxa"/>
              <w:left w:w="95" w:type="dxa"/>
              <w:right w:w="95" w:type="dxa"/>
            </w:tcMar>
            <w:shd w:fill="F3F7F9"/>
          </w:tcPr>
          <w:p>
            <w:pPr>
              <w:pStyle w:val="TableText"/>
              <w:keepNext w:val="0"/>
              <w:spacing w:after="20"/>
            </w:pPr>
            <w:r>
              <w:t>Transform the minimum fields for that destination.</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in_flight</w:t>
            </w:r>
          </w:p>
        </w:tc>
        <w:tc>
          <w:tcPr>
            <w:tcW w:type="dxa" w:w="3883"/>
            <w:vAlign w:val="top"/>
            <w:tcMar>
              <w:top w:w="85" w:type="dxa"/>
              <w:bottom w:w="85" w:type="dxa"/>
              <w:left w:w="95" w:type="dxa"/>
              <w:right w:w="95" w:type="dxa"/>
            </w:tcMar>
            <w:shd w:fill="FFFFFF"/>
          </w:tcPr>
          <w:p>
            <w:pPr>
              <w:pStyle w:val="TableText"/>
              <w:keepNext w:val="0"/>
              <w:spacing w:after="20"/>
            </w:pPr>
            <w:r>
              <w:t>Delivery attempt underway.</w:t>
            </w:r>
          </w:p>
        </w:tc>
        <w:tc>
          <w:tcPr>
            <w:tcW w:type="dxa" w:w="3687"/>
            <w:vAlign w:val="top"/>
            <w:tcMar>
              <w:top w:w="85" w:type="dxa"/>
              <w:bottom w:w="85" w:type="dxa"/>
              <w:left w:w="95" w:type="dxa"/>
              <w:right w:w="95" w:type="dxa"/>
            </w:tcMar>
            <w:shd w:fill="FFFFFF"/>
          </w:tcPr>
          <w:p>
            <w:pPr>
              <w:pStyle w:val="TableText"/>
              <w:keepNext w:val="0"/>
              <w:spacing w:after="20"/>
            </w:pPr>
            <w:r>
              <w:t>Record attempt ID, original event ID/time, and timeout.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accepted</w:t>
            </w:r>
          </w:p>
        </w:tc>
        <w:tc>
          <w:tcPr>
            <w:tcW w:type="dxa" w:w="3883"/>
            <w:vAlign w:val="top"/>
            <w:tcMar>
              <w:top w:w="85" w:type="dxa"/>
              <w:bottom w:w="85" w:type="dxa"/>
              <w:left w:w="95" w:type="dxa"/>
              <w:right w:w="95" w:type="dxa"/>
            </w:tcMar>
            <w:shd w:fill="F3F7F9"/>
          </w:tcPr>
          <w:p>
            <w:pPr>
              <w:pStyle w:val="TableText"/>
              <w:keepNext w:val="0"/>
              <w:spacing w:after="20"/>
            </w:pPr>
            <w:r>
              <w:t>Provider acknowledged the request/event at its documented level.</w:t>
            </w:r>
          </w:p>
        </w:tc>
        <w:tc>
          <w:tcPr>
            <w:tcW w:type="dxa" w:w="3687"/>
            <w:vAlign w:val="top"/>
            <w:tcMar>
              <w:top w:w="85" w:type="dxa"/>
              <w:bottom w:w="85" w:type="dxa"/>
              <w:left w:w="95" w:type="dxa"/>
              <w:right w:w="95" w:type="dxa"/>
            </w:tcMar>
            <w:shd w:fill="F3F7F9"/>
          </w:tcPr>
          <w:p>
            <w:pPr>
              <w:pStyle w:val="TableText"/>
              <w:keepNext w:val="0"/>
              <w:spacing w:after="20"/>
            </w:pPr>
            <w:r>
              <w:t>Store response metadata; do not label automatically attributed.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retry_wait</w:t>
            </w:r>
          </w:p>
        </w:tc>
        <w:tc>
          <w:tcPr>
            <w:tcW w:type="dxa" w:w="3883"/>
            <w:vAlign w:val="top"/>
            <w:tcMar>
              <w:top w:w="85" w:type="dxa"/>
              <w:bottom w:w="85" w:type="dxa"/>
              <w:left w:w="95" w:type="dxa"/>
              <w:right w:w="95" w:type="dxa"/>
            </w:tcMar>
            <w:shd w:fill="FFFFFF"/>
          </w:tcPr>
          <w:p>
            <w:pPr>
              <w:pStyle w:val="TableText"/>
              <w:keepNext w:val="0"/>
              <w:spacing w:after="20"/>
            </w:pPr>
            <w:r>
              <w:t>Recoverable error or uncertain transport result.</w:t>
            </w:r>
          </w:p>
        </w:tc>
        <w:tc>
          <w:tcPr>
            <w:tcW w:type="dxa" w:w="3687"/>
            <w:vAlign w:val="top"/>
            <w:tcMar>
              <w:top w:w="85" w:type="dxa"/>
              <w:bottom w:w="85" w:type="dxa"/>
              <w:left w:w="95" w:type="dxa"/>
              <w:right w:w="95" w:type="dxa"/>
            </w:tcMar>
            <w:shd w:fill="FFFFFF"/>
          </w:tcPr>
          <w:p>
            <w:pPr>
              <w:pStyle w:val="TableText"/>
              <w:keepNext w:val="0"/>
              <w:spacing w:after="20"/>
            </w:pPr>
            <w:r>
              <w:t>Retry with backoff/jitter and the same event ID.</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rejected</w:t>
            </w:r>
          </w:p>
        </w:tc>
        <w:tc>
          <w:tcPr>
            <w:tcW w:type="dxa" w:w="3883"/>
            <w:vAlign w:val="top"/>
            <w:tcMar>
              <w:top w:w="85" w:type="dxa"/>
              <w:bottom w:w="85" w:type="dxa"/>
              <w:left w:w="95" w:type="dxa"/>
              <w:right w:w="95" w:type="dxa"/>
            </w:tcMar>
            <w:shd w:fill="F3F7F9"/>
          </w:tcPr>
          <w:p>
            <w:pPr>
              <w:pStyle w:val="TableText"/>
              <w:keepNext w:val="0"/>
              <w:spacing w:after="20"/>
            </w:pPr>
            <w:r>
              <w:t>Permanent schema, permission, or policy error.</w:t>
            </w:r>
          </w:p>
        </w:tc>
        <w:tc>
          <w:tcPr>
            <w:tcW w:type="dxa" w:w="3687"/>
            <w:vAlign w:val="top"/>
            <w:tcMar>
              <w:top w:w="85" w:type="dxa"/>
              <w:bottom w:w="85" w:type="dxa"/>
              <w:left w:w="95" w:type="dxa"/>
              <w:right w:w="95" w:type="dxa"/>
            </w:tcMar>
            <w:shd w:fill="F3F7F9"/>
          </w:tcPr>
          <w:p>
            <w:pPr>
              <w:pStyle w:val="TableText"/>
              <w:keepNext w:val="0"/>
              <w:spacing w:after="20"/>
            </w:pPr>
            <w:r>
              <w:t>Alert responsible owner; do not retry indefinitely.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suppressed</w:t>
            </w:r>
          </w:p>
        </w:tc>
        <w:tc>
          <w:tcPr>
            <w:tcW w:type="dxa" w:w="3883"/>
            <w:vAlign w:val="top"/>
            <w:tcMar>
              <w:top w:w="85" w:type="dxa"/>
              <w:bottom w:w="85" w:type="dxa"/>
              <w:left w:w="95" w:type="dxa"/>
              <w:right w:w="95" w:type="dxa"/>
            </w:tcMar>
            <w:shd w:fill="FFFFFF"/>
          </w:tcPr>
          <w:p>
            <w:pPr>
              <w:pStyle w:val="TableText"/>
              <w:keepNext w:val="0"/>
              <w:spacing w:after="20"/>
            </w:pPr>
            <w:r>
              <w:t>Consent, policy, expiry, or business rule prevents dispatch.</w:t>
            </w:r>
          </w:p>
        </w:tc>
        <w:tc>
          <w:tcPr>
            <w:tcW w:type="dxa" w:w="3687"/>
            <w:vAlign w:val="top"/>
            <w:tcMar>
              <w:top w:w="85" w:type="dxa"/>
              <w:bottom w:w="85" w:type="dxa"/>
              <w:left w:w="95" w:type="dxa"/>
              <w:right w:w="95" w:type="dxa"/>
            </w:tcMar>
            <w:shd w:fill="FFFFFF"/>
          </w:tcPr>
          <w:p>
            <w:pPr>
              <w:pStyle w:val="TableText"/>
              <w:keepNext w:val="0"/>
              <w:spacing w:after="20"/>
            </w:pPr>
            <w:r>
              <w:t>Record non-sensitive reason and apply retention policy.</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dead_letter</w:t>
            </w:r>
          </w:p>
        </w:tc>
        <w:tc>
          <w:tcPr>
            <w:tcW w:type="dxa" w:w="3883"/>
            <w:vAlign w:val="top"/>
            <w:tcMar>
              <w:top w:w="85" w:type="dxa"/>
              <w:bottom w:w="85" w:type="dxa"/>
              <w:left w:w="95" w:type="dxa"/>
              <w:right w:w="95" w:type="dxa"/>
            </w:tcMar>
            <w:shd w:fill="F3F7F9"/>
          </w:tcPr>
          <w:p>
            <w:pPr>
              <w:pStyle w:val="TableText"/>
              <w:keepNext w:val="0"/>
              <w:spacing w:after="20"/>
            </w:pPr>
            <w:r>
              <w:t>Retry policy exhausted.</w:t>
            </w:r>
          </w:p>
        </w:tc>
        <w:tc>
          <w:tcPr>
            <w:tcW w:type="dxa" w:w="3687"/>
            <w:vAlign w:val="top"/>
            <w:tcMar>
              <w:top w:w="85" w:type="dxa"/>
              <w:bottom w:w="85" w:type="dxa"/>
              <w:left w:w="95" w:type="dxa"/>
              <w:right w:w="95" w:type="dxa"/>
            </w:tcMar>
            <w:shd w:fill="F3F7F9"/>
          </w:tcPr>
          <w:p>
            <w:pPr>
              <w:pStyle w:val="TableText"/>
              <w:keepNext w:val="0"/>
              <w:spacing w:after="20"/>
            </w:pPr>
            <w:r>
              <w:t>Provide restricted review/replay tools after root cause correction.</w:t>
            </w:r>
          </w:p>
        </w:tc>
      </w:tr>
    </w:tbl>
    <w:p>
      <w:pPr>
        <w:spacing w:after="0"/>
      </w:pPr>
    </w:p>
    <w:p>
      <w:pPr>
        <w:pStyle w:val="Heading2"/>
      </w:pPr>
      <w:r>
        <w:t>16.3 Idempotency and deduplication</w:t>
      </w:r>
    </w:p>
    <w:p>
      <w:r>
        <w:t>Use a unique submission idempotency key scoped to the site/form/action and a request fingerprint. Repeating the same key with the same validated request returns the original result; reusing it for different content returns a conflict. Do not use the person's email as a universal deduplication key because the same person can legitimately make multiple enquiries.</w:t>
      </w:r>
    </w:p>
    <w:p>
      <w:r>
        <w:t>The outbox has a stable event ID and unique business-event key. The delivery ledger has a unique pair of event ID and destination configuration. Network delivery is at least once; idempotency and provider deduplication make repeated attempts safe. Do not claim end-to-end exactly-once delivery across third-party APIs.</w:t>
      </w:r>
    </w:p>
    <w:p>
      <w:r>
        <w:t xml:space="preserve">For Meta browser/server duplicates, use the agreed event name and same event ID for the same action. For Google, use the supported action-specific deduplication mechanism and counting settings. An internal UUID alone does not guarantee that every external platform deduplicates correctly. Contract tests must verify each destination independently. </w:t>
      </w:r>
      <w:hyperlink w:anchor="ref_R19">
        <w:r>
          <w:rPr>
            <w:color w:val="087F83"/>
            <w:rFonts w:ascii="Lato" w:hAnsi="Lato"/>
            <w:sz w:val="19"/>
          </w:rPr>
          <w:t>[R19]</w:t>
        </w:r>
      </w:hyperlink>
      <w:r>
        <w:t xml:space="preserve"> </w:t>
      </w:r>
      <w:hyperlink w:anchor="ref_R15">
        <w:r>
          <w:rPr>
            <w:color w:val="087F83"/>
            <w:rFonts w:ascii="Lato" w:hAnsi="Lato"/>
            <w:sz w:val="19"/>
          </w:rPr>
          <w:t>[R15]</w:t>
        </w:r>
      </w:hyperlink>
      <w:r/>
    </w:p>
    <w:p>
      <w:pPr>
        <w:pStyle w:val="Heading2"/>
      </w:pPr>
      <w:r>
        <w:t>16.4 First-party collection and server-side tagging</w:t>
      </w:r>
    </w:p>
    <w:p>
      <w:r>
        <w:t>A first-party endpoint or server-side GTM may improve control over routing, validation, and data minimization, but it remains subject to the same permission and platform requirements. Do not disguise tracking endpoints or use server-side delivery to circumvent a user's refusal. Server-side GTM is optional and introduces hosting, permissions, and operational responsibilities.</w:t>
      </w:r>
    </w:p>
    <w:p>
      <w:r>
        <w:t xml:space="preserve">GA4 server-side event collection must follow the currently supported API and session/identity requirements. Measurement Protocol is documented as a supplement to tagging, not a magical replacement for all browser context. Verify the current supported ingestion route when building a new integration and test validation/diagnostics rather than trusting an HTTP success alone. </w:t>
      </w:r>
      <w:hyperlink w:anchor="ref_R30">
        <w:r>
          <w:rPr>
            <w:color w:val="087F83"/>
            <w:rFonts w:ascii="Lato" w:hAnsi="Lato"/>
            <w:sz w:val="19"/>
          </w:rPr>
          <w:t>[R30]</w:t>
        </w:r>
      </w:hyperlink>
      <w:r/>
    </w:p>
    <w:p>
      <w:pPr>
        <w:pStyle w:val="Heading2"/>
      </w:pPr>
      <w:r>
        <w:t>16.5 Collection security and quality</w:t>
      </w:r>
    </w:p>
    <w:p>
      <w:r>
        <w:t>Apply payload size limits, rate limits, allowed event lists, origin policy, replay controls where feasible, timestamp skew limits, and bot/internal-traffic classification. Remember that public-site identifiers and origin headers do not make browser events trustworthy business evidence. Sanitize before storage, not only before forwarding.</w:t>
      </w:r>
    </w:p>
    <w:p>
      <w:r>
        <w:t>Observe queue age, suppression counts, rejected payloads, unknown schemas, duplicate rates, destination failures, and business-to-event reconciliation. Keep raw sensitive data out of logs. Provide a restricted replay tool that reuses original identities and checks current eligibility, rather than allowing arbitrary event fabrication.</w:t>
      </w:r>
    </w:p>
    <w:p>
      <w:pPr>
        <w:pStyle w:val="SmallNote"/>
        <w:spacing w:before="120"/>
      </w:pPr>
      <w:r>
        <w:t>Final edition integration: Select current Google ingestion/authorization and implement destination-specific final egress checks in Chapter 69.</w:t>
      </w:r>
    </w:p>
    <w:p>
      <w:pPr>
        <w:pStyle w:val="Heading1"/>
        <w:pageBreakBefore w:val="0"/>
        <w:spacing w:before="400"/>
        <w:pBdr>
          <w:bottom w:val="single" w:sz="8" w:color="087F83" w:space="8"/>
        </w:pBdr>
      </w:pPr>
      <w:bookmarkStart w:id="19" w:name="chapter_17"/>
      <w:bookmarkStart w:id="276" w:name="v12_ch17"/>
      <w:r>
        <w:t>17 | Consent, privacy, and retention governance</w:t>
      </w:r>
      <w:bookmarkEnd w:id="19"/>
      <w:bookmarkEnd w:id="276"/>
      <w:bookmarkStart w:id="567" w:name="tocfinal_ch_17"/>
      <w:bookmarkEnd w:id="567"/>
    </w:p>
    <w:p>
      <w:pPr>
        <w:pStyle w:val="Heading2"/>
      </w:pPr>
      <w:r>
        <w:t>17.1 Privacy is an architectural boundary</w:t>
      </w:r>
    </w:p>
    <w:p>
      <w:r>
        <w:t>Approve a data inventory before enabling tags. For every field and event, record purpose, lawful-processing assessment, sensitivity, source, destinations, access roles, retention, and deletion behavior. Collect the minimum data needed for the stated purpose. A visitor can submit a service enquiry without being forced to accept unrelated advertising tracking.</w:t>
      </w:r>
    </w:p>
    <w:p>
      <w:r>
        <w:t xml:space="preserve">Determine applicable jurisdictions from the business, audience, and processing arrangement; do not infer the full legal position solely from an IP geolocation lookup. This document proposes a conservative technical baseline and is not a jurisdiction-specific legal opinion. Cookie, advertising, consumer, children's, and sector-specific requirements require qualified review. </w:t>
      </w:r>
      <w:hyperlink w:anchor="ref_R40">
        <w:r>
          <w:rPr>
            <w:color w:val="087F83"/>
            <w:rFonts w:ascii="Lato" w:hAnsi="Lato"/>
            <w:sz w:val="19"/>
          </w:rPr>
          <w:t>[R40]</w:t>
        </w:r>
      </w:hyperlink>
      <w:r/>
    </w:p>
    <w:p>
      <w:pPr>
        <w:pStyle w:val="Heading2"/>
      </w:pPr>
      <w:r>
        <w:t>17.2 Consent manager behavior</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Requirement</w:t>
            </w:r>
          </w:p>
        </w:tc>
        <w:tc>
          <w:tcPr>
            <w:tcW w:type="dxa" w:w="7029"/>
            <w:vAlign w:val="top"/>
            <w:tcMar>
              <w:top w:w="85" w:type="dxa"/>
              <w:bottom w:w="85" w:type="dxa"/>
              <w:left w:w="95" w:type="dxa"/>
              <w:right w:w="95" w:type="dxa"/>
            </w:tcMar>
            <w:shd w:fill="163349"/>
          </w:tcPr>
          <w:p>
            <w:pPr>
              <w:pStyle w:val="TableText"/>
              <w:keepNext/>
              <w:spacing w:after="20"/>
            </w:pPr>
            <w:r>
              <w:rPr>
                <w:b/>
                <w:color w:val="FFFFFF"/>
              </w:rPr>
              <w:t>Baseline behavior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Initial state</w:t>
            </w:r>
          </w:p>
        </w:tc>
        <w:tc>
          <w:tcPr>
            <w:tcW w:type="dxa" w:w="7029"/>
            <w:vAlign w:val="top"/>
            <w:tcMar>
              <w:top w:w="85" w:type="dxa"/>
              <w:bottom w:w="85" w:type="dxa"/>
              <w:left w:w="95" w:type="dxa"/>
              <w:right w:w="95" w:type="dxa"/>
            </w:tcMar>
            <w:shd w:fill="FFFFFF"/>
          </w:tcPr>
          <w:p>
            <w:pPr>
              <w:pStyle w:val="TableText"/>
              <w:keepNext w:val="0"/>
              <w:spacing w:after="20"/>
            </w:pPr>
            <w:r>
              <w:t>Nonessential analytics and advertising disabled until the applicable permission rule is satisfied. Essential business functionality remains available.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Choice interface</w:t>
            </w:r>
          </w:p>
        </w:tc>
        <w:tc>
          <w:tcPr>
            <w:tcW w:type="dxa" w:w="7029"/>
            <w:vAlign w:val="top"/>
            <w:tcMar>
              <w:top w:w="85" w:type="dxa"/>
              <w:bottom w:w="85" w:type="dxa"/>
              <w:left w:w="95" w:type="dxa"/>
              <w:right w:w="95" w:type="dxa"/>
            </w:tcMar>
            <w:shd w:fill="F3F7F9"/>
          </w:tcPr>
          <w:p>
            <w:pPr>
              <w:pStyle w:val="TableText"/>
              <w:keepNext w:val="0"/>
              <w:spacing w:after="20"/>
            </w:pPr>
            <w:r>
              <w:t>Clear purposes, understandable accept/reject/manage options, no preselected optional permissions, accessible interaction.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Persistence</w:t>
            </w:r>
          </w:p>
        </w:tc>
        <w:tc>
          <w:tcPr>
            <w:tcW w:type="dxa" w:w="7029"/>
            <w:vAlign w:val="top"/>
            <w:tcMar>
              <w:top w:w="85" w:type="dxa"/>
              <w:bottom w:w="85" w:type="dxa"/>
              <w:left w:w="95" w:type="dxa"/>
              <w:right w:w="95" w:type="dxa"/>
            </w:tcMar>
            <w:shd w:fill="FFFFFF"/>
          </w:tcPr>
          <w:p>
            <w:pPr>
              <w:pStyle w:val="TableText"/>
              <w:keepNext w:val="0"/>
              <w:spacing w:after="20"/>
            </w:pPr>
            <w:r>
              <w:t>Versioned choice record with timestamp, policy version, region/rule basis where used, and configured expiry/re-prompt behavior.</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Withdrawal</w:t>
            </w:r>
          </w:p>
        </w:tc>
        <w:tc>
          <w:tcPr>
            <w:tcW w:type="dxa" w:w="7029"/>
            <w:vAlign w:val="top"/>
            <w:tcMar>
              <w:top w:w="85" w:type="dxa"/>
              <w:bottom w:w="85" w:type="dxa"/>
              <w:left w:w="95" w:type="dxa"/>
              <w:right w:w="95" w:type="dxa"/>
            </w:tcMar>
            <w:shd w:fill="F3F7F9"/>
          </w:tcPr>
          <w:p>
            <w:pPr>
              <w:pStyle w:val="TableText"/>
              <w:keepNext w:val="0"/>
              <w:spacing w:after="20"/>
            </w:pPr>
            <w:r>
              <w:t>Preferences always accessible; stop future nonessential collection and eligible queued delivery; process deletion/opt-out obligations separately.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Destinations</w:t>
            </w:r>
          </w:p>
        </w:tc>
        <w:tc>
          <w:tcPr>
            <w:tcW w:type="dxa" w:w="7029"/>
            <w:vAlign w:val="top"/>
            <w:tcMar>
              <w:top w:w="85" w:type="dxa"/>
              <w:bottom w:w="85" w:type="dxa"/>
              <w:left w:w="95" w:type="dxa"/>
              <w:right w:w="95" w:type="dxa"/>
            </w:tcMar>
            <w:shd w:fill="FFFFFF"/>
          </w:tcPr>
          <w:p>
            <w:pPr>
              <w:pStyle w:val="TableText"/>
              <w:keepNext w:val="0"/>
              <w:spacing w:after="20"/>
            </w:pPr>
            <w:r>
              <w:t>Consent state mapped to each destination's supported controls; no blanket assumption that one toggle covers all processing.</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Evidence</w:t>
            </w:r>
          </w:p>
        </w:tc>
        <w:tc>
          <w:tcPr>
            <w:tcW w:type="dxa" w:w="7029"/>
            <w:vAlign w:val="top"/>
            <w:tcMar>
              <w:top w:w="85" w:type="dxa"/>
              <w:bottom w:w="85" w:type="dxa"/>
              <w:left w:w="95" w:type="dxa"/>
              <w:right w:w="95" w:type="dxa"/>
            </w:tcMar>
            <w:shd w:fill="F3F7F9"/>
          </w:tcPr>
          <w:p>
            <w:pPr>
              <w:pStyle w:val="TableText"/>
              <w:keepNext w:val="0"/>
              <w:spacing w:after="20"/>
            </w:pPr>
            <w:r>
              <w:t>Restricted consent ledger supports audit without leaking choices or identifiers into unrelated tools.</w:t>
            </w:r>
          </w:p>
        </w:tc>
      </w:tr>
    </w:tbl>
    <w:p>
      <w:pPr>
        <w:spacing w:after="0"/>
      </w:pPr>
    </w:p>
    <w:p>
      <w:r>
        <w:t xml:space="preserve">For Google Consent Mode, configure ad_storage, analytics_storage, ad_user_data, and ad_personalization correctly. Set defaults before measurement commands and apply updates in the correct order. The CMP persists the user's choice; Consent Mode is not itself a consent notice or complete consent-record system. Use the official GTM consent APIs inside templates rather than assuming all gtag and template patterns are interchangeable. </w:t>
      </w:r>
      <w:hyperlink w:anchor="ref_R21">
        <w:r>
          <w:rPr>
            <w:color w:val="087F83"/>
            <w:rFonts w:ascii="Lato" w:hAnsi="Lato"/>
            <w:sz w:val="19"/>
          </w:rPr>
          <w:t>[R21]</w:t>
        </w:r>
      </w:hyperlink>
      <w:r/>
    </w:p>
    <w:p>
      <w:r>
        <w:t>Basic blocking is the default policy here. Advanced consent-mode behavior, including cookieless pings, is a separate decision requiring legal and technical approval. “Cookieless” does not by itself mean anonymous, risk-free, or automatically permitted. Do not activate URL passthrough or identifier propagation without evaluating where those values may leak.</w:t>
      </w:r>
    </w:p>
    <w:p>
      <w:pPr>
        <w:pStyle w:val="Heading2"/>
      </w:pPr>
      <w:r>
        <w:t>17.3 Protected fields and prohibited analytics payloads</w:t>
      </w:r>
    </w:p>
    <w:p>
      <w:r>
        <w:t xml:space="preserve">Never send passwords, authentication tokens, payment credentials, private messages, uploaded documents, full form answers, or directly identifying contact data into generic analytics. GA4 explicitly prohibits sending information Google can recognize as personally identifiable information. Keep eligible enhanced-conversion data in narrowly controlled destination-specific handling, not generic GA4 parameters. </w:t>
      </w:r>
      <w:hyperlink w:anchor="ref_R22">
        <w:r>
          <w:rPr>
            <w:color w:val="087F83"/>
            <w:rFonts w:ascii="Lato" w:hAnsi="Lato"/>
            <w:sz w:val="19"/>
          </w:rPr>
          <w:t>[R22]</w:t>
        </w:r>
      </w:hyperlink>
      <w:r>
        <w:t xml:space="preserve"> </w:t>
      </w:r>
      <w:hyperlink w:anchor="ref_R13">
        <w:r>
          <w:rPr>
            <w:color w:val="087F83"/>
            <w:rFonts w:ascii="Lato" w:hAnsi="Lato"/>
            <w:sz w:val="19"/>
          </w:rPr>
          <w:t>[R13]</w:t>
        </w:r>
      </w:hyperlink>
      <w:r/>
    </w:p>
    <w:p>
      <w:r>
        <w:t>Mask or exclude sensitive URL paths and parameters, including email-based links, reset tokens, medical context, application IDs, and customer-specific portal routes. Configure reverse-proxy, CDN, application, error, and analytics logs consistently. A safe frontend event is insufficient when the proxy still stores the full sensitive query string.</w:t>
      </w:r>
    </w:p>
    <w:p>
      <w:pPr>
        <w:pStyle w:val="Heading2"/>
      </w:pPr>
      <w:r>
        <w:t>17.4 Proposed retention decision matrix</w:t>
      </w:r>
    </w:p>
    <w:p>
      <w:r>
        <w:t>These are starting design ranges for business approval, not legal minimums or maximums. Applicable statutory retention, contractual obligations, investigations, and litigation holds override these examples. Where a law requires a longer period for specified records, implement the legally approved schedule rather than the example below.</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Data class</w:t>
            </w:r>
          </w:p>
        </w:tc>
        <w:tc>
          <w:tcPr>
            <w:tcW w:type="dxa" w:w="3883"/>
            <w:vAlign w:val="top"/>
            <w:tcMar>
              <w:top w:w="85" w:type="dxa"/>
              <w:bottom w:w="85" w:type="dxa"/>
              <w:left w:w="95" w:type="dxa"/>
              <w:right w:w="95" w:type="dxa"/>
            </w:tcMar>
            <w:shd w:fill="163349"/>
          </w:tcPr>
          <w:p>
            <w:pPr>
              <w:pStyle w:val="TableText"/>
              <w:keepNext/>
              <w:spacing w:after="20"/>
            </w:pPr>
            <w:r>
              <w:rPr>
                <w:b/>
                <w:color w:val="FFFFFF"/>
              </w:rPr>
              <w:t>Proposed starting policy</w:t>
            </w:r>
          </w:p>
        </w:tc>
        <w:tc>
          <w:tcPr>
            <w:tcW w:type="dxa" w:w="3687"/>
            <w:vAlign w:val="top"/>
            <w:tcMar>
              <w:top w:w="85" w:type="dxa"/>
              <w:bottom w:w="85" w:type="dxa"/>
              <w:left w:w="95" w:type="dxa"/>
              <w:right w:w="95" w:type="dxa"/>
            </w:tcMar>
            <w:shd w:fill="163349"/>
          </w:tcPr>
          <w:p>
            <w:pPr>
              <w:pStyle w:val="TableText"/>
              <w:keepNext/>
              <w:spacing w:after="20"/>
            </w:pPr>
            <w:r>
              <w:rPr>
                <w:b/>
                <w:color w:val="FFFFFF"/>
              </w:rPr>
              <w:t>Controls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Raw behavioral events</w:t>
            </w:r>
          </w:p>
        </w:tc>
        <w:tc>
          <w:tcPr>
            <w:tcW w:type="dxa" w:w="3883"/>
            <w:vAlign w:val="top"/>
            <w:tcMar>
              <w:top w:w="85" w:type="dxa"/>
              <w:bottom w:w="85" w:type="dxa"/>
              <w:left w:w="95" w:type="dxa"/>
              <w:right w:w="95" w:type="dxa"/>
            </w:tcMar>
            <w:shd w:fill="FFFFFF"/>
          </w:tcPr>
          <w:p>
            <w:pPr>
              <w:pStyle w:val="TableText"/>
              <w:keepNext w:val="0"/>
              <w:spacing w:after="20"/>
            </w:pPr>
            <w:r>
              <w:t>30–90 days for troubleshooting/funnel analysis, then delete or irreversibly aggregate.</w:t>
            </w:r>
          </w:p>
        </w:tc>
        <w:tc>
          <w:tcPr>
            <w:tcW w:type="dxa" w:w="3687"/>
            <w:vAlign w:val="top"/>
            <w:tcMar>
              <w:top w:w="85" w:type="dxa"/>
              <w:bottom w:w="85" w:type="dxa"/>
              <w:left w:w="95" w:type="dxa"/>
              <w:right w:w="95" w:type="dxa"/>
            </w:tcMar>
            <w:shd w:fill="FFFFFF"/>
          </w:tcPr>
          <w:p>
            <w:pPr>
              <w:pStyle w:val="TableText"/>
              <w:keepNext w:val="0"/>
              <w:spacing w:after="20"/>
            </w:pPr>
            <w:r>
              <w:t>Separate store/access; no unnecessary PII; automated partition/lifecycle jobs.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Aggregated business reporting</w:t>
            </w:r>
          </w:p>
        </w:tc>
        <w:tc>
          <w:tcPr>
            <w:tcW w:type="dxa" w:w="3883"/>
            <w:vAlign w:val="top"/>
            <w:tcMar>
              <w:top w:w="85" w:type="dxa"/>
              <w:bottom w:w="85" w:type="dxa"/>
              <w:left w:w="95" w:type="dxa"/>
              <w:right w:w="95" w:type="dxa"/>
            </w:tcMar>
            <w:shd w:fill="F3F7F9"/>
          </w:tcPr>
          <w:p>
            <w:pPr>
              <w:pStyle w:val="TableText"/>
              <w:keepNext w:val="0"/>
              <w:spacing w:after="20"/>
            </w:pPr>
            <w:r>
              <w:t>12–24 months where useful and justified.</w:t>
            </w:r>
          </w:p>
        </w:tc>
        <w:tc>
          <w:tcPr>
            <w:tcW w:type="dxa" w:w="3687"/>
            <w:vAlign w:val="top"/>
            <w:tcMar>
              <w:top w:w="85" w:type="dxa"/>
              <w:bottom w:w="85" w:type="dxa"/>
              <w:left w:w="95" w:type="dxa"/>
              <w:right w:w="95" w:type="dxa"/>
            </w:tcMar>
            <w:shd w:fill="F3F7F9"/>
          </w:tcPr>
          <w:p>
            <w:pPr>
              <w:pStyle w:val="TableText"/>
              <w:keepNext w:val="0"/>
              <w:spacing w:after="20"/>
            </w:pPr>
            <w:r>
              <w:t>Avoid re-identification from tiny groups; document aggregation method.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Optional session replay</w:t>
            </w:r>
          </w:p>
        </w:tc>
        <w:tc>
          <w:tcPr>
            <w:tcW w:type="dxa" w:w="3883"/>
            <w:vAlign w:val="top"/>
            <w:tcMar>
              <w:top w:w="85" w:type="dxa"/>
              <w:bottom w:w="85" w:type="dxa"/>
              <w:left w:w="95" w:type="dxa"/>
              <w:right w:w="95" w:type="dxa"/>
            </w:tcMar>
            <w:shd w:fill="FFFFFF"/>
          </w:tcPr>
          <w:p>
            <w:pPr>
              <w:pStyle w:val="TableText"/>
              <w:keepNext w:val="0"/>
              <w:spacing w:after="20"/>
            </w:pPr>
            <w:r>
              <w:t>Disabled by default; short approved period such as 14–30 days when enabled.</w:t>
            </w:r>
          </w:p>
        </w:tc>
        <w:tc>
          <w:tcPr>
            <w:tcW w:type="dxa" w:w="3687"/>
            <w:vAlign w:val="top"/>
            <w:tcMar>
              <w:top w:w="85" w:type="dxa"/>
              <w:bottom w:w="85" w:type="dxa"/>
              <w:left w:w="95" w:type="dxa"/>
              <w:right w:w="95" w:type="dxa"/>
            </w:tcMar>
            <w:shd w:fill="FFFFFF"/>
          </w:tcPr>
          <w:p>
            <w:pPr>
              <w:pStyle w:val="TableText"/>
              <w:keepNext w:val="0"/>
              <w:spacing w:after="20"/>
            </w:pPr>
            <w:r>
              <w:t>Sampling, consent, strict masking, exclusions, and access audit.</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Enquiries and CRM records</w:t>
            </w:r>
          </w:p>
        </w:tc>
        <w:tc>
          <w:tcPr>
            <w:tcW w:type="dxa" w:w="3883"/>
            <w:vAlign w:val="top"/>
            <w:tcMar>
              <w:top w:w="85" w:type="dxa"/>
              <w:bottom w:w="85" w:type="dxa"/>
              <w:left w:w="95" w:type="dxa"/>
              <w:right w:w="95" w:type="dxa"/>
            </w:tcMar>
            <w:shd w:fill="F3F7F9"/>
          </w:tcPr>
          <w:p>
            <w:pPr>
              <w:pStyle w:val="TableText"/>
              <w:keepNext w:val="0"/>
              <w:spacing w:after="20"/>
            </w:pPr>
            <w:r>
              <w:t>Business/jurisdiction-specific schedule based on sales process and obligations.</w:t>
            </w:r>
          </w:p>
        </w:tc>
        <w:tc>
          <w:tcPr>
            <w:tcW w:type="dxa" w:w="3687"/>
            <w:vAlign w:val="top"/>
            <w:tcMar>
              <w:top w:w="85" w:type="dxa"/>
              <w:bottom w:w="85" w:type="dxa"/>
              <w:left w:w="95" w:type="dxa"/>
              <w:right w:w="95" w:type="dxa"/>
            </w:tcMar>
            <w:shd w:fill="F3F7F9"/>
          </w:tcPr>
          <w:p>
            <w:pPr>
              <w:pStyle w:val="TableText"/>
              <w:keepNext w:val="0"/>
              <w:spacing w:after="20"/>
            </w:pPr>
            <w:r>
              <w:t>Purpose review, inactivity rules, suppression/deletion, and hold handling.</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Consent and audit evidence</w:t>
            </w:r>
          </w:p>
        </w:tc>
        <w:tc>
          <w:tcPr>
            <w:tcW w:type="dxa" w:w="3883"/>
            <w:vAlign w:val="top"/>
            <w:tcMar>
              <w:top w:w="85" w:type="dxa"/>
              <w:bottom w:w="85" w:type="dxa"/>
              <w:left w:w="95" w:type="dxa"/>
              <w:right w:w="95" w:type="dxa"/>
            </w:tcMar>
            <w:shd w:fill="FFFFFF"/>
          </w:tcPr>
          <w:p>
            <w:pPr>
              <w:pStyle w:val="TableText"/>
              <w:keepNext w:val="0"/>
              <w:spacing w:after="20"/>
            </w:pPr>
            <w:r>
              <w:t>Legal/security owner defines justified duration and contents.</w:t>
            </w:r>
          </w:p>
        </w:tc>
        <w:tc>
          <w:tcPr>
            <w:tcW w:type="dxa" w:w="3687"/>
            <w:vAlign w:val="top"/>
            <w:tcMar>
              <w:top w:w="85" w:type="dxa"/>
              <w:bottom w:w="85" w:type="dxa"/>
              <w:left w:w="95" w:type="dxa"/>
              <w:right w:w="95" w:type="dxa"/>
            </w:tcMar>
            <w:shd w:fill="FFFFFF"/>
          </w:tcPr>
          <w:p>
            <w:pPr>
              <w:pStyle w:val="TableText"/>
              <w:keepNext w:val="0"/>
              <w:spacing w:after="20"/>
            </w:pPr>
            <w:r>
              <w:t>Tamper-resistant restricted records; minimize copied personal details.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Orders, invoices, tax records</w:t>
            </w:r>
          </w:p>
        </w:tc>
        <w:tc>
          <w:tcPr>
            <w:tcW w:type="dxa" w:w="3883"/>
            <w:vAlign w:val="top"/>
            <w:tcMar>
              <w:top w:w="85" w:type="dxa"/>
              <w:bottom w:w="85" w:type="dxa"/>
              <w:left w:w="95" w:type="dxa"/>
              <w:right w:w="95" w:type="dxa"/>
            </w:tcMar>
            <w:shd w:fill="F3F7F9"/>
          </w:tcPr>
          <w:p>
            <w:pPr>
              <w:pStyle w:val="TableText"/>
              <w:keepNext w:val="0"/>
              <w:spacing w:after="20"/>
            </w:pPr>
            <w:r>
              <w:t>Applicable financial/legal schedule; not a universal website default.</w:t>
            </w:r>
          </w:p>
        </w:tc>
        <w:tc>
          <w:tcPr>
            <w:tcW w:type="dxa" w:w="3687"/>
            <w:vAlign w:val="top"/>
            <w:tcMar>
              <w:top w:w="85" w:type="dxa"/>
              <w:bottom w:w="85" w:type="dxa"/>
              <w:left w:w="95" w:type="dxa"/>
              <w:right w:w="95" w:type="dxa"/>
            </w:tcMar>
            <w:shd w:fill="F3F7F9"/>
          </w:tcPr>
          <w:p>
            <w:pPr>
              <w:pStyle w:val="TableText"/>
              <w:keepNext w:val="0"/>
              <w:spacing w:after="20"/>
            </w:pPr>
            <w:r>
              <w:t>Restricted exports, retention holds, reconciled deletion exceptions.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Backups</w:t>
            </w:r>
          </w:p>
        </w:tc>
        <w:tc>
          <w:tcPr>
            <w:tcW w:type="dxa" w:w="3883"/>
            <w:vAlign w:val="top"/>
            <w:tcMar>
              <w:top w:w="85" w:type="dxa"/>
              <w:bottom w:w="85" w:type="dxa"/>
              <w:left w:w="95" w:type="dxa"/>
              <w:right w:w="95" w:type="dxa"/>
            </w:tcMar>
            <w:shd w:fill="FFFFFF"/>
          </w:tcPr>
          <w:p>
            <w:pPr>
              <w:pStyle w:val="TableText"/>
              <w:keepNext w:val="0"/>
              <w:spacing w:after="20"/>
            </w:pPr>
            <w:r>
              <w:t>Approved rolling schedule with documented expiry and restore-time deletion reconciliation.</w:t>
            </w:r>
          </w:p>
        </w:tc>
        <w:tc>
          <w:tcPr>
            <w:tcW w:type="dxa" w:w="3687"/>
            <w:vAlign w:val="top"/>
            <w:tcMar>
              <w:top w:w="85" w:type="dxa"/>
              <w:bottom w:w="85" w:type="dxa"/>
              <w:left w:w="95" w:type="dxa"/>
              <w:right w:w="95" w:type="dxa"/>
            </w:tcMar>
            <w:shd w:fill="FFFFFF"/>
          </w:tcPr>
          <w:p>
            <w:pPr>
              <w:pStyle w:val="TableText"/>
              <w:keepNext w:val="0"/>
              <w:spacing w:after="20"/>
            </w:pPr>
            <w:r>
              <w:t>Encryption, restricted access, recovery tests, and deletion reapplication.</w:t>
            </w:r>
          </w:p>
        </w:tc>
      </w:tr>
    </w:tbl>
    <w:p>
      <w:pPr>
        <w:spacing w:after="0"/>
      </w:pPr>
    </w:p>
    <w:p>
      <w:pPr>
        <w:pStyle w:val="Heading2"/>
      </w:pPr>
      <w:r>
        <w:t>17.5 India and other jurisdictional controls</w:t>
      </w:r>
    </w:p>
    <w:p>
      <w:r>
        <w:t xml:space="preserve">India's Digital Personal Data Protection Rules, 2025 have phased commencement. The official Gazette specifies different effective timelines for different rules; do not assume that every provision was already effective on 6 October 2026 or that a general cookie banner meets every obligation. Confirm the relevant Act commencement notifications, rules, amendments, business applicability, and compliance dates with counsel. A statutory registered “Consent Manager” is not automatically the same thing as a website cookie-management tool. </w:t>
      </w:r>
      <w:hyperlink w:anchor="ref_R41">
        <w:r>
          <w:rPr>
            <w:color w:val="087F83"/>
            <w:rFonts w:ascii="Lato" w:hAnsi="Lato"/>
            <w:sz w:val="19"/>
          </w:rPr>
          <w:t>[R41]</w:t>
        </w:r>
      </w:hyperlink>
      <w:r/>
    </w:p>
    <w:p>
      <w:r>
        <w:t>For other markets, document applicable consent/opt-out, international transfer, processor-contract, children's-data, and sensitive-data requirements. Where an applicable law requires honoring recognized browser privacy signals, implement and test them. Do not claim universal legal compliance from installing one CMP product.</w:t>
      </w:r>
    </w:p>
    <w:p>
      <w:pPr>
        <w:pStyle w:val="Heading2"/>
      </w:pPr>
      <w:r>
        <w:t>17.6 Data rights and incidents</w:t>
      </w:r>
    </w:p>
    <w:p>
      <w:r>
        <w:t>Provide a secure process for access, correction, deletion, objection/opt-out, and portability where applicable. Verify requesters proportionately; record deadlines and exceptions. Propagate approved requests to relevant processors and derived stores. Restrict deleted identities from being recreated by a delayed integration retry where that would violate the request.</w:t>
      </w:r>
    </w:p>
    <w:p>
      <w:r>
        <w:t>Maintain an incident plan covering detection, containment, evidence preservation, legal assessment, notification decisions, recovery, and lessons learned. Notification timelines depend on applicable law and contracts. Never hardcode a single global deadline without the legal matrix.</w:t>
      </w:r>
    </w:p>
    <w:p>
      <w:pPr>
        <w:pStyle w:val="Heading2"/>
        <w:keepNext/>
        <w:widowControl/>
      </w:pPr>
      <w:r>
        <w:t>17.7 IP, precise location, chat and content boundaries</w:t>
      </w:r>
    </w:p>
    <w:p>
      <w:pPr>
        <w:widowControl/>
      </w:pPr>
      <w:r>
        <w:t>Use the field-level schedules and transfer matrix in Appendix F. Raw IP, exact browser coordinates, contact details and conversation text are protected purpose-specific data, not generic analytics context. Browser geolocation requires its own permission/task flow; optional advertising consent is not location permission. Source blogs are preserved until manual action, whereas personal visitor data still expires or is removed under approved rights/retention rules. See Chapters 36–39.</w:t>
      </w:r>
    </w:p>
    <w:p>
      <w:pPr>
        <w:pStyle w:val="Heading1"/>
        <w:pageBreakBefore w:val="0"/>
        <w:spacing w:before="400"/>
        <w:pBdr>
          <w:bottom w:val="single" w:sz="8" w:color="087F83" w:space="8"/>
        </w:pBdr>
      </w:pPr>
      <w:bookmarkStart w:id="20" w:name="chapter_18"/>
      <w:bookmarkStart w:id="277" w:name="v12_ch18"/>
      <w:r>
        <w:t>18 | Identity, attribution, and CRM linkage</w:t>
      </w:r>
      <w:bookmarkEnd w:id="20"/>
      <w:bookmarkEnd w:id="277"/>
      <w:bookmarkStart w:id="568" w:name="tocfinal_ch_18"/>
      <w:bookmarkEnd w:id="568"/>
    </w:p>
    <w:p>
      <w:pPr>
        <w:pStyle w:val="Heading2"/>
      </w:pPr>
      <w:r>
        <w:t>18.1 Identification without false certainty</w:t>
      </w:r>
    </w:p>
    <w:p>
      <w:r>
        <w:t>An anonymous session is not an identified individual. A browser identifier can disappear, be blocked, or be shared. An authenticated account can provide a stronger link, but household devices, shared accounts, and consent changes still require care. The interface should show the confidence and scope of each linkage rather than presenting all visits as a person's complete history.</w:t>
      </w:r>
    </w:p>
    <w:p>
      <w:r>
        <w:t>Do not use device fingerprinting, probabilistic deanonymization, or purchased identity enrichment as a default feature. Do not claim to reveal the identity of everyone who visits. An identified lead profile contains voluntarily supplied business information; connecting eligible earlier events is a separate controlled processing decision.</w:t>
      </w:r>
    </w:p>
    <w:p>
      <w:pPr>
        <w:pStyle w:val="Heading2"/>
      </w:pPr>
      <w:r>
        <w:t>18.2 UTM parameters and attribution data model</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Record</w:t>
            </w:r>
          </w:p>
        </w:tc>
        <w:tc>
          <w:tcPr>
            <w:tcW w:type="dxa" w:w="7029"/>
            <w:vAlign w:val="top"/>
            <w:tcMar>
              <w:top w:w="85" w:type="dxa"/>
              <w:bottom w:w="85" w:type="dxa"/>
              <w:left w:w="95" w:type="dxa"/>
              <w:right w:w="95" w:type="dxa"/>
            </w:tcMar>
            <w:shd w:fill="163349"/>
          </w:tcPr>
          <w:p>
            <w:pPr>
              <w:pStyle w:val="TableText"/>
              <w:keepNext/>
              <w:spacing w:after="20"/>
            </w:pPr>
            <w:r>
              <w:rPr>
                <w:b/>
                <w:color w:val="FFFFFF"/>
              </w:rPr>
              <w:t>Minimum fields and rule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Acquisition touch</w:t>
            </w:r>
          </w:p>
        </w:tc>
        <w:tc>
          <w:tcPr>
            <w:tcW w:type="dxa" w:w="7029"/>
            <w:vAlign w:val="top"/>
            <w:tcMar>
              <w:top w:w="85" w:type="dxa"/>
              <w:bottom w:w="85" w:type="dxa"/>
              <w:left w:w="95" w:type="dxa"/>
              <w:right w:w="95" w:type="dxa"/>
            </w:tcMar>
            <w:shd w:fill="FFFFFF"/>
          </w:tcPr>
          <w:p>
            <w:pPr>
              <w:pStyle w:val="TableText"/>
              <w:keepNext w:val="0"/>
              <w:spacing w:after="20"/>
            </w:pPr>
            <w:r>
              <w:t>touch_id, eligible session reference, captured_at, sanitized landing route, referrer category, allowed campaign fields.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Click identifier</w:t>
            </w:r>
          </w:p>
        </w:tc>
        <w:tc>
          <w:tcPr>
            <w:tcW w:type="dxa" w:w="7029"/>
            <w:vAlign w:val="top"/>
            <w:tcMar>
              <w:top w:w="85" w:type="dxa"/>
              <w:bottom w:w="85" w:type="dxa"/>
              <w:left w:w="95" w:type="dxa"/>
              <w:right w:w="95" w:type="dxa"/>
            </w:tcMar>
            <w:shd w:fill="F3F7F9"/>
          </w:tcPr>
          <w:p>
            <w:pPr>
              <w:pStyle w:val="TableText"/>
              <w:keepNext w:val="0"/>
              <w:spacing w:after="20"/>
            </w:pPr>
            <w:r>
              <w:t>Type, value, capture source/time, consent/purpose eligibility, expiry, destination restrictions; encrypted/restricted as appropriate.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Lead attribution</w:t>
            </w:r>
          </w:p>
        </w:tc>
        <w:tc>
          <w:tcPr>
            <w:tcW w:type="dxa" w:w="7029"/>
            <w:vAlign w:val="top"/>
            <w:tcMar>
              <w:top w:w="85" w:type="dxa"/>
              <w:bottom w:w="85" w:type="dxa"/>
              <w:left w:w="95" w:type="dxa"/>
              <w:right w:w="95" w:type="dxa"/>
            </w:tcMar>
            <w:shd w:fill="FFFFFF"/>
          </w:tcPr>
          <w:p>
            <w:pPr>
              <w:pStyle w:val="TableText"/>
              <w:keepNext w:val="0"/>
              <w:spacing w:after="20"/>
            </w:pPr>
            <w:r>
              <w:t>lead_id, first_eligible_touch_id, last_eligible_touch_id, declared source if supplied, attribution_rule_version.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Identity link</w:t>
            </w:r>
          </w:p>
        </w:tc>
        <w:tc>
          <w:tcPr>
            <w:tcW w:type="dxa" w:w="7029"/>
            <w:vAlign w:val="top"/>
            <w:tcMar>
              <w:top w:w="85" w:type="dxa"/>
              <w:bottom w:w="85" w:type="dxa"/>
              <w:left w:w="95" w:type="dxa"/>
              <w:right w:w="95" w:type="dxa"/>
            </w:tcMar>
            <w:shd w:fill="F3F7F9"/>
          </w:tcPr>
          <w:p>
            <w:pPr>
              <w:pStyle w:val="TableText"/>
              <w:keepNext w:val="0"/>
              <w:spacing w:after="20"/>
            </w:pPr>
            <w:r>
              <w:t>Source identity, target identity, linkage method, evidence/permission reference, created_at, revocation/deletion state.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CRM outcome</w:t>
            </w:r>
          </w:p>
        </w:tc>
        <w:tc>
          <w:tcPr>
            <w:tcW w:type="dxa" w:w="7029"/>
            <w:vAlign w:val="top"/>
            <w:tcMar>
              <w:top w:w="85" w:type="dxa"/>
              <w:bottom w:w="85" w:type="dxa"/>
              <w:left w:w="95" w:type="dxa"/>
              <w:right w:w="95" w:type="dxa"/>
            </w:tcMar>
            <w:shd w:fill="FFFFFF"/>
          </w:tcPr>
          <w:p>
            <w:pPr>
              <w:pStyle w:val="TableText"/>
              <w:keepNext w:val="0"/>
              <w:spacing w:after="20"/>
            </w:pPr>
            <w:r>
              <w:t>lead/order reference, verified stage, occurred_at, responsible actor/system, value policy, correction history.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External result</w:t>
            </w:r>
          </w:p>
        </w:tc>
        <w:tc>
          <w:tcPr>
            <w:tcW w:type="dxa" w:w="7029"/>
            <w:vAlign w:val="top"/>
            <w:tcMar>
              <w:top w:w="85" w:type="dxa"/>
              <w:bottom w:w="85" w:type="dxa"/>
              <w:left w:w="95" w:type="dxa"/>
              <w:right w:w="95" w:type="dxa"/>
            </w:tcMar>
            <w:shd w:fill="F3F7F9"/>
          </w:tcPr>
          <w:p>
            <w:pPr>
              <w:pStyle w:val="TableText"/>
              <w:keepNext w:val="0"/>
              <w:spacing w:after="20"/>
            </w:pPr>
            <w:r>
              <w:t>Destination, event reference, accepted/matched/attributed status where available, report date, attribution settings.</w:t>
            </w:r>
          </w:p>
        </w:tc>
      </w:tr>
    </w:tbl>
    <w:p>
      <w:pPr>
        <w:spacing w:after="0"/>
      </w:pPr>
    </w:p>
    <w:p>
      <w:r>
        <w:t>Allowlist UTMs such as source, medium, campaign, content, and term with length and character controls. Never include names or email addresses in campaign parameters. Where permitted, retain genuine platform click identifiers such as gclid, gbraid/wbraid, or fbclid and provider-specific browser identifiers according to their rules. Do not invent substitutes when values are absent.</w:t>
      </w:r>
    </w:p>
    <w:p>
      <w:pPr>
        <w:pStyle w:val="Heading2"/>
      </w:pPr>
      <w:r>
        <w:t>18.3 Attribution rules</w:t>
      </w:r>
    </w:p>
    <w:p>
      <w:r>
        <w:t>Implement first eligible touch and last eligible non-direct touch as explicit internal models when useful. Preserve both rather than constantly overwriting acquisition history. Define what counts as direct, how cross-domain journeys are handled, and the lookback period. Do not silently apply an external platform's model to internal business reports.</w:t>
      </w:r>
    </w:p>
    <w:p>
      <w:r>
        <w:t>Separate observed facts from attribution interpretation. “A lead was accepted at 10:01” is a business fact. “Campaign A deserves credit” depends on a rule and available evidence. Platform reports can differ because of identity, consent, windows, modeling, time zones, filtering, and definitions. Reporting should explain these differences, not force totals to match by inventing events.</w:t>
      </w:r>
    </w:p>
    <w:p>
      <w:pPr>
        <w:pStyle w:val="Heading2"/>
      </w:pPr>
      <w:r>
        <w:t>18.4 CRM linkage and correction</w:t>
      </w:r>
    </w:p>
    <w:p>
      <w:r>
        <w:t>When a valid form is accepted, create an internal lead, then synchronize through a durable adapter. A CRM customer can have multiple enquiries; maintain entity relationships rather than merging everything by email. Record deduplication rules and provide a controlled merge/unmerge process where justified.</w:t>
      </w:r>
    </w:p>
    <w:p>
      <w:r>
        <w:t>A stage correction must be auditable. Do not emit repeated qualified-lead conversions whenever staff edit a note. Use a lifecycle event key that represents the actual qualifying transition. Implement refunds, cancellations, disqualification, and conversion corrections using current destination capabilities and business rules, not by deleting inconvenient history.</w:t>
      </w:r>
    </w:p>
    <w:p>
      <w:pPr>
        <w:pStyle w:val="Heading2"/>
        <w:keepNext/>
        <w:widowControl/>
      </w:pPr>
      <w:r>
        <w:t>18.5 Complete UTM and visitor-context implementation</w:t>
      </w:r>
    </w:p>
    <w:p>
      <w:pPr>
        <w:widowControl/>
      </w:pPr>
      <w:r>
        <w:t>Chapter 35 expands this model into a campaign link builder, explicit UTM/click-ID fields, sanitation, consent-aware capture, redirect/cross-domain tests, first/last/non-direct touch handling and form/chat/CRM linkage. Chapter 36 adds restricted IP provenance and approximate versus permission-based location; Chapter 37 reuses the same context service for the chatbot. Acquisition facts and attribution interpretation remain separate.</w:t>
      </w:r>
    </w:p>
    <w:p>
      <w:pPr>
        <w:pStyle w:val="Heading1"/>
        <w:pageBreakBefore w:val="0"/>
        <w:spacing w:before="400"/>
        <w:pBdr>
          <w:bottom w:val="single" w:sz="8" w:color="087F83" w:space="8"/>
        </w:pBdr>
      </w:pPr>
      <w:bookmarkStart w:id="21" w:name="chapter_19"/>
      <w:bookmarkStart w:id="278" w:name="v12_ch19"/>
      <w:r>
        <w:t>19 | Reporting, experiments, heatmaps, and replay</w:t>
      </w:r>
      <w:bookmarkEnd w:id="21"/>
      <w:bookmarkEnd w:id="278"/>
      <w:bookmarkStart w:id="569" w:name="tocfinal_ch_19"/>
      <w:bookmarkEnd w:id="569"/>
    </w:p>
    <w:p>
      <w:pPr>
        <w:pStyle w:val="Heading2"/>
      </w:pPr>
      <w:r>
        <w:t>19.1 Required dashboards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Audience</w:t>
            </w:r>
          </w:p>
        </w:tc>
        <w:tc>
          <w:tcPr>
            <w:tcW w:type="dxa" w:w="7029"/>
            <w:vAlign w:val="top"/>
            <w:tcMar>
              <w:top w:w="85" w:type="dxa"/>
              <w:bottom w:w="85" w:type="dxa"/>
              <w:left w:w="95" w:type="dxa"/>
              <w:right w:w="95" w:type="dxa"/>
            </w:tcMar>
            <w:shd w:fill="163349"/>
          </w:tcPr>
          <w:p>
            <w:pPr>
              <w:pStyle w:val="TableText"/>
              <w:keepNext/>
              <w:spacing w:after="20"/>
            </w:pPr>
            <w:r>
              <w:rPr>
                <w:b/>
                <w:color w:val="FFFFFF"/>
              </w:rPr>
              <w:t>Dashboard questions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Owner</w:t>
            </w:r>
          </w:p>
        </w:tc>
        <w:tc>
          <w:tcPr>
            <w:tcW w:type="dxa" w:w="7029"/>
            <w:vAlign w:val="top"/>
            <w:tcMar>
              <w:top w:w="85" w:type="dxa"/>
              <w:bottom w:w="85" w:type="dxa"/>
              <w:left w:w="95" w:type="dxa"/>
              <w:right w:w="95" w:type="dxa"/>
            </w:tcMar>
            <w:shd w:fill="FFFFFF"/>
          </w:tcPr>
          <w:p>
            <w:pPr>
              <w:pStyle w:val="TableText"/>
              <w:keepNext w:val="0"/>
              <w:spacing w:after="20"/>
            </w:pPr>
            <w:r>
              <w:t>How many valid leads/orders/bookings arrived? What needs action? Which sources produce useful outcomes? Are forms and publication healthy?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Marketing</w:t>
            </w:r>
          </w:p>
        </w:tc>
        <w:tc>
          <w:tcPr>
            <w:tcW w:type="dxa" w:w="7029"/>
            <w:vAlign w:val="top"/>
            <w:tcMar>
              <w:top w:w="85" w:type="dxa"/>
              <w:bottom w:w="85" w:type="dxa"/>
              <w:left w:w="95" w:type="dxa"/>
              <w:right w:w="95" w:type="dxa"/>
            </w:tcMar>
            <w:shd w:fill="F3F7F9"/>
          </w:tcPr>
          <w:p>
            <w:pPr>
              <w:pStyle w:val="TableText"/>
              <w:keepNext w:val="0"/>
              <w:spacing w:after="20"/>
            </w:pPr>
            <w:r>
              <w:t>Which campaigns and landing pages produce qualified leads and revenue? Where do pricing exposure, downloads, and form steps lose visitors?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Editorial</w:t>
            </w:r>
          </w:p>
        </w:tc>
        <w:tc>
          <w:tcPr>
            <w:tcW w:type="dxa" w:w="7029"/>
            <w:vAlign w:val="top"/>
            <w:tcMar>
              <w:top w:w="85" w:type="dxa"/>
              <w:bottom w:w="85" w:type="dxa"/>
              <w:left w:w="95" w:type="dxa"/>
              <w:right w:w="95" w:type="dxa"/>
            </w:tcMar>
            <w:shd w:fill="FFFFFF"/>
          </w:tcPr>
          <w:p>
            <w:pPr>
              <w:pStyle w:val="TableText"/>
              <w:keepNext w:val="0"/>
              <w:spacing w:after="20"/>
            </w:pPr>
            <w:r>
              <w:t>Which resources attract the right audience, support service journeys, need updating, or produce zero useful engagement?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Sales/service</w:t>
            </w:r>
          </w:p>
        </w:tc>
        <w:tc>
          <w:tcPr>
            <w:tcW w:type="dxa" w:w="7029"/>
            <w:vAlign w:val="top"/>
            <w:tcMar>
              <w:top w:w="85" w:type="dxa"/>
              <w:bottom w:w="85" w:type="dxa"/>
              <w:left w:w="95" w:type="dxa"/>
              <w:right w:w="95" w:type="dxa"/>
            </w:tcMar>
            <w:shd w:fill="F3F7F9"/>
          </w:tcPr>
          <w:p>
            <w:pPr>
              <w:pStyle w:val="TableText"/>
              <w:keepNext w:val="0"/>
              <w:spacing w:after="20"/>
            </w:pPr>
            <w:r>
              <w:t>Which leads are unassigned, overdue, contacted, qualified, won, lost, or awaiting response?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Operations/privacy</w:t>
            </w:r>
          </w:p>
        </w:tc>
        <w:tc>
          <w:tcPr>
            <w:tcW w:type="dxa" w:w="7029"/>
            <w:vAlign w:val="top"/>
            <w:tcMar>
              <w:top w:w="85" w:type="dxa"/>
              <w:bottom w:w="85" w:type="dxa"/>
              <w:left w:w="95" w:type="dxa"/>
              <w:right w:w="95" w:type="dxa"/>
            </w:tcMar>
            <w:shd w:fill="FFFFFF"/>
          </w:tcPr>
          <w:p>
            <w:pPr>
              <w:pStyle w:val="TableText"/>
              <w:keepNext w:val="0"/>
              <w:spacing w:after="20"/>
            </w:pPr>
            <w:r>
              <w:t>Are queues delayed, tags failing, data exports pending, consent rules working, backups current, and alerts acknowledged?</w:t>
            </w:r>
          </w:p>
        </w:tc>
      </w:tr>
    </w:tbl>
    <w:p>
      <w:pPr>
        <w:spacing w:after="0"/>
      </w:pPr>
    </w:p>
    <w:p>
      <w:r>
        <w:t>Every dashboard needs definitions, date/timezone, data freshness, data source, filters, and known limitations. Label consented-observation coverage rather than suggesting the analytics denominator includes all visitors. Show counts and rates together; a high conversion rate based on five sessions is not a stable business conclusion.</w:t>
      </w:r>
    </w:p>
    <w:p>
      <w:pPr>
        <w:pStyle w:val="Heading2"/>
      </w:pPr>
      <w:r>
        <w:t>19.2 Funnel calculations</w:t>
      </w:r>
    </w:p>
    <w:p>
      <w:r>
        <w:t>Define the user unit before calculating a funnel: event, page view, session, permitted browser identity, lead, or customer. For example, a session funnel could measure eligible campaign sessions → pricing-view sessions → form-start sessions → accepted-lead sessions. A lead funnel separately measures accepted leads → qualified leads → paid customers.</w:t>
      </w:r>
    </w:p>
    <w:p>
      <w:r>
        <w:t>Suggested calculations include accepted-lead rate = accepted leads divided by eligible measured sessions, qualification rate = qualified leads divided by accepted leads in the defined cohort, and cost per qualified lead = eligible campaign spend divided by attributed qualified leads under the named model. State time lag and cohort rules; do not mix this week's clicks with all historical sales without explanation.</w:t>
      </w:r>
    </w:p>
    <w:p>
      <w:pPr>
        <w:pStyle w:val="Heading2"/>
      </w:pPr>
      <w:r>
        <w:t>19.3 Business truth versus platform reports</w:t>
      </w:r>
    </w:p>
    <w:p>
      <w:r>
        <w:t xml:space="preserve">For a unified owner dashboard, ingest advertising spend and performance through a separate read-only reporting connector. Google Ads reporting uses the Google Ads API; it is distinct from conversion ingestion through Data Manager. Store account, campaign/ad identifiers, date, timezone, currency, metrics, extraction time, and source settings. </w:t>
      </w:r>
      <w:hyperlink w:anchor="ref_R45">
        <w:r>
          <w:rPr>
            <w:color w:val="087F83"/>
            <w:rFonts w:ascii="Lato" w:hAnsi="Lato"/>
            <w:sz w:val="19"/>
          </w:rPr>
          <w:t>[R45]</w:t>
        </w:r>
      </w:hyperlink>
      <w:r/>
    </w:p>
    <w:p>
      <w:r>
        <w:t xml:space="preserve">A Meta reporting adapter requires the currently supported Insights interface, permissions, account access, pagination, and asynchronous report handling where applicable; validate these in authenticated official documentation before activation. Use resumable backfills, daily incremental refresh, and a recent-period refresh window for delayed adjustments. Keep report credentials separate from conversion-delivery permissions. </w:t>
      </w:r>
      <w:hyperlink w:anchor="ref_R46">
        <w:r>
          <w:rPr>
            <w:color w:val="087F83"/>
            <w:rFonts w:ascii="Lato" w:hAnsi="Lato"/>
            <w:sz w:val="19"/>
          </w:rPr>
          <w:t>[R46]</w:t>
        </w:r>
      </w:hyperlink>
      <w:r/>
    </w:p>
    <w:p>
      <w:r>
        <w:t>Never join aggregate campaign rows to individual visitors as though the reporting API revealed person-level ad exposure. Reconcile currency, account timezone, attribution window, breakdowns, and metric definitions before presenting cross-platform totals. Show stale or failed sync status instead of silently displaying old data as current.</w:t>
      </w:r>
    </w:p>
    <w:p>
      <w:r>
        <w:t>PostgreSQL/CRM/payment records are the authority for business outcomes. GA4 and ad platforms provide behavioral and attributed views with their own processing and reporting constraints. Use an internal reporting store or warehouse when detailed joins and longer analysis are justified. Do not turn the production transaction database into an unrestricted analyst query service.</w:t>
      </w:r>
    </w:p>
    <w:p>
      <w:r>
        <w:t>The reconciliation dashboard compares committed outcomes, outbox events, eligible events, attempted deliveries, accepted deliveries, and platform-reported attributed results. Expected differences must be categorized. Received, accepted, matched, and attributed are not interchangeable labels.</w:t>
      </w:r>
    </w:p>
    <w:p>
      <w:pPr>
        <w:pStyle w:val="Heading2"/>
      </w:pPr>
      <w:r>
        <w:t>19.4 Heatmaps and session replay</w:t>
      </w:r>
    </w:p>
    <w:p>
      <w:r>
        <w:t>Heatmaps and replay are optional diagnostic tools, not a requirement to spy on every user. Activate only after a privacy review, required permission, sampling decision, retention decision, and exclusion tests. Exclude administration, login recovery, payment, sensitive enquiry, private portal, and confidential document views by default.</w:t>
      </w:r>
    </w:p>
    <w:p>
      <w:r>
        <w:t xml:space="preserve">Mask all input values and sensitive page content. Review actual recordings with synthetic data before launch because default masking alone does not prove that all content is safe. Microsoft Clarity provides masking configuration, but the site owner remains responsible for selecting and testing an appropriate configuration. </w:t>
      </w:r>
      <w:hyperlink w:anchor="ref_R39">
        <w:r>
          <w:rPr>
            <w:color w:val="087F83"/>
            <w:rFonts w:ascii="Lato" w:hAnsi="Lato"/>
            <w:sz w:val="19"/>
          </w:rPr>
          <w:t>[R39]</w:t>
        </w:r>
      </w:hyperlink>
      <w:r/>
    </w:p>
    <w:p>
      <w:pPr>
        <w:pStyle w:val="Heading2"/>
      </w:pPr>
      <w:r>
        <w:t>19.5 A/B testing and experimentation standard</w:t>
      </w:r>
    </w:p>
    <w:p>
      <w:r>
        <w:t>Each experiment has a hypothesis, primary metric, guardrail metrics, eligible audience, allocation rule, planned analysis, and stopping criteria. Keep assignment stable where permitted and record actual exposure, not just randomization. Do not change price or contractual terms inconsistently across the funnel.</w:t>
      </w:r>
    </w:p>
    <w:p>
      <w:r>
        <w:t>Avoid declaring a winner from repeated unplanned peeking or tiny samples. Evaluate accessibility, performance, lead quality, refunds, and complaints alongside clicks. Paid landing variants must not cloak materially different content from reviewers or users. Preserve a straightforward rollback and archive the decision with evidence.</w:t>
      </w:r>
    </w:p>
    <w:p>
      <w:pPr>
        <w:pStyle w:val="Heading2"/>
        <w:keepNext/>
        <w:widowControl/>
      </w:pPr>
      <w:r>
        <w:t>19.6 Required A/B testing capability</w:t>
      </w:r>
    </w:p>
    <w:p>
      <w:pPr>
        <w:widowControl/>
      </w:pPr>
      <w:r>
        <w:t>Chapter 34 makes the complete A/B test workflow a required v1.1 capability: pinned variants, stable assignment, actual exposure, analysis design, sample-quality validation, owner controls, SEO-safe delivery, kill switch and approved promotion/rollback. A live test is not required when traffic or measurement eligibility is insufficient. Replay remains separately reviewed and optional; an experiment must not enable it implicitly.</w:t>
      </w:r>
    </w:p>
    <w:p>
      <w:pPr>
        <w:pStyle w:val="Heading3"/>
      </w:pPr>
      <w:r>
        <w:t>Version 1.2 integration</w:t>
      </w:r>
    </w:p>
    <w:p>
      <w:pPr/>
      <w:r>
        <w:t>Chapters 55–56 add the metric dictionary, connector/warehouse contracts, cost reconciliation, incrementality, research and interactive tools. Chapter 34 remains the detailed site-experiment standard; no low-volume winner is invented.</w:t>
      </w:r>
    </w:p>
    <w:p>
      <w:pPr>
        <w:pStyle w:val="Heading1"/>
        <w:pageBreakBefore w:val="0"/>
        <w:spacing w:before="400"/>
        <w:pBdr>
          <w:bottom w:val="single" w:sz="8" w:color="087F83" w:space="8"/>
        </w:pBdr>
      </w:pPr>
      <w:bookmarkStart w:id="22" w:name="chapter_20"/>
      <w:bookmarkStart w:id="279" w:name="v12_ch20"/>
      <w:r>
        <w:t>20 | Forms, lead management, and communications</w:t>
      </w:r>
      <w:bookmarkEnd w:id="22"/>
      <w:bookmarkEnd w:id="279"/>
      <w:bookmarkStart w:id="570" w:name="tocfinal_ch_20"/>
      <w:bookmarkEnd w:id="570"/>
    </w:p>
    <w:p>
      <w:pPr>
        <w:pStyle w:val="Heading2"/>
      </w:pPr>
      <w:r>
        <w:t>20.1 Form builder requirements</w:t>
      </w:r>
    </w:p>
    <w:p>
      <w:r>
        <w:t>The owner can create forms from approved field types: text, email, phone, select, radio, checkbox, date, consent, file upload, and conditional/multi-step structures where activated. Each field needs a stable key, label, purpose, validation rules, required state, sensitivity, and retention classification. Form revisions must be immutable once used in submissions.</w:t>
      </w:r>
    </w:p>
    <w:p>
      <w:r>
        <w:t>Use server-side validation as authority and client-side validation for usability. Normalize carefully without changing intended meaning. International phone formats, Unicode names, country-specific postal codes, and assistive technology need real tests. Do not reject valid names because they do not match a narrow English-only pattern.</w:t>
      </w:r>
    </w:p>
    <w:p>
      <w:pPr>
        <w:pStyle w:val="Heading2"/>
      </w:pPr>
      <w:r>
        <w:t>20.2 Submission transaction</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Step</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behavior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Validate</w:t>
            </w:r>
          </w:p>
        </w:tc>
        <w:tc>
          <w:tcPr>
            <w:tcW w:type="dxa" w:w="7029"/>
            <w:vAlign w:val="top"/>
            <w:tcMar>
              <w:top w:w="85" w:type="dxa"/>
              <w:bottom w:w="85" w:type="dxa"/>
              <w:left w:w="95" w:type="dxa"/>
              <w:right w:w="95" w:type="dxa"/>
            </w:tcMar>
            <w:shd w:fill="FFFFFF"/>
          </w:tcPr>
          <w:p>
            <w:pPr>
              <w:pStyle w:val="TableText"/>
              <w:keepNext w:val="0"/>
              <w:spacing w:after="20"/>
            </w:pPr>
            <w:r>
              <w:t>Check schema/version, required fields, allowed choices, length, file status, rate limits, and relevant anti-abuse controls.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Check idempotency</w:t>
            </w:r>
          </w:p>
        </w:tc>
        <w:tc>
          <w:tcPr>
            <w:tcW w:type="dxa" w:w="7029"/>
            <w:vAlign w:val="top"/>
            <w:tcMar>
              <w:top w:w="85" w:type="dxa"/>
              <w:bottom w:w="85" w:type="dxa"/>
              <w:left w:w="95" w:type="dxa"/>
              <w:right w:w="95" w:type="dxa"/>
            </w:tcMar>
            <w:shd w:fill="F3F7F9"/>
          </w:tcPr>
          <w:p>
            <w:pPr>
              <w:pStyle w:val="TableText"/>
              <w:keepNext w:val="0"/>
              <w:spacing w:after="20"/>
            </w:pPr>
            <w:r>
              <w:t>Same key and same request returns original result; different request with same key is rejected.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Commit</w:t>
            </w:r>
          </w:p>
        </w:tc>
        <w:tc>
          <w:tcPr>
            <w:tcW w:type="dxa" w:w="7029"/>
            <w:vAlign w:val="top"/>
            <w:tcMar>
              <w:top w:w="85" w:type="dxa"/>
              <w:bottom w:w="85" w:type="dxa"/>
              <w:left w:w="95" w:type="dxa"/>
              <w:right w:w="95" w:type="dxa"/>
            </w:tcMar>
            <w:shd w:fill="FFFFFF"/>
          </w:tcPr>
          <w:p>
            <w:pPr>
              <w:pStyle w:val="TableText"/>
              <w:keepNext w:val="0"/>
              <w:spacing w:after="20"/>
            </w:pPr>
            <w:r>
              <w:t>Store protected submission, lead, consent evidence references, eligible attribution references, audit, and outbox in one transaction.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Respond</w:t>
            </w:r>
          </w:p>
        </w:tc>
        <w:tc>
          <w:tcPr>
            <w:tcW w:type="dxa" w:w="7029"/>
            <w:vAlign w:val="top"/>
            <w:tcMar>
              <w:top w:w="85" w:type="dxa"/>
              <w:bottom w:w="85" w:type="dxa"/>
              <w:left w:w="95" w:type="dxa"/>
              <w:right w:w="95" w:type="dxa"/>
            </w:tcMar>
            <w:shd w:fill="F3F7F9"/>
          </w:tcPr>
          <w:p>
            <w:pPr>
              <w:pStyle w:val="TableText"/>
              <w:keepNext w:val="0"/>
              <w:spacing w:after="20"/>
            </w:pPr>
            <w:r>
              <w:t>Return safe confirmation, lead receipt reference, and conversion event_id after commit; never echo unnecessary PII.</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Deliver asynchronously</w:t>
            </w:r>
          </w:p>
        </w:tc>
        <w:tc>
          <w:tcPr>
            <w:tcW w:type="dxa" w:w="7029"/>
            <w:vAlign w:val="top"/>
            <w:tcMar>
              <w:top w:w="85" w:type="dxa"/>
              <w:bottom w:w="85" w:type="dxa"/>
              <w:left w:w="95" w:type="dxa"/>
              <w:right w:w="95" w:type="dxa"/>
            </w:tcMar>
            <w:shd w:fill="FFFFFF"/>
          </w:tcPr>
          <w:p>
            <w:pPr>
              <w:pStyle w:val="TableText"/>
              <w:keepNext w:val="0"/>
              <w:spacing w:after="20"/>
            </w:pPr>
            <w:r>
              <w:t>Assign/rout lead, notify staff, send approved acknowledgment, synchronize CRM, and dispatch eligible conversion events.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Reconcile</w:t>
            </w:r>
          </w:p>
        </w:tc>
        <w:tc>
          <w:tcPr>
            <w:tcW w:type="dxa" w:w="7029"/>
            <w:vAlign w:val="top"/>
            <w:tcMar>
              <w:top w:w="85" w:type="dxa"/>
              <w:bottom w:w="85" w:type="dxa"/>
              <w:left w:w="95" w:type="dxa"/>
              <w:right w:w="95" w:type="dxa"/>
            </w:tcMar>
            <w:shd w:fill="F3F7F9"/>
          </w:tcPr>
          <w:p>
            <w:pPr>
              <w:pStyle w:val="TableText"/>
              <w:keepNext w:val="0"/>
              <w:spacing w:after="20"/>
            </w:pPr>
            <w:r>
              <w:t>Alert on unassigned leads, delayed notifications, failed CRM delivery, or missing outcomes.</w:t>
            </w:r>
          </w:p>
        </w:tc>
      </w:tr>
    </w:tbl>
    <w:p>
      <w:pPr>
        <w:spacing w:after="0"/>
      </w:pPr>
    </w:p>
    <w:p>
      <w:pPr>
        <w:pStyle w:val="Heading2"/>
      </w:pPr>
      <w:r>
        <w:t>20.3 Anti-spam and safe failure</w:t>
      </w:r>
    </w:p>
    <w:p>
      <w:r>
        <w:t>Use a layered approach: validation, request budgets, honeypot or timing signals where appropriate, reputation/rate controls, and an accessible challenge only when justified. Review false positives. A lead placed in a spam-review bucket should not automatically count as a qualified conversion. Keep a way for a genuine visitor to contact the business when automated checks fail.</w:t>
      </w:r>
    </w:p>
    <w:p>
      <w:r>
        <w:t>Never put a secret CAPTCHA key or integration token in public code. Validate challenge results server-side when such a service is enabled. A CAPTCHA provider outage must have a documented degraded-mode decision, not silently block all genuine enquiries forever.</w:t>
      </w:r>
    </w:p>
    <w:p>
      <w:pPr>
        <w:pStyle w:val="Heading2"/>
      </w:pPr>
      <w:r>
        <w:t>20.4 CRM workflow</w:t>
      </w:r>
    </w:p>
    <w:p>
      <w:r>
        <w:t>Use explicit stages such as new, assigned, contacted, qualified, proposal, won, lost, spam, and archived. Define stage entry rules, mandatory information, allowed transitions, assignment owner, escalation timers, and reason codes. Support notes, activity history, filters, saved views, exports, and restricted bulk actions.</w:t>
      </w:r>
    </w:p>
    <w:p>
      <w:r>
        <w:t>Define the source of truth for each field when synchronizing an external CRM. Keep provider IDs and synchronization cursors separate. Handle duplicate webhooks, conflicts, replays, revoked credentials, and partial failures. Do not let a temporary CRM outage lose the original lead.</w:t>
      </w:r>
    </w:p>
    <w:p>
      <w:pPr>
        <w:pStyle w:val="Heading2"/>
      </w:pPr>
      <w:r>
        <w:t>20.5 Communication rules</w:t>
      </w:r>
    </w:p>
    <w:p>
      <w:r>
        <w:t>Transactional acknowledgment is separate from marketing subscription. Store communication preferences by channel and purpose. Marketing messages need the required permission and unsubscribe/suppression process; an enquiry is not automatically permission for every future campaign.</w:t>
      </w:r>
    </w:p>
    <w:p>
      <w:r>
        <w:t>Support editable approved templates with safe variables, preview, localization, and test-send controls. Configure email domain authentication and monitor delivery, bounce, complaint, and suppression signals. Show “notification pending” rather than “customer received email” merely because an API request was accepted. WhatsApp, SMS, chat, and telephony require their own provider rules, costs, access controls, and consent decisions.</w:t>
      </w:r>
    </w:p>
    <w:p>
      <w:pPr>
        <w:pStyle w:val="Heading3"/>
      </w:pPr>
      <w:r>
        <w:t>Version 1.2 integration</w:t>
      </w:r>
    </w:p>
    <w:p>
      <w:pPr/>
      <w:r>
        <w:t>Chapters 45–48 add owner automation, scoring/segmentation, sender authentication/subscription operations and channel-specific inbox/call attribution. All use the same durable lead, policy, suppression and audit services.</w:t>
      </w:r>
    </w:p>
    <w:p>
      <w:pPr>
        <w:pStyle w:val="Heading1"/>
        <w:pageBreakBefore w:val="0"/>
        <w:spacing w:before="400"/>
        <w:pBdr>
          <w:bottom w:val="single" w:sz="8" w:color="087F83" w:space="8"/>
        </w:pBdr>
      </w:pPr>
      <w:bookmarkStart w:id="23" w:name="chapter_21"/>
      <w:bookmarkStart w:id="280" w:name="v12_ch21"/>
      <w:r>
        <w:t>21 | Backend modules and business workflows</w:t>
      </w:r>
      <w:bookmarkEnd w:id="23"/>
      <w:bookmarkEnd w:id="280"/>
      <w:bookmarkStart w:id="571" w:name="tocfinal_ch_21"/>
      <w:bookmarkEnd w:id="571"/>
    </w:p>
    <w:p>
      <w:pPr>
        <w:pStyle w:val="Heading2"/>
      </w:pPr>
      <w:r>
        <w:t>21.1 Modular monolith as the default</w:t>
      </w:r>
    </w:p>
    <w:p>
      <w:r>
        <w:t>Organize NestJS by business capability, not by a single giant controllers/services folder. Each module owns its domain rules, persistence access, API contract, application services, events, tests, and integration boundary. Shared libraries contain stable primitives, not circular references between every feature.</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Module</w:t>
            </w:r>
          </w:p>
        </w:tc>
        <w:tc>
          <w:tcPr>
            <w:tcW w:type="dxa" w:w="7029"/>
            <w:vAlign w:val="top"/>
            <w:tcMar>
              <w:top w:w="85" w:type="dxa"/>
              <w:bottom w:w="85" w:type="dxa"/>
              <w:left w:w="95" w:type="dxa"/>
              <w:right w:w="95" w:type="dxa"/>
            </w:tcMar>
            <w:shd w:fill="163349"/>
          </w:tcPr>
          <w:p>
            <w:pPr>
              <w:pStyle w:val="TableText"/>
              <w:keepNext/>
              <w:spacing w:after="20"/>
            </w:pPr>
            <w:r>
              <w:rPr>
                <w:b/>
                <w:color w:val="FFFFFF"/>
              </w:rPr>
              <w:t>Owned responsibility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Identity and access</w:t>
            </w:r>
          </w:p>
        </w:tc>
        <w:tc>
          <w:tcPr>
            <w:tcW w:type="dxa" w:w="7029"/>
            <w:vAlign w:val="top"/>
            <w:tcMar>
              <w:top w:w="85" w:type="dxa"/>
              <w:bottom w:w="85" w:type="dxa"/>
              <w:left w:w="95" w:type="dxa"/>
              <w:right w:w="95" w:type="dxa"/>
            </w:tcMar>
            <w:shd w:fill="FFFFFF"/>
          </w:tcPr>
          <w:p>
            <w:pPr>
              <w:pStyle w:val="TableText"/>
              <w:keepNext w:val="0"/>
              <w:spacing w:after="20"/>
            </w:pPr>
            <w:r>
              <w:t>Staff/customer authentication, sessions, roles, permissions, recovery, MFA, and authorization policy.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Sites and configuration</w:t>
            </w:r>
          </w:p>
        </w:tc>
        <w:tc>
          <w:tcPr>
            <w:tcW w:type="dxa" w:w="7029"/>
            <w:vAlign w:val="top"/>
            <w:tcMar>
              <w:top w:w="85" w:type="dxa"/>
              <w:bottom w:w="85" w:type="dxa"/>
              <w:left w:w="95" w:type="dxa"/>
              <w:right w:w="95" w:type="dxa"/>
            </w:tcMar>
            <w:shd w:fill="F3F7F9"/>
          </w:tcPr>
          <w:p>
            <w:pPr>
              <w:pStyle w:val="TableText"/>
              <w:keepNext w:val="0"/>
              <w:spacing w:after="20"/>
            </w:pPr>
            <w:r>
              <w:t>Site identity, locales, domain associations, approved feature flags, and public/private settings separation.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Content and publishing</w:t>
            </w:r>
          </w:p>
        </w:tc>
        <w:tc>
          <w:tcPr>
            <w:tcW w:type="dxa" w:w="7029"/>
            <w:vAlign w:val="top"/>
            <w:tcMar>
              <w:top w:w="85" w:type="dxa"/>
              <w:bottom w:w="85" w:type="dxa"/>
              <w:left w:w="95" w:type="dxa"/>
              <w:right w:w="95" w:type="dxa"/>
            </w:tcMar>
            <w:shd w:fill="FFFFFF"/>
          </w:tcPr>
          <w:p>
            <w:pPr>
              <w:pStyle w:val="TableText"/>
              <w:keepNext w:val="0"/>
              <w:spacing w:after="20"/>
            </w:pPr>
            <w:r>
              <w:t>Pages, blocks, articles, revisions, workflow, preview, publication, redirects, and cache invalidation requests.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Media</w:t>
            </w:r>
          </w:p>
        </w:tc>
        <w:tc>
          <w:tcPr>
            <w:tcW w:type="dxa" w:w="7029"/>
            <w:vAlign w:val="top"/>
            <w:tcMar>
              <w:top w:w="85" w:type="dxa"/>
              <w:bottom w:w="85" w:type="dxa"/>
              <w:left w:w="95" w:type="dxa"/>
              <w:right w:w="95" w:type="dxa"/>
            </w:tcMar>
            <w:shd w:fill="F3F7F9"/>
          </w:tcPr>
          <w:p>
            <w:pPr>
              <w:pStyle w:val="TableText"/>
              <w:keepNext w:val="0"/>
              <w:spacing w:after="20"/>
            </w:pPr>
            <w:r>
              <w:t>Asset metadata, upload authorization, quarantine, scanning workflow, derivatives, and access policy.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Forms and leads</w:t>
            </w:r>
          </w:p>
        </w:tc>
        <w:tc>
          <w:tcPr>
            <w:tcW w:type="dxa" w:w="7029"/>
            <w:vAlign w:val="top"/>
            <w:tcMar>
              <w:top w:w="85" w:type="dxa"/>
              <w:bottom w:w="85" w:type="dxa"/>
              <w:left w:w="95" w:type="dxa"/>
              <w:right w:w="95" w:type="dxa"/>
            </w:tcMar>
            <w:shd w:fill="FFFFFF"/>
          </w:tcPr>
          <w:p>
            <w:pPr>
              <w:pStyle w:val="TableText"/>
              <w:keepNext w:val="0"/>
              <w:spacing w:after="20"/>
            </w:pPr>
            <w:r>
              <w:t>Versioned forms, submissions, lead lifecycle, assignment, validation, consent references, and attribution links.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Measurement and privacy</w:t>
            </w:r>
          </w:p>
        </w:tc>
        <w:tc>
          <w:tcPr>
            <w:tcW w:type="dxa" w:w="7029"/>
            <w:vAlign w:val="top"/>
            <w:tcMar>
              <w:top w:w="85" w:type="dxa"/>
              <w:bottom w:w="85" w:type="dxa"/>
              <w:left w:w="95" w:type="dxa"/>
              <w:right w:w="95" w:type="dxa"/>
            </w:tcMar>
            <w:shd w:fill="F3F7F9"/>
          </w:tcPr>
          <w:p>
            <w:pPr>
              <w:pStyle w:val="TableText"/>
              <w:keepNext w:val="0"/>
              <w:spacing w:after="20"/>
            </w:pPr>
            <w:r>
              <w:t>Event schema validation, consent policy, eligible collection, delivery ledger, retention, and rights workflows.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Integrations and notifications</w:t>
            </w:r>
          </w:p>
        </w:tc>
        <w:tc>
          <w:tcPr>
            <w:tcW w:type="dxa" w:w="7029"/>
            <w:vAlign w:val="top"/>
            <w:tcMar>
              <w:top w:w="85" w:type="dxa"/>
              <w:bottom w:w="85" w:type="dxa"/>
              <w:left w:w="95" w:type="dxa"/>
              <w:right w:w="95" w:type="dxa"/>
            </w:tcMar>
            <w:shd w:fill="FFFFFF"/>
          </w:tcPr>
          <w:p>
            <w:pPr>
              <w:pStyle w:val="TableText"/>
              <w:keepNext w:val="0"/>
              <w:spacing w:after="20"/>
            </w:pPr>
            <w:r>
              <w:t>Provider adapters, credentials references, webhooks, synchronization, message templates, and suppression.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Business modules</w:t>
            </w:r>
          </w:p>
        </w:tc>
        <w:tc>
          <w:tcPr>
            <w:tcW w:type="dxa" w:w="7029"/>
            <w:vAlign w:val="top"/>
            <w:tcMar>
              <w:top w:w="85" w:type="dxa"/>
              <w:bottom w:w="85" w:type="dxa"/>
              <w:left w:w="95" w:type="dxa"/>
              <w:right w:w="95" w:type="dxa"/>
            </w:tcMar>
            <w:shd w:fill="F3F7F9"/>
          </w:tcPr>
          <w:p>
            <w:pPr>
              <w:pStyle w:val="TableText"/>
              <w:keepNext w:val="0"/>
              <w:spacing w:after="20"/>
            </w:pPr>
            <w:r>
              <w:t>Separate commerce, booking, subscriptions, portal, courses, or other enabled capabilities.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Operations</w:t>
            </w:r>
          </w:p>
        </w:tc>
        <w:tc>
          <w:tcPr>
            <w:tcW w:type="dxa" w:w="7029"/>
            <w:vAlign w:val="top"/>
            <w:tcMar>
              <w:top w:w="85" w:type="dxa"/>
              <w:bottom w:w="85" w:type="dxa"/>
              <w:left w:w="95" w:type="dxa"/>
              <w:right w:w="95" w:type="dxa"/>
            </w:tcMar>
            <w:shd w:fill="FFFFFF"/>
          </w:tcPr>
          <w:p>
            <w:pPr>
              <w:pStyle w:val="TableText"/>
              <w:keepNext w:val="0"/>
              <w:spacing w:after="20"/>
            </w:pPr>
            <w:r>
              <w:t>Audit, health, job control, exports, backup status, and administrative diagnostics.</w:t>
            </w:r>
          </w:p>
        </w:tc>
      </w:tr>
    </w:tbl>
    <w:p>
      <w:pPr>
        <w:spacing w:after="0"/>
      </w:pPr>
    </w:p>
    <w:p>
      <w:pPr>
        <w:pStyle w:val="Heading2"/>
      </w:pPr>
      <w:r>
        <w:t>21.2 Application and domain boundaries</w:t>
      </w:r>
    </w:p>
    <w:p>
      <w:r>
        <w:t>Controllers/resolvers validate the transport contract and delegate to application use cases. Use cases enforce authorization and transactions. Domain services enforce business invariants. Repositories encapsulate persistence. Integration adapters handle provider-specific schemas and errors. Do not put raw provider calls or payment decisions inside a page component.</w:t>
      </w:r>
    </w:p>
    <w:p>
      <w:r>
        <w:t>Use typed request and response models, centralized error mapping, structured redacted logs, request correlation, and tracing. Validate configuration at startup. Refuse to start a production profile with missing required secrets, placeholder domains, or unsafe defaults. Keep health checks informative without exposing credentials or internal network details.</w:t>
      </w:r>
    </w:p>
    <w:p>
      <w:pPr>
        <w:pStyle w:val="Heading2"/>
      </w:pPr>
      <w:r>
        <w:t>21.3 Background jobs and consistency</w:t>
      </w:r>
    </w:p>
    <w:p>
      <w:r>
        <w:t>Use jobs for notification, CRM synchronization, media processing, publication invalidation, exports, reporting refresh, and conversion delivery. Every job needs an idempotency rule, timeout, retry policy, visibility/lease behavior, dead-letter handling, and a documented owner. A scheduled job running on multiple instances must not create duplicate invoices or publish conflicting revisions.</w:t>
      </w:r>
    </w:p>
    <w:p>
      <w:r>
        <w:t xml:space="preserve">The database outbox links committed state changes to eventual external effects. Redis may accelerate jobs, but it is not the only durable record of an acknowledged lead. Rebuild eligible work from authoritative records after a queue failure. Use separate resource and persistence policies for disposable caches and queues. </w:t>
      </w:r>
      <w:hyperlink w:anchor="ref_R38">
        <w:r>
          <w:rPr>
            <w:color w:val="087F83"/>
            <w:rFonts w:ascii="Lato" w:hAnsi="Lato"/>
            <w:sz w:val="19"/>
          </w:rPr>
          <w:t>[R38]</w:t>
        </w:r>
      </w:hyperlink>
      <w:r/>
    </w:p>
    <w:p>
      <w:pPr>
        <w:pStyle w:val="Heading2"/>
      </w:pPr>
      <w:r>
        <w:t>21.4 Python service boundary</w:t>
      </w:r>
    </w:p>
    <w:p>
      <w:r>
        <w:t>Python remains optional. Appropriate workloads include controlled document extraction, data transformation, model inference, or scheduled reporting that justifies its ecosystem. Define a narrow job contract with input object references, schema version, resource limits, timeout, result schema, and error status.</w:t>
      </w:r>
    </w:p>
    <w:p>
      <w:r>
        <w:t>Python workers must not bypass access rules by editing business tables freely. Use a service account and a bounded API or explicitly owned job tables. Untrusted uploaded documents need isolation, file limits, and safe processing. Model-generated results remain drafts where they affect content, claims, or customer decisions.</w:t>
      </w:r>
    </w:p>
    <w:p>
      <w:pPr>
        <w:pStyle w:val="Heading2"/>
      </w:pPr>
      <w:r>
        <w:t>21.5 Integration lifecycle</w:t>
      </w:r>
    </w:p>
    <w:p>
      <w:r>
        <w:t>Each integration has an owner, enabled state, supported API version, credential reference, scopes, data map, purpose, rate budget, retry policy, health status, cost owner, and exit/export plan. On disconnect, revoke credentials where possible and stop future jobs. Mark pending work for review instead of discarding it silently.</w:t>
      </w:r>
    </w:p>
    <w:p>
      <w:r>
        <w:t>Expose status such as connected, permission missing, token expired, rate limited, delayed, rejected, and disabled. “Connected” only means authentication succeeded; it does not prove reading, writing, backfill, incremental synchronization, or webhook delivery works. Test those capabilities independently.</w:t>
      </w:r>
    </w:p>
    <w:p>
      <w:pPr>
        <w:pStyle w:val="Heading3"/>
      </w:pPr>
      <w:r>
        <w:t>Version 1.2 integration</w:t>
      </w:r>
    </w:p>
    <w:p>
      <w:pPr/>
      <w:r>
        <w:t>Chapter 63 supplies the integrated work-package/module map for the expanded profile. Policy, domain integrity and source-content preservation are shared services, not duplicate implementations inside each marketing widget.</w:t>
      </w:r>
    </w:p>
    <w:p>
      <w:pPr>
        <w:pStyle w:val="Heading1"/>
        <w:pageBreakBefore w:val="0"/>
        <w:spacing w:before="400"/>
        <w:pBdr>
          <w:bottom w:val="single" w:sz="8" w:color="087F83" w:space="8"/>
        </w:pBdr>
      </w:pPr>
      <w:bookmarkStart w:id="24" w:name="chapter_22"/>
      <w:bookmarkStart w:id="281" w:name="v12_ch22"/>
      <w:r>
        <w:t>22 | PostgreSQL schema, integrity, and storage lifecycle</w:t>
      </w:r>
      <w:bookmarkEnd w:id="24"/>
      <w:bookmarkEnd w:id="281"/>
      <w:bookmarkStart w:id="572" w:name="tocfinal_ch_22"/>
      <w:bookmarkEnd w:id="572"/>
    </w:p>
    <w:p>
      <w:pPr>
        <w:pStyle w:val="Heading2"/>
      </w:pPr>
      <w:r>
        <w:t>22.1 Data ownership principles</w:t>
      </w:r>
    </w:p>
    <w:p>
      <w:r>
        <w:t>Use PostgreSQL for durable relational and business data. Versioned JSONB is appropriate for flexible content blocks and safe configuration, but critical constraints such as amounts, identity references, workflow state, and uniqueness belong in typed relational structures. Choose one ORM/migration system and commit its migrations; do not mix competing schema mutation mechanisms.</w:t>
      </w:r>
    </w:p>
    <w:p>
      <w:r>
        <w:t>Separate logical domains such as content, business, measurement, and audit through schemas or clear ownership conventions. Isolate sensitive columns and access paths. An analyst role should not automatically read form contact details. A public content query must not expose unpublished revisions or private settings.</w:t>
      </w:r>
    </w:p>
    <w:p>
      <w:pPr>
        <w:pStyle w:val="Heading2"/>
      </w:pPr>
      <w:r>
        <w:t>22.2 Minimum entity catalogue</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Group</w:t>
            </w:r>
          </w:p>
        </w:tc>
        <w:tc>
          <w:tcPr>
            <w:tcW w:type="dxa" w:w="3883"/>
            <w:vAlign w:val="top"/>
            <w:tcMar>
              <w:top w:w="85" w:type="dxa"/>
              <w:bottom w:w="85" w:type="dxa"/>
              <w:left w:w="95" w:type="dxa"/>
              <w:right w:w="95" w:type="dxa"/>
            </w:tcMar>
            <w:shd w:fill="163349"/>
          </w:tcPr>
          <w:p>
            <w:pPr>
              <w:pStyle w:val="TableText"/>
              <w:keepNext/>
              <w:spacing w:after="20"/>
            </w:pPr>
            <w:r>
              <w:rPr>
                <w:b/>
                <w:color w:val="FFFFFF"/>
              </w:rPr>
              <w:t>Entities</w:t>
            </w:r>
          </w:p>
        </w:tc>
        <w:tc>
          <w:tcPr>
            <w:tcW w:type="dxa" w:w="3687"/>
            <w:vAlign w:val="top"/>
            <w:tcMar>
              <w:top w:w="85" w:type="dxa"/>
              <w:bottom w:w="85" w:type="dxa"/>
              <w:left w:w="95" w:type="dxa"/>
              <w:right w:w="95" w:type="dxa"/>
            </w:tcMar>
            <w:shd w:fill="163349"/>
          </w:tcPr>
          <w:p>
            <w:pPr>
              <w:pStyle w:val="TableText"/>
              <w:keepNext/>
              <w:spacing w:after="20"/>
            </w:pPr>
            <w:r>
              <w:rPr>
                <w:b/>
                <w:color w:val="FFFFFF"/>
              </w:rPr>
              <w:t>Important constraints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Site and access</w:t>
            </w:r>
          </w:p>
        </w:tc>
        <w:tc>
          <w:tcPr>
            <w:tcW w:type="dxa" w:w="3883"/>
            <w:vAlign w:val="top"/>
            <w:tcMar>
              <w:top w:w="85" w:type="dxa"/>
              <w:bottom w:w="85" w:type="dxa"/>
              <w:left w:w="95" w:type="dxa"/>
              <w:right w:w="95" w:type="dxa"/>
            </w:tcMar>
            <w:shd w:fill="FFFFFF"/>
          </w:tcPr>
          <w:p>
            <w:pPr>
              <w:pStyle w:val="TableText"/>
              <w:keepNext w:val="0"/>
              <w:spacing w:after="20"/>
            </w:pPr>
            <w:r>
              <w:t>sites, locales, users, memberships, roles, permissions, sessions</w:t>
            </w:r>
          </w:p>
        </w:tc>
        <w:tc>
          <w:tcPr>
            <w:tcW w:type="dxa" w:w="3687"/>
            <w:vAlign w:val="top"/>
            <w:tcMar>
              <w:top w:w="85" w:type="dxa"/>
              <w:bottom w:w="85" w:type="dxa"/>
              <w:left w:w="95" w:type="dxa"/>
              <w:right w:w="95" w:type="dxa"/>
            </w:tcMar>
            <w:shd w:fill="FFFFFF"/>
          </w:tcPr>
          <w:p>
            <w:pPr>
              <w:pStyle w:val="TableText"/>
              <w:keepNext w:val="0"/>
              <w:spacing w:after="20"/>
            </w:pPr>
            <w:r>
              <w:t>Unique validated domains; scoped memberships; revoked/expired sessions; no plaintext passwords.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Content</w:t>
            </w:r>
          </w:p>
        </w:tc>
        <w:tc>
          <w:tcPr>
            <w:tcW w:type="dxa" w:w="3883"/>
            <w:vAlign w:val="top"/>
            <w:tcMar>
              <w:top w:w="85" w:type="dxa"/>
              <w:bottom w:w="85" w:type="dxa"/>
              <w:left w:w="95" w:type="dxa"/>
              <w:right w:w="95" w:type="dxa"/>
            </w:tcMar>
            <w:shd w:fill="F3F7F9"/>
          </w:tcPr>
          <w:p>
            <w:pPr>
              <w:pStyle w:val="TableText"/>
              <w:keepNext w:val="0"/>
              <w:spacing w:after="20"/>
            </w:pPr>
            <w:r>
              <w:t>pages, page_revisions, block_definitions, shared_blocks, publication_jobs</w:t>
            </w:r>
          </w:p>
        </w:tc>
        <w:tc>
          <w:tcPr>
            <w:tcW w:type="dxa" w:w="3687"/>
            <w:vAlign w:val="top"/>
            <w:tcMar>
              <w:top w:w="85" w:type="dxa"/>
              <w:bottom w:w="85" w:type="dxa"/>
              <w:left w:w="95" w:type="dxa"/>
              <w:right w:w="95" w:type="dxa"/>
            </w:tcMar>
            <w:shd w:fill="F3F7F9"/>
          </w:tcPr>
          <w:p>
            <w:pPr>
              <w:pStyle w:val="TableText"/>
              <w:keepNext w:val="0"/>
              <w:spacing w:after="20"/>
            </w:pPr>
            <w:r>
              <w:t>Unique site/locale/slug; explicit live revision; immutable published snapshot; schema version.</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Editorial</w:t>
            </w:r>
          </w:p>
        </w:tc>
        <w:tc>
          <w:tcPr>
            <w:tcW w:type="dxa" w:w="3883"/>
            <w:vAlign w:val="top"/>
            <w:tcMar>
              <w:top w:w="85" w:type="dxa"/>
              <w:bottom w:w="85" w:type="dxa"/>
              <w:left w:w="95" w:type="dxa"/>
              <w:right w:w="95" w:type="dxa"/>
            </w:tcMar>
            <w:shd w:fill="FFFFFF"/>
          </w:tcPr>
          <w:p>
            <w:pPr>
              <w:pStyle w:val="TableText"/>
              <w:keepNext w:val="0"/>
              <w:spacing w:after="20"/>
            </w:pPr>
            <w:r>
              <w:t>posts, post_revisions, authors, reviewers, categories, post_topics</w:t>
            </w:r>
          </w:p>
        </w:tc>
        <w:tc>
          <w:tcPr>
            <w:tcW w:type="dxa" w:w="3687"/>
            <w:vAlign w:val="top"/>
            <w:tcMar>
              <w:top w:w="85" w:type="dxa"/>
              <w:bottom w:w="85" w:type="dxa"/>
              <w:left w:w="95" w:type="dxa"/>
              <w:right w:w="95" w:type="dxa"/>
            </w:tcMar>
            <w:shd w:fill="FFFFFF"/>
          </w:tcPr>
          <w:p>
            <w:pPr>
              <w:pStyle w:val="TableText"/>
              <w:keepNext w:val="0"/>
              <w:spacing w:after="20"/>
            </w:pPr>
            <w:r>
              <w:t>Stable IDs, unique scoped slugs, reviewer references, real publication dates.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Navigation and SEO</w:t>
            </w:r>
          </w:p>
        </w:tc>
        <w:tc>
          <w:tcPr>
            <w:tcW w:type="dxa" w:w="3883"/>
            <w:vAlign w:val="top"/>
            <w:tcMar>
              <w:top w:w="85" w:type="dxa"/>
              <w:bottom w:w="85" w:type="dxa"/>
              <w:left w:w="95" w:type="dxa"/>
              <w:right w:w="95" w:type="dxa"/>
            </w:tcMar>
            <w:shd w:fill="F3F7F9"/>
          </w:tcPr>
          <w:p>
            <w:pPr>
              <w:pStyle w:val="TableText"/>
              <w:keepNext w:val="0"/>
              <w:spacing w:after="20"/>
            </w:pPr>
            <w:r>
              <w:t>menus, menu_items, redirects, seo_overrides</w:t>
            </w:r>
          </w:p>
        </w:tc>
        <w:tc>
          <w:tcPr>
            <w:tcW w:type="dxa" w:w="3687"/>
            <w:vAlign w:val="top"/>
            <w:tcMar>
              <w:top w:w="85" w:type="dxa"/>
              <w:bottom w:w="85" w:type="dxa"/>
              <w:left w:w="95" w:type="dxa"/>
              <w:right w:w="95" w:type="dxa"/>
            </w:tcMar>
            <w:shd w:fill="F3F7F9"/>
          </w:tcPr>
          <w:p>
            <w:pPr>
              <w:pStyle w:val="TableText"/>
              <w:keepNext w:val="0"/>
              <w:spacing w:after="20"/>
            </w:pPr>
            <w:r>
              <w:t>No redirect loops; permitted status codes; internal link references; canonical/index policy.</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Media</w:t>
            </w:r>
          </w:p>
        </w:tc>
        <w:tc>
          <w:tcPr>
            <w:tcW w:type="dxa" w:w="3883"/>
            <w:vAlign w:val="top"/>
            <w:tcMar>
              <w:top w:w="85" w:type="dxa"/>
              <w:bottom w:w="85" w:type="dxa"/>
              <w:left w:w="95" w:type="dxa"/>
              <w:right w:w="95" w:type="dxa"/>
            </w:tcMar>
            <w:shd w:fill="FFFFFF"/>
          </w:tcPr>
          <w:p>
            <w:pPr>
              <w:pStyle w:val="TableText"/>
              <w:keepNext w:val="0"/>
              <w:spacing w:after="20"/>
            </w:pPr>
            <w:r>
              <w:t>assets, asset_derivatives, asset_usages, upload_jobs</w:t>
            </w:r>
          </w:p>
        </w:tc>
        <w:tc>
          <w:tcPr>
            <w:tcW w:type="dxa" w:w="3687"/>
            <w:vAlign w:val="top"/>
            <w:tcMar>
              <w:top w:w="85" w:type="dxa"/>
              <w:bottom w:w="85" w:type="dxa"/>
              <w:left w:w="95" w:type="dxa"/>
              <w:right w:w="95" w:type="dxa"/>
            </w:tcMar>
            <w:shd w:fill="FFFFFF"/>
          </w:tcPr>
          <w:p>
            <w:pPr>
              <w:pStyle w:val="TableText"/>
              <w:keepNext w:val="0"/>
              <w:spacing w:after="20"/>
            </w:pPr>
            <w:r>
              <w:t>Unique storage keys/checksums as appropriate; quarantine state; protected/public access class.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Forms</w:t>
            </w:r>
          </w:p>
        </w:tc>
        <w:tc>
          <w:tcPr>
            <w:tcW w:type="dxa" w:w="3883"/>
            <w:vAlign w:val="top"/>
            <w:tcMar>
              <w:top w:w="85" w:type="dxa"/>
              <w:bottom w:w="85" w:type="dxa"/>
              <w:left w:w="95" w:type="dxa"/>
              <w:right w:w="95" w:type="dxa"/>
            </w:tcMar>
            <w:shd w:fill="F3F7F9"/>
          </w:tcPr>
          <w:p>
            <w:pPr>
              <w:pStyle w:val="TableText"/>
              <w:keepNext w:val="0"/>
              <w:spacing w:after="20"/>
            </w:pPr>
            <w:r>
              <w:t>forms, form_revisions, submissions, submission_files</w:t>
            </w:r>
          </w:p>
        </w:tc>
        <w:tc>
          <w:tcPr>
            <w:tcW w:type="dxa" w:w="3687"/>
            <w:vAlign w:val="top"/>
            <w:tcMar>
              <w:top w:w="85" w:type="dxa"/>
              <w:bottom w:w="85" w:type="dxa"/>
              <w:left w:w="95" w:type="dxa"/>
              <w:right w:w="95" w:type="dxa"/>
            </w:tcMar>
            <w:shd w:fill="F3F7F9"/>
          </w:tcPr>
          <w:p>
            <w:pPr>
              <w:pStyle w:val="TableText"/>
              <w:keepNext w:val="0"/>
              <w:spacing w:after="20"/>
            </w:pPr>
            <w:r>
              <w:t>Each submission references the exact form revision; schema validated; idempotency scoped.</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CRM</w:t>
            </w:r>
          </w:p>
        </w:tc>
        <w:tc>
          <w:tcPr>
            <w:tcW w:type="dxa" w:w="3883"/>
            <w:vAlign w:val="top"/>
            <w:tcMar>
              <w:top w:w="85" w:type="dxa"/>
              <w:bottom w:w="85" w:type="dxa"/>
              <w:left w:w="95" w:type="dxa"/>
              <w:right w:w="95" w:type="dxa"/>
            </w:tcMar>
            <w:shd w:fill="FFFFFF"/>
          </w:tcPr>
          <w:p>
            <w:pPr>
              <w:pStyle w:val="TableText"/>
              <w:keepNext w:val="0"/>
              <w:spacing w:after="20"/>
            </w:pPr>
            <w:r>
              <w:t>leads, lead_contacts, lead_stages, lead_activities, assignments</w:t>
            </w:r>
          </w:p>
        </w:tc>
        <w:tc>
          <w:tcPr>
            <w:tcW w:type="dxa" w:w="3687"/>
            <w:vAlign w:val="top"/>
            <w:tcMar>
              <w:top w:w="85" w:type="dxa"/>
              <w:bottom w:w="85" w:type="dxa"/>
              <w:left w:w="95" w:type="dxa"/>
              <w:right w:w="95" w:type="dxa"/>
            </w:tcMar>
            <w:shd w:fill="FFFFFF"/>
          </w:tcPr>
          <w:p>
            <w:pPr>
              <w:pStyle w:val="TableText"/>
              <w:keepNext w:val="0"/>
              <w:spacing w:after="20"/>
            </w:pPr>
            <w:r>
              <w:t>Protected PII; auditable transitions; multiple enquiries allowed; controlled merge rules.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Privacy</w:t>
            </w:r>
          </w:p>
        </w:tc>
        <w:tc>
          <w:tcPr>
            <w:tcW w:type="dxa" w:w="3883"/>
            <w:vAlign w:val="top"/>
            <w:tcMar>
              <w:top w:w="85" w:type="dxa"/>
              <w:bottom w:w="85" w:type="dxa"/>
              <w:left w:w="95" w:type="dxa"/>
              <w:right w:w="95" w:type="dxa"/>
            </w:tcMar>
            <w:shd w:fill="F3F7F9"/>
          </w:tcPr>
          <w:p>
            <w:pPr>
              <w:pStyle w:val="TableText"/>
              <w:keepNext w:val="0"/>
              <w:spacing w:after="20"/>
            </w:pPr>
            <w:r>
              <w:t>consent_records, policy_versions, privacy_requests, suppressions</w:t>
            </w:r>
          </w:p>
        </w:tc>
        <w:tc>
          <w:tcPr>
            <w:tcW w:type="dxa" w:w="3687"/>
            <w:vAlign w:val="top"/>
            <w:tcMar>
              <w:top w:w="85" w:type="dxa"/>
              <w:bottom w:w="85" w:type="dxa"/>
              <w:left w:w="95" w:type="dxa"/>
              <w:right w:w="95" w:type="dxa"/>
            </w:tcMar>
            <w:shd w:fill="F3F7F9"/>
          </w:tcPr>
          <w:p>
            <w:pPr>
              <w:pStyle w:val="TableText"/>
              <w:keepNext w:val="0"/>
              <w:spacing w:after="20"/>
            </w:pPr>
            <w:r>
              <w:t>Purpose/version evidence; restricted identities; withdrawal/deletion workflow.</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Attribution</w:t>
            </w:r>
          </w:p>
        </w:tc>
        <w:tc>
          <w:tcPr>
            <w:tcW w:type="dxa" w:w="3883"/>
            <w:vAlign w:val="top"/>
            <w:tcMar>
              <w:top w:w="85" w:type="dxa"/>
              <w:bottom w:w="85" w:type="dxa"/>
              <w:left w:w="95" w:type="dxa"/>
              <w:right w:w="95" w:type="dxa"/>
            </w:tcMar>
            <w:shd w:fill="FFFFFF"/>
          </w:tcPr>
          <w:p>
            <w:pPr>
              <w:pStyle w:val="TableText"/>
              <w:keepNext w:val="0"/>
              <w:spacing w:after="20"/>
            </w:pPr>
            <w:r>
              <w:t>sessions, acquisition_touches, identity_links, lead_attribution</w:t>
            </w:r>
          </w:p>
        </w:tc>
        <w:tc>
          <w:tcPr>
            <w:tcW w:type="dxa" w:w="3687"/>
            <w:vAlign w:val="top"/>
            <w:tcMar>
              <w:top w:w="85" w:type="dxa"/>
              <w:bottom w:w="85" w:type="dxa"/>
              <w:left w:w="95" w:type="dxa"/>
              <w:right w:w="95" w:type="dxa"/>
            </w:tcMar>
            <w:shd w:fill="FFFFFF"/>
          </w:tcPr>
          <w:p>
            <w:pPr>
              <w:pStyle w:val="TableText"/>
              <w:keepNext w:val="0"/>
              <w:spacing w:after="20"/>
            </w:pPr>
            <w:r>
              <w:t>Only permitted identities; rule versions; no assumed cross-device identity.</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Events</w:t>
            </w:r>
          </w:p>
        </w:tc>
        <w:tc>
          <w:tcPr>
            <w:tcW w:type="dxa" w:w="3883"/>
            <w:vAlign w:val="top"/>
            <w:tcMar>
              <w:top w:w="85" w:type="dxa"/>
              <w:bottom w:w="85" w:type="dxa"/>
              <w:left w:w="95" w:type="dxa"/>
              <w:right w:w="95" w:type="dxa"/>
            </w:tcMar>
            <w:shd w:fill="F3F7F9"/>
          </w:tcPr>
          <w:p>
            <w:pPr>
              <w:pStyle w:val="TableText"/>
              <w:keepNext w:val="0"/>
              <w:spacing w:after="20"/>
            </w:pPr>
            <w:r>
              <w:t>event_definitions, behavioral_events, outbox_events, destination_deliveries</w:t>
            </w:r>
          </w:p>
        </w:tc>
        <w:tc>
          <w:tcPr>
            <w:tcW w:type="dxa" w:w="3687"/>
            <w:vAlign w:val="top"/>
            <w:tcMar>
              <w:top w:w="85" w:type="dxa"/>
              <w:bottom w:w="85" w:type="dxa"/>
              <w:left w:w="95" w:type="dxa"/>
              <w:right w:w="95" w:type="dxa"/>
            </w:tcMar>
            <w:shd w:fill="F3F7F9"/>
          </w:tcPr>
          <w:p>
            <w:pPr>
              <w:pStyle w:val="TableText"/>
              <w:keepNext w:val="0"/>
              <w:spacing w:after="20"/>
            </w:pPr>
            <w:r>
              <w:t>Stable event IDs; schema validation; distinct trusted business events; deduplication keys.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Integration</w:t>
            </w:r>
          </w:p>
        </w:tc>
        <w:tc>
          <w:tcPr>
            <w:tcW w:type="dxa" w:w="3883"/>
            <w:vAlign w:val="top"/>
            <w:tcMar>
              <w:top w:w="85" w:type="dxa"/>
              <w:bottom w:w="85" w:type="dxa"/>
              <w:left w:w="95" w:type="dxa"/>
              <w:right w:w="95" w:type="dxa"/>
            </w:tcMar>
            <w:shd w:fill="FFFFFF"/>
          </w:tcPr>
          <w:p>
            <w:pPr>
              <w:pStyle w:val="TableText"/>
              <w:keepNext w:val="0"/>
              <w:spacing w:after="20"/>
            </w:pPr>
            <w:r>
              <w:t>integrations, external_mappings, webhook_receipts, sync_cursors</w:t>
            </w:r>
          </w:p>
        </w:tc>
        <w:tc>
          <w:tcPr>
            <w:tcW w:type="dxa" w:w="3687"/>
            <w:vAlign w:val="top"/>
            <w:tcMar>
              <w:top w:w="85" w:type="dxa"/>
              <w:bottom w:w="85" w:type="dxa"/>
              <w:left w:w="95" w:type="dxa"/>
              <w:right w:w="95" w:type="dxa"/>
            </w:tcMar>
            <w:shd w:fill="FFFFFF"/>
          </w:tcPr>
          <w:p>
            <w:pPr>
              <w:pStyle w:val="TableText"/>
              <w:keepNext w:val="0"/>
              <w:spacing w:after="20"/>
            </w:pPr>
            <w:r>
              <w:t>Secrets by reference; unique provider event IDs; scoped mappings; resumable cursors.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Operations</w:t>
            </w:r>
          </w:p>
        </w:tc>
        <w:tc>
          <w:tcPr>
            <w:tcW w:type="dxa" w:w="3883"/>
            <w:vAlign w:val="top"/>
            <w:tcMar>
              <w:top w:w="85" w:type="dxa"/>
              <w:bottom w:w="85" w:type="dxa"/>
              <w:left w:w="95" w:type="dxa"/>
              <w:right w:w="95" w:type="dxa"/>
            </w:tcMar>
            <w:shd w:fill="F3F7F9"/>
          </w:tcPr>
          <w:p>
            <w:pPr>
              <w:pStyle w:val="TableText"/>
              <w:keepNext w:val="0"/>
              <w:spacing w:after="20"/>
            </w:pPr>
            <w:r>
              <w:t>audit_entries, job_runs, export_jobs, retention_runs</w:t>
            </w:r>
          </w:p>
        </w:tc>
        <w:tc>
          <w:tcPr>
            <w:tcW w:type="dxa" w:w="3687"/>
            <w:vAlign w:val="top"/>
            <w:tcMar>
              <w:top w:w="85" w:type="dxa"/>
              <w:bottom w:w="85" w:type="dxa"/>
              <w:left w:w="95" w:type="dxa"/>
              <w:right w:w="95" w:type="dxa"/>
            </w:tcMar>
            <w:shd w:fill="F3F7F9"/>
          </w:tcPr>
          <w:p>
            <w:pPr>
              <w:pStyle w:val="TableText"/>
              <w:keepNext w:val="0"/>
              <w:spacing w:after="20"/>
            </w:pPr>
            <w:r>
              <w:t>Append-oriented audit; actor and reason; recorded outcomes; restricted exports.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Optional commerce</w:t>
            </w:r>
          </w:p>
        </w:tc>
        <w:tc>
          <w:tcPr>
            <w:tcW w:type="dxa" w:w="3883"/>
            <w:vAlign w:val="top"/>
            <w:tcMar>
              <w:top w:w="85" w:type="dxa"/>
              <w:bottom w:w="85" w:type="dxa"/>
              <w:left w:w="95" w:type="dxa"/>
              <w:right w:w="95" w:type="dxa"/>
            </w:tcMar>
            <w:shd w:fill="FFFFFF"/>
          </w:tcPr>
          <w:p>
            <w:pPr>
              <w:pStyle w:val="TableText"/>
              <w:keepNext w:val="0"/>
              <w:spacing w:after="20"/>
            </w:pPr>
            <w:r>
              <w:t>products, prices, orders, order_lines, payments, refunds, subscriptions</w:t>
            </w:r>
          </w:p>
        </w:tc>
        <w:tc>
          <w:tcPr>
            <w:tcW w:type="dxa" w:w="3687"/>
            <w:vAlign w:val="top"/>
            <w:tcMar>
              <w:top w:w="85" w:type="dxa"/>
              <w:bottom w:w="85" w:type="dxa"/>
              <w:left w:w="95" w:type="dxa"/>
              <w:right w:w="95" w:type="dxa"/>
            </w:tcMar>
            <w:shd w:fill="FFFFFF"/>
          </w:tcPr>
          <w:p>
            <w:pPr>
              <w:pStyle w:val="TableText"/>
              <w:keepNext w:val="0"/>
              <w:spacing w:after="20"/>
            </w:pPr>
            <w:r>
              <w:t>Exact-money representation; server pricing; immutable order snapshots; verified payment states.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Optional booking</w:t>
            </w:r>
          </w:p>
        </w:tc>
        <w:tc>
          <w:tcPr>
            <w:tcW w:type="dxa" w:w="3883"/>
            <w:vAlign w:val="top"/>
            <w:tcMar>
              <w:top w:w="85" w:type="dxa"/>
              <w:bottom w:w="85" w:type="dxa"/>
              <w:left w:w="95" w:type="dxa"/>
              <w:right w:w="95" w:type="dxa"/>
            </w:tcMar>
            <w:shd w:fill="F3F7F9"/>
          </w:tcPr>
          <w:p>
            <w:pPr>
              <w:pStyle w:val="TableText"/>
              <w:keepNext w:val="0"/>
              <w:spacing w:after="20"/>
            </w:pPr>
            <w:r>
              <w:t>resources, availability, holds, bookings, cancellations</w:t>
            </w:r>
          </w:p>
        </w:tc>
        <w:tc>
          <w:tcPr>
            <w:tcW w:type="dxa" w:w="3687"/>
            <w:vAlign w:val="top"/>
            <w:tcMar>
              <w:top w:w="85" w:type="dxa"/>
              <w:bottom w:w="85" w:type="dxa"/>
              <w:left w:w="95" w:type="dxa"/>
              <w:right w:w="95" w:type="dxa"/>
            </w:tcMar>
            <w:shd w:fill="F3F7F9"/>
          </w:tcPr>
          <w:p>
            <w:pPr>
              <w:pStyle w:val="TableText"/>
              <w:keepNext w:val="0"/>
              <w:spacing w:after="20"/>
            </w:pPr>
            <w:r>
              <w:t>Capacity concurrency protection; timezone metadata; unique provider references.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Optional portal</w:t>
            </w:r>
          </w:p>
        </w:tc>
        <w:tc>
          <w:tcPr>
            <w:tcW w:type="dxa" w:w="3883"/>
            <w:vAlign w:val="top"/>
            <w:tcMar>
              <w:top w:w="85" w:type="dxa"/>
              <w:bottom w:w="85" w:type="dxa"/>
              <w:left w:w="95" w:type="dxa"/>
              <w:right w:w="95" w:type="dxa"/>
            </w:tcMar>
            <w:shd w:fill="FFFFFF"/>
          </w:tcPr>
          <w:p>
            <w:pPr>
              <w:pStyle w:val="TableText"/>
              <w:keepNext w:val="0"/>
              <w:spacing w:after="20"/>
            </w:pPr>
            <w:r>
              <w:t>customer_accounts, entitlements, documents, access_grants</w:t>
            </w:r>
          </w:p>
        </w:tc>
        <w:tc>
          <w:tcPr>
            <w:tcW w:type="dxa" w:w="3687"/>
            <w:vAlign w:val="top"/>
            <w:tcMar>
              <w:top w:w="85" w:type="dxa"/>
              <w:bottom w:w="85" w:type="dxa"/>
              <w:left w:w="95" w:type="dxa"/>
              <w:right w:w="95" w:type="dxa"/>
            </w:tcMar>
            <w:shd w:fill="FFFFFF"/>
          </w:tcPr>
          <w:p>
            <w:pPr>
              <w:pStyle w:val="TableText"/>
              <w:keepNext w:val="0"/>
              <w:spacing w:after="20"/>
            </w:pPr>
            <w:r>
              <w:t>Object-level authorization; expiry/revocation; no public access by guessed IDs.</w:t>
            </w:r>
          </w:p>
        </w:tc>
      </w:tr>
    </w:tbl>
    <w:p>
      <w:pPr>
        <w:spacing w:after="0"/>
      </w:pPr>
    </w:p>
    <w:p>
      <w:pPr>
        <w:pStyle w:val="Heading2"/>
      </w:pPr>
      <w:r>
        <w:t>22.3 Keys, indexes, and consistency</w:t>
      </w:r>
    </w:p>
    <w:p>
      <w:r>
        <w:t>Prefer opaque stable IDs, timestamptz timestamps, explicit currency codes, and exact numeric or minor-unit representations for money. Never use floating-point arithmetic for financial totals. Keep business occurrence time separate from ingestion and update times. Record created_by/updated_by where relevant and use optimistic concurrency versions for editable records.</w:t>
      </w:r>
    </w:p>
    <w:p>
      <w:r>
        <w:t>Create composite uniqueness for route identity, external mapping identity, idempotency keys, and provider webhook IDs. Add indexes based on actual queries: published route lookup, lead stage/assignee/date, job status/available_at, event occurrence time, and tenant/site scoping. Use keyset pagination for large changing lists. Measure query plans and avoid indexing every JSON property blindly.</w:t>
      </w:r>
    </w:p>
    <w:p>
      <w:r>
        <w:t xml:space="preserve">Use foreign keys and transactions to protect relationships. For shared multi-site data, make cross-site links impossible through composite scoping constraints where practical. Row-level security can add protection, but PostgreSQL's ownership and privileged-role behavior must be understood. Run application queries under restricted non-owner roles and test isolation, including background jobs and exports. </w:t>
      </w:r>
      <w:hyperlink w:anchor="ref_R33">
        <w:r>
          <w:rPr>
            <w:color w:val="087F83"/>
            <w:rFonts w:ascii="Lato" w:hAnsi="Lato"/>
            <w:sz w:val="19"/>
          </w:rPr>
          <w:t>[R33]</w:t>
        </w:r>
      </w:hyperlink>
      <w:r/>
    </w:p>
    <w:p>
      <w:pPr>
        <w:pStyle w:val="Heading2"/>
      </w:pPr>
      <w:r>
        <w:t>22.4 Example relational invariant</w:t>
      </w:r>
    </w:p>
    <w:p>
      <w:r>
        <w:t>The live page is a stable identity; its published revision is a pointer to an immutable revision belonging to that same page and site. Publishing must not allow a revision from another site to become live. Deleting a referenced live revision is prohibited. Archiving a page changes routing and sitemap state deliberately rather than deleting history unexpectedly.</w:t>
      </w:r>
    </w:p>
    <w:p>
      <w:r>
        <w:t>For a lead, commit the submission, lead, and outbox event together. A notification record can fail later without removing the lead. For an order, store a snapshot of line items, amounts, taxes, discounts, and terms used at purchase; later CMS pricing edits do not rewrite historical orders.</w:t>
      </w:r>
    </w:p>
    <w:p>
      <w:pPr>
        <w:pStyle w:val="Heading2"/>
      </w:pPr>
      <w:r>
        <w:t>22.5 Analytics scale and retention</w:t>
      </w:r>
    </w:p>
    <w:p>
      <w:r>
        <w:t>Start with modest, bounded event storage only when volume fits the primary system's performance budget. Separate ingestion/query credentials and consider time partitions. At growth, move behavioral analytics into a dedicated analytical store/warehouse without changing the business event contract. Do not allow expensive funnel queries to starve lead submissions.</w:t>
      </w:r>
    </w:p>
    <w:p>
      <w:r>
        <w:t>Retention jobs must cover primary tables, object storage, exports, derived reports, integration queues, and backups according to the approved policy. Mark legal holds explicitly. Test deletion and restoration together: restoring a backup must not permanently resurrect records that were lawfully deleted after the backup was taken.</w:t>
      </w:r>
    </w:p>
    <w:p>
      <w:pPr>
        <w:pStyle w:val="Heading2"/>
        <w:keepNext/>
        <w:widowControl/>
      </w:pPr>
      <w:r>
        <w:t>22.6 Protected deletion and context schemas</w:t>
      </w:r>
    </w:p>
    <w:p>
      <w:pPr>
        <w:widowControl/>
      </w:pPr>
      <w:r>
        <w:t>Extend this catalogue using Chapter 40: experiment versions/variants/assignments/exposures, campaign links, restricted click/IP/location context, conversations/messages, scoped context links, deletion manifests/approvals/operations and independently exported audit batches. Enforce compound site scoping, restricted source-content deletion privileges, manual state transitions and non-cascading audit/tombstone references. Do not add automatic expiry to posts, revisions or trash.</w:t>
      </w:r>
    </w:p>
    <w:p>
      <w:pPr>
        <w:pStyle w:val="Heading3"/>
      </w:pPr>
      <w:r>
        <w:t>Version 1.2 integration</w:t>
      </w:r>
    </w:p>
    <w:p>
      <w:pPr/>
      <w:r>
        <w:t>Chapters 44–55 and 63 add versioned collection/release/workflow/segment/audience/feed/report entities. Appendix J defines representative relational keys and contracts. Each requires scoped integrity, access/retention and migration evidence.</w:t>
      </w:r>
    </w:p>
    <w:p>
      <w:pPr>
        <w:pStyle w:val="Heading1"/>
        <w:pageBreakBefore w:val="0"/>
        <w:spacing w:before="400"/>
        <w:pBdr>
          <w:bottom w:val="single" w:sz="8" w:color="087F83" w:space="8"/>
        </w:pBdr>
      </w:pPr>
      <w:bookmarkStart w:id="25" w:name="chapter_23"/>
      <w:bookmarkStart w:id="282" w:name="v12_ch23"/>
      <w:r>
        <w:t>23 | REST, GraphQL, SOAP, and webhook contracts</w:t>
      </w:r>
      <w:bookmarkEnd w:id="25"/>
      <w:bookmarkEnd w:id="282"/>
      <w:bookmarkStart w:id="573" w:name="tocfinal_ch_23"/>
      <w:bookmarkEnd w:id="573"/>
    </w:p>
    <w:p>
      <w:pPr>
        <w:pStyle w:val="Heading2"/>
      </w:pPr>
      <w:r>
        <w:t>23.1 Protocol policy</w:t>
      </w:r>
    </w:p>
    <w:p>
      <w:r>
        <w:t>REST with OpenAPI is the default contract for website operations and integrations. Use consistent resource naming, typed schemas, authentication rules, error structures, pagination, idempotency, and versioning. Generate client types from the approved contract and test compatibility in CI.</w:t>
      </w:r>
    </w:p>
    <w:p>
      <w:r>
        <w:t>GraphQL is optional for clients that genuinely need flexible composition. It must call the same application services and authorization rules as REST, not create parallel business logic. Enforce field/object authorization, complexity/depth budgets, pagination limits, batching controls, and appropriate caching. Prefer approved/persisted operations for controlled clients where useful.</w:t>
      </w:r>
    </w:p>
    <w:p>
      <w:r>
        <w:t>SOAP is a separate adapter for a real legacy system with a supplied WSDL/XSD and required authentication policy. Validate messages, disable unsafe external entity resolution, cap XML size/depth, and map faults into internal error categories. Do not expose SOAP simply to claim all API styles are present.</w:t>
      </w:r>
    </w:p>
    <w:p>
      <w:pPr>
        <w:pStyle w:val="Heading2"/>
      </w:pPr>
      <w:r>
        <w:t>23.2 Core endpoint inventory</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Endpoint</w:t>
            </w:r>
          </w:p>
        </w:tc>
        <w:tc>
          <w:tcPr>
            <w:tcW w:type="dxa" w:w="7029"/>
            <w:vAlign w:val="top"/>
            <w:tcMar>
              <w:top w:w="85" w:type="dxa"/>
              <w:bottom w:w="85" w:type="dxa"/>
              <w:left w:w="95" w:type="dxa"/>
              <w:right w:w="95" w:type="dxa"/>
            </w:tcMar>
            <w:shd w:fill="163349"/>
          </w:tcPr>
          <w:p>
            <w:pPr>
              <w:pStyle w:val="TableText"/>
              <w:keepNext/>
              <w:spacing w:after="20"/>
            </w:pPr>
            <w:r>
              <w:rPr>
                <w:b/>
                <w:color w:val="FFFFFF"/>
              </w:rPr>
              <w:t>Role and contract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GET /v1/public/site</w:t>
            </w:r>
          </w:p>
        </w:tc>
        <w:tc>
          <w:tcPr>
            <w:tcW w:type="dxa" w:w="7029"/>
            <w:vAlign w:val="top"/>
            <w:tcMar>
              <w:top w:w="85" w:type="dxa"/>
              <w:bottom w:w="85" w:type="dxa"/>
              <w:left w:w="95" w:type="dxa"/>
              <w:right w:w="95" w:type="dxa"/>
            </w:tcMar>
            <w:shd w:fill="FFFFFF"/>
          </w:tcPr>
          <w:p>
            <w:pPr>
              <w:pStyle w:val="TableText"/>
              <w:keepNext w:val="0"/>
              <w:spacing w:after="20"/>
            </w:pPr>
            <w:r>
              <w:t>Public-safe site configuration only; no credentials or unpublished settings.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GET /v1/public/pages/by-path</w:t>
            </w:r>
          </w:p>
        </w:tc>
        <w:tc>
          <w:tcPr>
            <w:tcW w:type="dxa" w:w="7029"/>
            <w:vAlign w:val="top"/>
            <w:tcMar>
              <w:top w:w="85" w:type="dxa"/>
              <w:bottom w:w="85" w:type="dxa"/>
              <w:left w:w="95" w:type="dxa"/>
              <w:right w:w="95" w:type="dxa"/>
            </w:tcMar>
            <w:shd w:fill="F3F7F9"/>
          </w:tcPr>
          <w:p>
            <w:pPr>
              <w:pStyle w:val="TableText"/>
              <w:keepNext w:val="0"/>
              <w:spacing w:after="20"/>
            </w:pPr>
            <w:r>
              <w:t>Published page for validated site/locale/path; deterministic revision and cache policy.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GET /v1/public/posts</w:t>
            </w:r>
          </w:p>
        </w:tc>
        <w:tc>
          <w:tcPr>
            <w:tcW w:type="dxa" w:w="7029"/>
            <w:vAlign w:val="top"/>
            <w:tcMar>
              <w:top w:w="85" w:type="dxa"/>
              <w:bottom w:w="85" w:type="dxa"/>
              <w:left w:w="95" w:type="dxa"/>
              <w:right w:w="95" w:type="dxa"/>
            </w:tcMar>
            <w:shd w:fill="FFFFFF"/>
          </w:tcPr>
          <w:p>
            <w:pPr>
              <w:pStyle w:val="TableText"/>
              <w:keepNext w:val="0"/>
              <w:spacing w:after="20"/>
            </w:pPr>
            <w:r>
              <w:t>Published, paginated content with controlled filters.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GET /v1/public/forms/{id}</w:t>
            </w:r>
          </w:p>
        </w:tc>
        <w:tc>
          <w:tcPr>
            <w:tcW w:type="dxa" w:w="7029"/>
            <w:vAlign w:val="top"/>
            <w:tcMar>
              <w:top w:w="85" w:type="dxa"/>
              <w:bottom w:w="85" w:type="dxa"/>
              <w:left w:w="95" w:type="dxa"/>
              <w:right w:w="95" w:type="dxa"/>
            </w:tcMar>
            <w:shd w:fill="F3F7F9"/>
          </w:tcPr>
          <w:p>
            <w:pPr>
              <w:pStyle w:val="TableText"/>
              <w:keepNext w:val="0"/>
              <w:spacing w:after="20"/>
            </w:pPr>
            <w:r>
              <w:t>Public approved form schema/revision; excludes internal routing and secret rules.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/v1/forms/{id}/submissions</w:t>
            </w:r>
          </w:p>
        </w:tc>
        <w:tc>
          <w:tcPr>
            <w:tcW w:type="dxa" w:w="7029"/>
            <w:vAlign w:val="top"/>
            <w:tcMar>
              <w:top w:w="85" w:type="dxa"/>
              <w:bottom w:w="85" w:type="dxa"/>
              <w:left w:w="95" w:type="dxa"/>
              <w:right w:w="95" w:type="dxa"/>
            </w:tcMar>
            <w:shd w:fill="FFFFFF"/>
          </w:tcPr>
          <w:p>
            <w:pPr>
              <w:pStyle w:val="TableText"/>
              <w:keepNext w:val="0"/>
              <w:spacing w:after="20"/>
            </w:pPr>
            <w:r>
              <w:t>Validated lead creation with Idempotency-Key; public anti-abuse controls.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/v1/events</w:t>
            </w:r>
          </w:p>
        </w:tc>
        <w:tc>
          <w:tcPr>
            <w:tcW w:type="dxa" w:w="7029"/>
            <w:vAlign w:val="top"/>
            <w:tcMar>
              <w:top w:w="85" w:type="dxa"/>
              <w:bottom w:w="85" w:type="dxa"/>
              <w:left w:w="95" w:type="dxa"/>
              <w:right w:w="95" w:type="dxa"/>
            </w:tcMar>
            <w:shd w:fill="F3F7F9"/>
          </w:tcPr>
          <w:p>
            <w:pPr>
              <w:pStyle w:val="TableText"/>
              <w:keepNext w:val="0"/>
              <w:spacing w:after="20"/>
            </w:pPr>
            <w:r>
              <w:t>Allowlisted behavioral collection; cannot assert trusted business outcomes.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/v1/consent/choices</w:t>
            </w:r>
          </w:p>
        </w:tc>
        <w:tc>
          <w:tcPr>
            <w:tcW w:type="dxa" w:w="7029"/>
            <w:vAlign w:val="top"/>
            <w:tcMar>
              <w:top w:w="85" w:type="dxa"/>
              <w:bottom w:w="85" w:type="dxa"/>
              <w:left w:w="95" w:type="dxa"/>
              <w:right w:w="95" w:type="dxa"/>
            </w:tcMar>
            <w:shd w:fill="FFFFFF"/>
          </w:tcPr>
          <w:p>
            <w:pPr>
              <w:pStyle w:val="TableText"/>
              <w:keepNext w:val="0"/>
              <w:spacing w:after="20"/>
            </w:pPr>
            <w:r>
              <w:t>Record applicable preference evidence; protected against abuse; no unrelated tags triggered.</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/v1/auth/login</w:t>
            </w:r>
          </w:p>
        </w:tc>
        <w:tc>
          <w:tcPr>
            <w:tcW w:type="dxa" w:w="7029"/>
            <w:vAlign w:val="top"/>
            <w:tcMar>
              <w:top w:w="85" w:type="dxa"/>
              <w:bottom w:w="85" w:type="dxa"/>
              <w:left w:w="95" w:type="dxa"/>
              <w:right w:w="95" w:type="dxa"/>
            </w:tcMar>
            <w:shd w:fill="F3F7F9"/>
          </w:tcPr>
          <w:p>
            <w:pPr>
              <w:pStyle w:val="TableText"/>
              <w:keepNext w:val="0"/>
              <w:spacing w:after="20"/>
            </w:pPr>
            <w:r>
              <w:t>Rate-limited staff/customer authentication with secure session handling.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/v1/auth/logout</w:t>
            </w:r>
          </w:p>
        </w:tc>
        <w:tc>
          <w:tcPr>
            <w:tcW w:type="dxa" w:w="7029"/>
            <w:vAlign w:val="top"/>
            <w:tcMar>
              <w:top w:w="85" w:type="dxa"/>
              <w:bottom w:w="85" w:type="dxa"/>
              <w:left w:w="95" w:type="dxa"/>
              <w:right w:w="95" w:type="dxa"/>
            </w:tcMar>
            <w:shd w:fill="FFFFFF"/>
          </w:tcPr>
          <w:p>
            <w:pPr>
              <w:pStyle w:val="TableText"/>
              <w:keepNext w:val="0"/>
              <w:spacing w:after="20"/>
            </w:pPr>
            <w:r>
              <w:t>Revoke applicable server session and expire client credential.</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GET /v1/admin/pages</w:t>
            </w:r>
          </w:p>
        </w:tc>
        <w:tc>
          <w:tcPr>
            <w:tcW w:type="dxa" w:w="7029"/>
            <w:vAlign w:val="top"/>
            <w:tcMar>
              <w:top w:w="85" w:type="dxa"/>
              <w:bottom w:w="85" w:type="dxa"/>
              <w:left w:w="95" w:type="dxa"/>
              <w:right w:w="95" w:type="dxa"/>
            </w:tcMar>
            <w:shd w:fill="F3F7F9"/>
          </w:tcPr>
          <w:p>
            <w:pPr>
              <w:pStyle w:val="TableText"/>
              <w:keepNext w:val="0"/>
              <w:spacing w:after="20"/>
            </w:pPr>
            <w:r>
              <w:t>Authorized filtered content listing.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/v1/admin/pages</w:t>
            </w:r>
          </w:p>
        </w:tc>
        <w:tc>
          <w:tcPr>
            <w:tcW w:type="dxa" w:w="7029"/>
            <w:vAlign w:val="top"/>
            <w:tcMar>
              <w:top w:w="85" w:type="dxa"/>
              <w:bottom w:w="85" w:type="dxa"/>
              <w:left w:w="95" w:type="dxa"/>
              <w:right w:w="95" w:type="dxa"/>
            </w:tcMar>
            <w:shd w:fill="FFFFFF"/>
          </w:tcPr>
          <w:p>
            <w:pPr>
              <w:pStyle w:val="TableText"/>
              <w:keepNext w:val="0"/>
              <w:spacing w:after="20"/>
            </w:pPr>
            <w:r>
              <w:t>Create draft with scoped route uniqueness and audit.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PATCH /v1/admin/pages/{id}/draft</w:t>
            </w:r>
          </w:p>
        </w:tc>
        <w:tc>
          <w:tcPr>
            <w:tcW w:type="dxa" w:w="7029"/>
            <w:vAlign w:val="top"/>
            <w:tcMar>
              <w:top w:w="85" w:type="dxa"/>
              <w:bottom w:w="85" w:type="dxa"/>
              <w:left w:w="95" w:type="dxa"/>
              <w:right w:w="95" w:type="dxa"/>
            </w:tcMar>
            <w:shd w:fill="F3F7F9"/>
          </w:tcPr>
          <w:p>
            <w:pPr>
              <w:pStyle w:val="TableText"/>
              <w:keepNext w:val="0"/>
              <w:spacing w:after="20"/>
            </w:pPr>
            <w:r>
              <w:t>Optimistic concurrency using expected version or If-Match.</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/v1/admin/pages/{id}/submit-review</w:t>
            </w:r>
          </w:p>
        </w:tc>
        <w:tc>
          <w:tcPr>
            <w:tcW w:type="dxa" w:w="7029"/>
            <w:vAlign w:val="top"/>
            <w:tcMar>
              <w:top w:w="85" w:type="dxa"/>
              <w:bottom w:w="85" w:type="dxa"/>
              <w:left w:w="95" w:type="dxa"/>
              <w:right w:w="95" w:type="dxa"/>
            </w:tcMar>
            <w:shd w:fill="FFFFFF"/>
          </w:tcPr>
          <w:p>
            <w:pPr>
              <w:pStyle w:val="TableText"/>
              <w:keepNext w:val="0"/>
              <w:spacing w:after="20"/>
            </w:pPr>
            <w:r>
              <w:t>Validate workflow transition and reviewer assignment.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/v1/admin/pages/{id}/publish</w:t>
            </w:r>
          </w:p>
        </w:tc>
        <w:tc>
          <w:tcPr>
            <w:tcW w:type="dxa" w:w="7029"/>
            <w:vAlign w:val="top"/>
            <w:tcMar>
              <w:top w:w="85" w:type="dxa"/>
              <w:bottom w:w="85" w:type="dxa"/>
              <w:left w:w="95" w:type="dxa"/>
              <w:right w:w="95" w:type="dxa"/>
            </w:tcMar>
            <w:shd w:fill="F3F7F9"/>
          </w:tcPr>
          <w:p>
            <w:pPr>
              <w:pStyle w:val="TableText"/>
              <w:keepNext w:val="0"/>
              <w:spacing w:after="20"/>
            </w:pPr>
            <w:r>
              <w:t>Authorized publish request, immutable revision, outbox, audit.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/v1/admin/pages/{id}/rollback</w:t>
            </w:r>
          </w:p>
        </w:tc>
        <w:tc>
          <w:tcPr>
            <w:tcW w:type="dxa" w:w="7029"/>
            <w:vAlign w:val="top"/>
            <w:tcMar>
              <w:top w:w="85" w:type="dxa"/>
              <w:bottom w:w="85" w:type="dxa"/>
              <w:left w:w="95" w:type="dxa"/>
              <w:right w:w="95" w:type="dxa"/>
            </w:tcMar>
            <w:shd w:fill="FFFFFF"/>
          </w:tcPr>
          <w:p>
            <w:pPr>
              <w:pStyle w:val="TableText"/>
              <w:keepNext w:val="0"/>
              <w:spacing w:after="20"/>
            </w:pPr>
            <w:r>
              <w:t>Publish compatible earlier revision as audited new action.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/v1/admin/media/uploads</w:t>
            </w:r>
          </w:p>
        </w:tc>
        <w:tc>
          <w:tcPr>
            <w:tcW w:type="dxa" w:w="7029"/>
            <w:vAlign w:val="top"/>
            <w:tcMar>
              <w:top w:w="85" w:type="dxa"/>
              <w:bottom w:w="85" w:type="dxa"/>
              <w:left w:w="95" w:type="dxa"/>
              <w:right w:w="95" w:type="dxa"/>
            </w:tcMar>
            <w:shd w:fill="F3F7F9"/>
          </w:tcPr>
          <w:p>
            <w:pPr>
              <w:pStyle w:val="TableText"/>
              <w:keepNext w:val="0"/>
              <w:spacing w:after="20"/>
            </w:pPr>
            <w:r>
              <w:t>Authorize scoped upload; return bounded signed upload policy.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GET /v1/admin/leads</w:t>
            </w:r>
          </w:p>
        </w:tc>
        <w:tc>
          <w:tcPr>
            <w:tcW w:type="dxa" w:w="7029"/>
            <w:vAlign w:val="top"/>
            <w:tcMar>
              <w:top w:w="85" w:type="dxa"/>
              <w:bottom w:w="85" w:type="dxa"/>
              <w:left w:w="95" w:type="dxa"/>
              <w:right w:w="95" w:type="dxa"/>
            </w:tcMar>
            <w:shd w:fill="FFFFFF"/>
          </w:tcPr>
          <w:p>
            <w:pPr>
              <w:pStyle w:val="TableText"/>
              <w:keepNext w:val="0"/>
              <w:spacing w:after="20"/>
            </w:pPr>
            <w:r>
              <w:t>Permission-filtered paginated lead list; sensitive fields minimized.</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/v1/admin/leads/{id}/transitions</w:t>
            </w:r>
          </w:p>
        </w:tc>
        <w:tc>
          <w:tcPr>
            <w:tcW w:type="dxa" w:w="7029"/>
            <w:vAlign w:val="top"/>
            <w:tcMar>
              <w:top w:w="85" w:type="dxa"/>
              <w:bottom w:w="85" w:type="dxa"/>
              <w:left w:w="95" w:type="dxa"/>
              <w:right w:w="95" w:type="dxa"/>
            </w:tcMar>
            <w:shd w:fill="F3F7F9"/>
          </w:tcPr>
          <w:p>
            <w:pPr>
              <w:pStyle w:val="TableText"/>
              <w:keepNext w:val="0"/>
              <w:spacing w:after="20"/>
            </w:pPr>
            <w:r>
              <w:t>Validate stage transition, actor, reason, and conversion side effects.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/v1/admin/exports</w:t>
            </w:r>
          </w:p>
        </w:tc>
        <w:tc>
          <w:tcPr>
            <w:tcW w:type="dxa" w:w="7029"/>
            <w:vAlign w:val="top"/>
            <w:tcMar>
              <w:top w:w="85" w:type="dxa"/>
              <w:bottom w:w="85" w:type="dxa"/>
              <w:left w:w="95" w:type="dxa"/>
              <w:right w:w="95" w:type="dxa"/>
            </w:tcMar>
            <w:shd w:fill="FFFFFF"/>
          </w:tcPr>
          <w:p>
            <w:pPr>
              <w:pStyle w:val="TableText"/>
              <w:keepNext w:val="0"/>
              <w:spacing w:after="20"/>
            </w:pPr>
            <w:r>
              <w:t>Authorized asynchronous export with expiry and access audit.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/v1/privacy/requests</w:t>
            </w:r>
          </w:p>
        </w:tc>
        <w:tc>
          <w:tcPr>
            <w:tcW w:type="dxa" w:w="7029"/>
            <w:vAlign w:val="top"/>
            <w:tcMar>
              <w:top w:w="85" w:type="dxa"/>
              <w:bottom w:w="85" w:type="dxa"/>
              <w:left w:w="95" w:type="dxa"/>
              <w:right w:w="95" w:type="dxa"/>
            </w:tcMar>
            <w:shd w:fill="F3F7F9"/>
          </w:tcPr>
          <w:p>
            <w:pPr>
              <w:pStyle w:val="TableText"/>
              <w:keepNext w:val="0"/>
              <w:spacing w:after="20"/>
            </w:pPr>
            <w:r>
              <w:t>Verified-rights workflow; do not leak whether an email has an account.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POST /v1/webhooks/{provider}</w:t>
            </w:r>
          </w:p>
        </w:tc>
        <w:tc>
          <w:tcPr>
            <w:tcW w:type="dxa" w:w="7029"/>
            <w:vAlign w:val="top"/>
            <w:tcMar>
              <w:top w:w="85" w:type="dxa"/>
              <w:bottom w:w="85" w:type="dxa"/>
              <w:left w:w="95" w:type="dxa"/>
              <w:right w:w="95" w:type="dxa"/>
            </w:tcMar>
            <w:shd w:fill="FFFFFF"/>
          </w:tcPr>
          <w:p>
            <w:pPr>
              <w:pStyle w:val="TableText"/>
              <w:keepNext w:val="0"/>
              <w:spacing w:after="20"/>
            </w:pPr>
            <w:r>
              <w:t>Provider-specific signature verification, durable receipt, deduplication.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GET /health/live and /health/ready</w:t>
            </w:r>
          </w:p>
        </w:tc>
        <w:tc>
          <w:tcPr>
            <w:tcW w:type="dxa" w:w="7029"/>
            <w:vAlign w:val="top"/>
            <w:tcMar>
              <w:top w:w="85" w:type="dxa"/>
              <w:bottom w:w="85" w:type="dxa"/>
              <w:left w:w="95" w:type="dxa"/>
              <w:right w:w="95" w:type="dxa"/>
            </w:tcMar>
            <w:shd w:fill="F3F7F9"/>
          </w:tcPr>
          <w:p>
            <w:pPr>
              <w:pStyle w:val="TableText"/>
              <w:keepNext w:val="0"/>
              <w:spacing w:after="20"/>
            </w:pPr>
            <w:r>
              <w:t>Minimal liveness/readiness for operations; no public secrets or detailed topology.</w:t>
            </w:r>
          </w:p>
        </w:tc>
      </w:tr>
    </w:tbl>
    <w:p>
      <w:pPr>
        <w:spacing w:after="0"/>
      </w:pPr>
    </w:p>
    <w:p>
      <w:r>
        <w:t>Do not trust a browser-supplied site_id to grant access. Resolve the allowed site from deployment/domain configuration and authenticated membership, and validate any requested scope. Keep administrative and public content access paths separate even when they share the same deployment.</w:t>
      </w:r>
    </w:p>
    <w:p>
      <w:pPr>
        <w:pStyle w:val="Heading2"/>
      </w:pPr>
      <w:r>
        <w:t>23.3 Form API example</w:t>
      </w:r>
    </w:p>
    <w:p>
      <w:r>
        <w:t>The following shows a representative contract, not deployable code. Contact values are illustrative placeholders; real requests are protected business data and must not enter analytics or unrestricted logs.</w:t>
      </w:r>
    </w:p>
    <w:p>
      <w:pPr>
        <w:pStyle w:val="CodeBlock"/>
        <w:keepNext/>
        <w:shd w:fill="F0F4F6"/>
      </w:pPr>
      <w:r>
        <w:t>{</w:t>
      </w:r>
    </w:p>
    <w:p>
      <w:pPr>
        <w:pStyle w:val="CodeBlock"/>
        <w:keepNext/>
        <w:shd w:fill="F0F4F6"/>
      </w:pPr>
      <w:r>
        <w:t xml:space="preserve">  "form_revision_id": "formrev_004",</w:t>
      </w:r>
    </w:p>
    <w:p>
      <w:pPr>
        <w:pStyle w:val="CodeBlock"/>
        <w:keepNext/>
        <w:shd w:fill="F0F4F6"/>
      </w:pPr>
      <w:r>
        <w:t xml:space="preserve">  "fields": {</w:t>
      </w:r>
    </w:p>
    <w:p>
      <w:pPr>
        <w:pStyle w:val="CodeBlock"/>
        <w:keepNext/>
        <w:shd w:fill="F0F4F6"/>
      </w:pPr>
      <w:r>
        <w:t xml:space="preserve">    "name": "Example visitor",</w:t>
      </w:r>
    </w:p>
    <w:p>
      <w:pPr>
        <w:pStyle w:val="CodeBlock"/>
        <w:keepNext/>
        <w:shd w:fill="F0F4F6"/>
      </w:pPr>
      <w:r>
        <w:t xml:space="preserve">    "email": "visitor@example.invalid",</w:t>
      </w:r>
    </w:p>
    <w:p>
      <w:pPr>
        <w:pStyle w:val="CodeBlock"/>
        <w:keepNext/>
        <w:shd w:fill="F0F4F6"/>
      </w:pPr>
      <w:r>
        <w:t xml:space="preserve">    "interest": "consultation"</w:t>
      </w:r>
    </w:p>
    <w:p>
      <w:pPr>
        <w:pStyle w:val="CodeBlock"/>
        <w:keepNext/>
        <w:shd w:fill="F0F4F6"/>
      </w:pPr>
      <w:r>
        <w:t xml:space="preserve">  },</w:t>
      </w:r>
    </w:p>
    <w:p>
      <w:pPr>
        <w:pStyle w:val="CodeBlock"/>
        <w:keepNext/>
        <w:shd w:fill="F0F4F6"/>
      </w:pPr>
      <w:r>
        <w:t xml:space="preserve">  "marketing_opt_in": false,</w:t>
      </w:r>
    </w:p>
    <w:p>
      <w:pPr>
        <w:pStyle w:val="CodeBlock"/>
        <w:keepNext/>
        <w:shd w:fill="F0F4F6"/>
      </w:pPr>
      <w:r>
        <w:t xml:space="preserve">  "attribution_token": "optional_server_validated_reference"</w:t>
      </w:r>
    </w:p>
    <w:p>
      <w:pPr>
        <w:pStyle w:val="CodeBlock"/>
        <w:keepNext w:val="0"/>
        <w:shd w:fill="F0F4F6"/>
      </w:pPr>
      <w:r>
        <w:t>}</w:t>
      </w:r>
    </w:p>
    <w:p>
      <w:pPr>
        <w:spacing w:after="0" w:before="20"/>
      </w:pPr>
    </w:p>
    <w:p>
      <w:pPr>
        <w:pStyle w:val="CodeBlock"/>
        <w:keepNext/>
        <w:shd w:fill="F0F4F6"/>
      </w:pPr>
      <w:r>
        <w:t>{</w:t>
      </w:r>
    </w:p>
    <w:p>
      <w:pPr>
        <w:pStyle w:val="CodeBlock"/>
        <w:keepNext/>
        <w:shd w:fill="F0F4F6"/>
      </w:pPr>
      <w:r>
        <w:t xml:space="preserve">  "status": "accepted",</w:t>
      </w:r>
    </w:p>
    <w:p>
      <w:pPr>
        <w:pStyle w:val="CodeBlock"/>
        <w:keepNext/>
        <w:shd w:fill="F0F4F6"/>
      </w:pPr>
      <w:r>
        <w:t xml:space="preserve">  "receipt_id": "receipt_001",</w:t>
      </w:r>
    </w:p>
    <w:p>
      <w:pPr>
        <w:pStyle w:val="CodeBlock"/>
        <w:keepNext/>
        <w:shd w:fill="F0F4F6"/>
      </w:pPr>
      <w:r>
        <w:t xml:space="preserve">  "conversion_event_id": "evt_lead_001",</w:t>
      </w:r>
    </w:p>
    <w:p>
      <w:pPr>
        <w:pStyle w:val="CodeBlock"/>
        <w:keepNext/>
        <w:shd w:fill="F0F4F6"/>
      </w:pPr>
      <w:r>
        <w:t xml:space="preserve">  "message": "Your enquiry has been received."</w:t>
      </w:r>
    </w:p>
    <w:p>
      <w:pPr>
        <w:pStyle w:val="CodeBlock"/>
        <w:keepNext w:val="0"/>
        <w:shd w:fill="F0F4F6"/>
      </w:pPr>
      <w:r>
        <w:t>}</w:t>
      </w:r>
    </w:p>
    <w:p>
      <w:pPr>
        <w:spacing w:after="0" w:before="20"/>
      </w:pPr>
    </w:p>
    <w:p>
      <w:r>
        <w:t>The request includes an Idempotency-Key header. A receipt is not an authentication token or a public lead lookup key. Return 201 for a newly accepted resource, an appropriate documented replay response for the same idempotent request, 422 for validation failure, 409 for conflicting edits/keys, 429 for rate limiting, and a safe 5xx error for service failure. Do not expose stack traces or database details.</w:t>
      </w:r>
    </w:p>
    <w:p>
      <w:pPr>
        <w:pStyle w:val="Heading2"/>
      </w:pPr>
      <w:r>
        <w:t>23.4 Error and webhook rules</w:t>
      </w:r>
    </w:p>
    <w:p>
      <w:r>
        <w:t>Use an error envelope containing code, safe message, request_id, and approved field errors. Preserve detailed diagnostics only in restricted logs. Document timeout, retry, pagination, sorting, filtering, and backward-compatibility behavior. API documentation and fixtures must be generated or tested against actual handlers.</w:t>
      </w:r>
    </w:p>
    <w:p>
      <w:r>
        <w:t xml:space="preserve">For webhooks, verify the provider's signature using the required original request bytes, enforce replay/timestamp controls where supported, store a unique receipt, and enqueue after durable acceptance. Handle duplicate and out-of-order events. Stripe's webhook guidance illustrates signature verification and robust event handling; apply each provider's exact requirements rather than a generic invented signature format. </w:t>
      </w:r>
      <w:hyperlink w:anchor="ref_R37">
        <w:r>
          <w:rPr>
            <w:color w:val="087F83"/>
            <w:rFonts w:ascii="Lato" w:hAnsi="Lato"/>
            <w:sz w:val="19"/>
          </w:rPr>
          <w:t>[R37]</w:t>
        </w:r>
      </w:hyperlink>
      <w:r/>
    </w:p>
    <w:p>
      <w:pPr>
        <w:pStyle w:val="Heading3"/>
      </w:pPr>
      <w:r>
        <w:t>Version 1.2 integration</w:t>
      </w:r>
    </w:p>
    <w:p>
      <w:pPr/>
      <w:r>
        <w:t>Extend the API inventory with Chapter 63 and Appendix J. Owner commands require scope, expected versions/idempotency and safe error contracts. Campaign-write and audience credentials are separate from reporting access.</w:t>
      </w:r>
    </w:p>
    <w:p>
      <w:pPr>
        <w:pStyle w:val="Heading1"/>
        <w:pageBreakBefore w:val="0"/>
        <w:spacing w:before="400"/>
        <w:pBdr>
          <w:bottom w:val="single" w:sz="8" w:color="087F83" w:space="8"/>
        </w:pBdr>
      </w:pPr>
      <w:bookmarkStart w:id="26" w:name="chapter_24"/>
      <w:bookmarkStart w:id="283" w:name="v12_ch24"/>
      <w:r>
        <w:t>24 | Security, identity, and administrator control</w:t>
      </w:r>
      <w:bookmarkEnd w:id="26"/>
      <w:bookmarkEnd w:id="283"/>
      <w:bookmarkStart w:id="574" w:name="tocfinal_ch_24"/>
      <w:bookmarkEnd w:id="574"/>
    </w:p>
    <w:p>
      <w:pPr>
        <w:pStyle w:val="Heading2"/>
      </w:pPr>
      <w:r>
        <w:t>24.1 Security baseline</w:t>
      </w:r>
    </w:p>
    <w:p>
      <w:r>
        <w:t xml:space="preserve">Use a risk-appropriate OWASP ASVS-based verification plan; a customer portal or transactional site generally warrants stronger assurance than a brochure-only page. Record the selected standard version and verification coverage. Do not label the site certified or penetration-tested without the relevant independent evidence. </w:t>
      </w:r>
      <w:hyperlink w:anchor="ref_R34">
        <w:r>
          <w:rPr>
            <w:color w:val="087F83"/>
            <w:rFonts w:ascii="Lato" w:hAnsi="Lato"/>
            <w:sz w:val="19"/>
          </w:rPr>
          <w:t>[R34]</w:t>
        </w:r>
      </w:hyperlink>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Threat</w:t>
            </w:r>
          </w:p>
        </w:tc>
        <w:tc>
          <w:tcPr>
            <w:tcW w:type="dxa" w:w="7029"/>
            <w:vAlign w:val="top"/>
            <w:tcMar>
              <w:top w:w="85" w:type="dxa"/>
              <w:bottom w:w="85" w:type="dxa"/>
              <w:left w:w="95" w:type="dxa"/>
              <w:right w:w="95" w:type="dxa"/>
            </w:tcMar>
            <w:shd w:fill="163349"/>
          </w:tcPr>
          <w:p>
            <w:pPr>
              <w:pStyle w:val="TableText"/>
              <w:keepNext/>
              <w:spacing w:after="20"/>
            </w:pPr>
            <w:r>
              <w:rPr>
                <w:b/>
                <w:color w:val="FFFFFF"/>
              </w:rPr>
              <w:t>Mandatory control</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Account takeover</w:t>
            </w:r>
          </w:p>
        </w:tc>
        <w:tc>
          <w:tcPr>
            <w:tcW w:type="dxa" w:w="7029"/>
            <w:vAlign w:val="top"/>
            <w:tcMar>
              <w:top w:w="85" w:type="dxa"/>
              <w:bottom w:w="85" w:type="dxa"/>
              <w:left w:w="95" w:type="dxa"/>
              <w:right w:w="95" w:type="dxa"/>
            </w:tcMar>
            <w:shd w:fill="FFFFFF"/>
          </w:tcPr>
          <w:p>
            <w:pPr>
              <w:pStyle w:val="TableText"/>
              <w:keepNext w:val="0"/>
              <w:spacing w:after="20"/>
            </w:pPr>
            <w:r>
              <w:t>MFA for privileged users, secure recovery, rate limits, session revocation, suspicious-login handling, and no shared admin accounts.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Unauthorized record access</w:t>
            </w:r>
          </w:p>
        </w:tc>
        <w:tc>
          <w:tcPr>
            <w:tcW w:type="dxa" w:w="7029"/>
            <w:vAlign w:val="top"/>
            <w:tcMar>
              <w:top w:w="85" w:type="dxa"/>
              <w:bottom w:w="85" w:type="dxa"/>
              <w:left w:w="95" w:type="dxa"/>
              <w:right w:w="95" w:type="dxa"/>
            </w:tcMar>
            <w:shd w:fill="F3F7F9"/>
          </w:tcPr>
          <w:p>
            <w:pPr>
              <w:pStyle w:val="TableText"/>
              <w:keepNext w:val="0"/>
              <w:spacing w:after="20"/>
            </w:pPr>
            <w:r>
              <w:t>Server-side role and object-level checks on every endpoint, export, job, and download.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Script/content injection</w:t>
            </w:r>
          </w:p>
        </w:tc>
        <w:tc>
          <w:tcPr>
            <w:tcW w:type="dxa" w:w="7029"/>
            <w:vAlign w:val="top"/>
            <w:tcMar>
              <w:top w:w="85" w:type="dxa"/>
              <w:bottom w:w="85" w:type="dxa"/>
              <w:left w:w="95" w:type="dxa"/>
              <w:right w:w="95" w:type="dxa"/>
            </w:tcMar>
            <w:shd w:fill="FFFFFF"/>
          </w:tcPr>
          <w:p>
            <w:pPr>
              <w:pStyle w:val="TableText"/>
              <w:keepNext w:val="0"/>
              <w:spacing w:after="20"/>
            </w:pPr>
            <w:r>
              <w:t>Safe rich-text allowlist, context-aware escaping, sanitized embeds, CSP, and no owner-injected arbitrary JavaScript.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Request forgery</w:t>
            </w:r>
          </w:p>
        </w:tc>
        <w:tc>
          <w:tcPr>
            <w:tcW w:type="dxa" w:w="7029"/>
            <w:vAlign w:val="top"/>
            <w:tcMar>
              <w:top w:w="85" w:type="dxa"/>
              <w:bottom w:w="85" w:type="dxa"/>
              <w:left w:w="95" w:type="dxa"/>
              <w:right w:w="95" w:type="dxa"/>
            </w:tcMar>
            <w:shd w:fill="F3F7F9"/>
          </w:tcPr>
          <w:p>
            <w:pPr>
              <w:pStyle w:val="TableText"/>
              <w:keepNext w:val="0"/>
              <w:spacing w:after="20"/>
            </w:pPr>
            <w:r>
              <w:t>Appropriate CSRF protection for cookie-authenticated writes; restrictive CORS; origin validation where applicable.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Data exposure</w:t>
            </w:r>
          </w:p>
        </w:tc>
        <w:tc>
          <w:tcPr>
            <w:tcW w:type="dxa" w:w="7029"/>
            <w:vAlign w:val="top"/>
            <w:tcMar>
              <w:top w:w="85" w:type="dxa"/>
              <w:bottom w:w="85" w:type="dxa"/>
              <w:left w:w="95" w:type="dxa"/>
              <w:right w:w="95" w:type="dxa"/>
            </w:tcMar>
            <w:shd w:fill="FFFFFF"/>
          </w:tcPr>
          <w:p>
            <w:pPr>
              <w:pStyle w:val="TableText"/>
              <w:keepNext w:val="0"/>
              <w:spacing w:after="20"/>
            </w:pPr>
            <w:r>
              <w:t>TLS, encryption at rest where appropriate, protected backups, field/access minimization, secret isolation, and log redaction.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Malicious uploads</w:t>
            </w:r>
          </w:p>
        </w:tc>
        <w:tc>
          <w:tcPr>
            <w:tcW w:type="dxa" w:w="7029"/>
            <w:vAlign w:val="top"/>
            <w:tcMar>
              <w:top w:w="85" w:type="dxa"/>
              <w:bottom w:w="85" w:type="dxa"/>
              <w:left w:w="95" w:type="dxa"/>
              <w:right w:w="95" w:type="dxa"/>
            </w:tcMar>
            <w:shd w:fill="F3F7F9"/>
          </w:tcPr>
          <w:p>
            <w:pPr>
              <w:pStyle w:val="TableText"/>
              <w:keepNext w:val="0"/>
              <w:spacing w:after="20"/>
            </w:pPr>
            <w:r>
              <w:t>Quarantine, file limits, type validation, scanning, safe storage, and isolated processing.</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Infrastructure abuse</w:t>
            </w:r>
          </w:p>
        </w:tc>
        <w:tc>
          <w:tcPr>
            <w:tcW w:type="dxa" w:w="7029"/>
            <w:vAlign w:val="top"/>
            <w:tcMar>
              <w:top w:w="85" w:type="dxa"/>
              <w:bottom w:w="85" w:type="dxa"/>
              <w:left w:w="95" w:type="dxa"/>
              <w:right w:w="95" w:type="dxa"/>
            </w:tcMar>
            <w:shd w:fill="FFFFFF"/>
          </w:tcPr>
          <w:p>
            <w:pPr>
              <w:pStyle w:val="TableText"/>
              <w:keepNext w:val="0"/>
              <w:spacing w:after="20"/>
            </w:pPr>
            <w:r>
              <w:t>Reverse proxy/WAF controls where justified, request budgets, private databases, patched systems, and protected admin routes.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Supply-chain compromise</w:t>
            </w:r>
          </w:p>
        </w:tc>
        <w:tc>
          <w:tcPr>
            <w:tcW w:type="dxa" w:w="7029"/>
            <w:vAlign w:val="top"/>
            <w:tcMar>
              <w:top w:w="85" w:type="dxa"/>
              <w:bottom w:w="85" w:type="dxa"/>
              <w:left w:w="95" w:type="dxa"/>
              <w:right w:w="95" w:type="dxa"/>
            </w:tcMar>
            <w:shd w:fill="F3F7F9"/>
          </w:tcPr>
          <w:p>
            <w:pPr>
              <w:pStyle w:val="TableText"/>
              <w:keepNext w:val="0"/>
              <w:spacing w:after="20"/>
            </w:pPr>
            <w:r>
              <w:t>Dependency locking, updates, scanning, license review, provenance/SBOM, and CI secret protection.</w:t>
            </w:r>
          </w:p>
        </w:tc>
      </w:tr>
    </w:tbl>
    <w:p>
      <w:pPr>
        <w:spacing w:after="0"/>
      </w:pPr>
    </w:p>
    <w:p>
      <w:pPr>
        <w:pStyle w:val="Heading2"/>
      </w:pPr>
      <w:r>
        <w:t>24.2 Authentication and sessions</w:t>
      </w:r>
    </w:p>
    <w:p>
      <w:r>
        <w:t>Use established authentication libraries or a supported identity provider rather than inventing cryptography. Staff MFA is mandatory. Store passwords only with an approved adaptive password hash when passwords are managed locally. Recovery tokens are short-lived, single-use, and never logged. Prevent account enumeration in public recovery responses.</w:t>
      </w:r>
    </w:p>
    <w:p>
      <w:r>
        <w:t xml:space="preserve">For browser sessions, prefer secure HttpOnly cookies with appropriate SameSite, domain/path, expiry, rotation, and CSRF controls. Do not store long-lived privileged credentials in localStorage. Customer and administrator roles must not be interchangeable. NestJS authentication guidance provides framework integration patterns; the application still must implement its actual authorization policy. </w:t>
      </w:r>
      <w:hyperlink w:anchor="ref_R35">
        <w:r>
          <w:rPr>
            <w:color w:val="087F83"/>
            <w:rFonts w:ascii="Lato" w:hAnsi="Lato"/>
            <w:sz w:val="19"/>
          </w:rPr>
          <w:t>[R35]</w:t>
        </w:r>
      </w:hyperlink>
      <w:r/>
    </w:p>
    <w:p>
      <w:pPr>
        <w:pStyle w:val="Heading2"/>
      </w:pPr>
      <w:r>
        <w:t>24.3 Authorization model</w:t>
      </w:r>
    </w:p>
    <w:p>
      <w:r>
        <w:t>Permissions describe actions on scoped resources: read/write/publish content, manage forms, view leads, export PII, manage integrations, change permissions, and perform recovery. Enforce least privilege. An editor may publish content but must not retrieve an ad API secret. A salesperson may view assigned leads without changing site-wide tracking configuration.</w:t>
      </w:r>
    </w:p>
    <w:p>
      <w:r>
        <w:t>Service accounts have explicit scopes, credential rotation, expiry where practical, and accountable owners. No production superuser credential is embedded in application configuration. Temporary support access must be time-limited and audited. Test both horizontal access violations between customers/sites and vertical privilege escalation.</w:t>
      </w:r>
    </w:p>
    <w:p>
      <w:pPr>
        <w:pStyle w:val="Heading2"/>
      </w:pPr>
      <w:r>
        <w:t>24.4 Platform and application hardening</w:t>
      </w:r>
    </w:p>
    <w:p>
      <w:r>
        <w:t>Use secure response headers, an appropriate CSP, HSTS after verifying HTTPS readiness, clickjacking protection, safe MIME handling, and restrictive referrer policy. Restrict outbound requests from integrations and content importers to prevent SSRF; validate destinations after redirects and block internal-network access where not explicitly required.</w:t>
      </w:r>
    </w:p>
    <w:p>
      <w:r>
        <w:t xml:space="preserve">Keep secrets in a secret manager or secured deployment mechanism. Only public configuration can be exposed to the frontend. Encrypt and access-control infrastructure state. Treat Kubernetes Secrets and base64 encoding as a representation, not proof of encrypted storage; configure the relevant platform protections. </w:t>
      </w:r>
      <w:hyperlink w:anchor="ref_R36">
        <w:r>
          <w:rPr>
            <w:color w:val="087F83"/>
            <w:rFonts w:ascii="Lato" w:hAnsi="Lato"/>
            <w:sz w:val="19"/>
          </w:rPr>
          <w:t>[R36]</w:t>
        </w:r>
      </w:hyperlink>
      <w:r>
        <w:t xml:space="preserve"> </w:t>
      </w:r>
      <w:hyperlink w:anchor="ref_R42">
        <w:r>
          <w:rPr>
            <w:color w:val="087F83"/>
            <w:rFonts w:ascii="Lato" w:hAnsi="Lato"/>
            <w:sz w:val="19"/>
          </w:rPr>
          <w:t>[R42]</w:t>
        </w:r>
      </w:hyperlink>
      <w:r/>
    </w:p>
    <w:p>
      <w:pPr>
        <w:pStyle w:val="Heading2"/>
      </w:pPr>
      <w:r>
        <w:t>24.5 Audit and emergency controls</w:t>
      </w:r>
    </w:p>
    <w:p>
      <w:r>
        <w:t>Audit logins, permission changes, content publication, lead exports, credential changes, payment/refund actions, data rights actions, and emergency operations. Store actor, action, object, timestamp, request reference, and safe change summary. Avoid copying entire sensitive records into every audit entry.</w:t>
      </w:r>
    </w:p>
    <w:p>
      <w:r>
        <w:t>Provide a controlled ability to disable a compromised integration, revoke sessions, pause a campaign landing destination where appropriate, or switch the public site to a safe maintenance state. The incident runbook must name who can act, how to preserve evidence, and how to restore normal service. Test these actions before a real incident.</w:t>
      </w:r>
    </w:p>
    <w:p>
      <w:pPr>
        <w:pStyle w:val="Heading2"/>
        <w:keepNext/>
        <w:widowControl/>
      </w:pPr>
      <w:r>
        <w:t>24.6 Accountable deletion and protected visitor access</w:t>
      </w:r>
    </w:p>
    <w:p>
      <w:pPr>
        <w:widowControl/>
      </w:pPr>
      <w:r>
        <w:t>Enforce the separate content-trash, restore, purge-request, purge-approval and purge-execution permissions in Chapter 38. Chapter 39 specifies the audit actor, initiator, approver and executor model, failed-attempt evidence, immutable/independent export, redaction and sensitive-data reveal logging. An ordinary owner/editor cannot erase their own audit history. Context authorization must prevent cross-visitor, cross-conversation and cross-site access.</w:t>
      </w:r>
    </w:p>
    <w:p>
      <w:pPr>
        <w:pStyle w:val="Heading3"/>
      </w:pPr>
      <w:r>
        <w:t>Version 1.2 integration</w:t>
      </w:r>
    </w:p>
    <w:p>
      <w:pPr/>
      <w:r>
        <w:t>Chapter 58 adds identity, API, script/tag, supply-chain and abuse review. Chapter 59 centralizes purpose/rights decisions. Critical source-blog and audit controls remain enforced even when optional marketing features are disabled.</w:t>
      </w:r>
    </w:p>
    <w:p>
      <w:pPr>
        <w:pStyle w:val="Heading1"/>
        <w:pageBreakBefore w:val="0"/>
        <w:spacing w:before="400"/>
        <w:pBdr>
          <w:bottom w:val="single" w:sz="8" w:color="087F83" w:space="8"/>
        </w:pBdr>
      </w:pPr>
      <w:bookmarkStart w:id="27" w:name="chapter_25"/>
      <w:bookmarkStart w:id="284" w:name="v12_ch25"/>
      <w:r>
        <w:t>25 | Commerce, bookings, subscriptions, and portals</w:t>
      </w:r>
      <w:bookmarkEnd w:id="27"/>
      <w:bookmarkEnd w:id="284"/>
      <w:bookmarkStart w:id="575" w:name="tocfinal_ch_25"/>
      <w:bookmarkEnd w:id="575"/>
    </w:p>
    <w:p>
      <w:pPr>
        <w:pStyle w:val="Heading2"/>
      </w:pPr>
      <w:r>
        <w:t>25.1 Activate business modules deliberately</w:t>
      </w:r>
    </w:p>
    <w:p>
      <w:r>
        <w:t>These capabilities are optional, not unfinished core requirements. Each needs business rules, legal review, capacity planning, customer support ownership, and dedicated tests. An attractive checkout mockup is not a commerce implementation. A calendar widget is not a concurrency-safe booking system.</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Module</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end-to-end scope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Commerce</w:t>
            </w:r>
          </w:p>
        </w:tc>
        <w:tc>
          <w:tcPr>
            <w:tcW w:type="dxa" w:w="7029"/>
            <w:vAlign w:val="top"/>
            <w:tcMar>
              <w:top w:w="85" w:type="dxa"/>
              <w:bottom w:w="85" w:type="dxa"/>
              <w:left w:w="95" w:type="dxa"/>
              <w:right w:w="95" w:type="dxa"/>
            </w:tcMar>
            <w:shd w:fill="FFFFFF"/>
          </w:tcPr>
          <w:p>
            <w:pPr>
              <w:pStyle w:val="TableText"/>
              <w:keepNext w:val="0"/>
              <w:spacing w:after="20"/>
            </w:pPr>
            <w:r>
              <w:t>Product/variant catalogue, current prices, tax/fee policy, stock rules, cart, checkout, verified payment, order history, fulfilment, cancellation, refund, and reconciliation.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Bookings</w:t>
            </w:r>
          </w:p>
        </w:tc>
        <w:tc>
          <w:tcPr>
            <w:tcW w:type="dxa" w:w="7029"/>
            <w:vAlign w:val="top"/>
            <w:tcMar>
              <w:top w:w="85" w:type="dxa"/>
              <w:bottom w:w="85" w:type="dxa"/>
              <w:left w:w="95" w:type="dxa"/>
              <w:right w:w="95" w:type="dxa"/>
            </w:tcMar>
            <w:shd w:fill="F3F7F9"/>
          </w:tcPr>
          <w:p>
            <w:pPr>
              <w:pStyle w:val="TableText"/>
              <w:keepNext w:val="0"/>
              <w:spacing w:after="20"/>
            </w:pPr>
            <w:r>
              <w:t>Services/resources, availability, timezone, duration, buffers, temporary holds, capacity checks, confirmation, reminders, rescheduling, and cancellation.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Subscriptions</w:t>
            </w:r>
          </w:p>
        </w:tc>
        <w:tc>
          <w:tcPr>
            <w:tcW w:type="dxa" w:w="7029"/>
            <w:vAlign w:val="top"/>
            <w:tcMar>
              <w:top w:w="85" w:type="dxa"/>
              <w:bottom w:w="85" w:type="dxa"/>
              <w:left w:w="95" w:type="dxa"/>
              <w:right w:w="95" w:type="dxa"/>
            </w:tcMar>
            <w:shd w:fill="FFFFFF"/>
          </w:tcPr>
          <w:p>
            <w:pPr>
              <w:pStyle w:val="TableText"/>
              <w:keepNext w:val="0"/>
              <w:spacing w:after="20"/>
            </w:pPr>
            <w:r>
              <w:t>Plans, billing lifecycle, trials if used, renewal, failed-payment handling, cancellation, prorations where supported, entitlement changes, and refunds.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Customer portal</w:t>
            </w:r>
          </w:p>
        </w:tc>
        <w:tc>
          <w:tcPr>
            <w:tcW w:type="dxa" w:w="7029"/>
            <w:vAlign w:val="top"/>
            <w:tcMar>
              <w:top w:w="85" w:type="dxa"/>
              <w:bottom w:w="85" w:type="dxa"/>
              <w:left w:w="95" w:type="dxa"/>
              <w:right w:w="95" w:type="dxa"/>
            </w:tcMar>
            <w:shd w:fill="F3F7F9"/>
          </w:tcPr>
          <w:p>
            <w:pPr>
              <w:pStyle w:val="TableText"/>
              <w:keepNext w:val="0"/>
              <w:spacing w:after="20"/>
            </w:pPr>
            <w:r>
              <w:t>Account/profile, secure history, protected documents, support requests, preferences, and object-level access enforcement.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Courses/memberships</w:t>
            </w:r>
          </w:p>
        </w:tc>
        <w:tc>
          <w:tcPr>
            <w:tcW w:type="dxa" w:w="7029"/>
            <w:vAlign w:val="top"/>
            <w:tcMar>
              <w:top w:w="85" w:type="dxa"/>
              <w:bottom w:w="85" w:type="dxa"/>
              <w:left w:w="95" w:type="dxa"/>
              <w:right w:w="95" w:type="dxa"/>
            </w:tcMar>
            <w:shd w:fill="FFFFFF"/>
          </w:tcPr>
          <w:p>
            <w:pPr>
              <w:pStyle w:val="TableText"/>
              <w:keepNext w:val="0"/>
              <w:spacing w:after="20"/>
            </w:pPr>
            <w:r>
              <w:t>Enrollment, entitlement, content access, progress where needed, assessments/certificates only when actually implemented, and support.</w:t>
            </w:r>
          </w:p>
        </w:tc>
      </w:tr>
    </w:tbl>
    <w:p>
      <w:pPr>
        <w:spacing w:after="0"/>
      </w:pPr>
    </w:p>
    <w:p>
      <w:pPr>
        <w:pStyle w:val="Heading2"/>
      </w:pPr>
      <w:r>
        <w:t>25.2 Payment safety</w:t>
      </w:r>
    </w:p>
    <w:p>
      <w:r>
        <w:t>Use a supported payment provider's hosted or tokenized collection flow where appropriate, and determine the actual compliance responsibilities for the chosen integration. Do not store card security codes or raw payment credentials. The server computes payable amounts using trusted price and tax rules; browser-supplied totals are untrusted.</w:t>
      </w:r>
    </w:p>
    <w:p>
      <w:r>
        <w:t xml:space="preserve">A successful browser redirect is not proof of payment. Verify provider events or server-side payment status, validate amount/currency/order association, and move the order through an explicit state machine. Webhooks may arrive more than once or out of order; use unique provider event IDs and idempotent handlers. Reconcile provider settlements and internal orders. </w:t>
      </w:r>
      <w:hyperlink w:anchor="ref_R37">
        <w:r>
          <w:rPr>
            <w:color w:val="087F83"/>
            <w:rFonts w:ascii="Lato" w:hAnsi="Lato"/>
            <w:sz w:val="19"/>
          </w:rPr>
          <w:t>[R37]</w:t>
        </w:r>
      </w:hyperlink>
      <w:r/>
    </w:p>
    <w:p>
      <w:pPr>
        <w:pStyle w:val="Heading2"/>
      </w:pPr>
      <w:r>
        <w:t>25.3 Order and refund state models</w:t>
      </w:r>
    </w:p>
    <w:p>
      <w:r>
        <w:t>An example order lifecycle is draft → awaiting_payment → paid → fulfilment_pending → completed, with explicit failed, cancelled, partially_refunded, refunded, and disputed states where relevant. Define which transitions affect inventory, customer access, revenue reporting, and ad conversion adjustments.</w:t>
      </w:r>
    </w:p>
    <w:p>
      <w:r>
        <w:t>Refunds require permission, amount bounds, remaining refundable balance checks, reason codes, provider confirmation, and audit. A full refund must not be implemented as deletion of the original sale. Preserve original financial facts and subsequent adjustments according to the retention policy.</w:t>
      </w:r>
    </w:p>
    <w:p>
      <w:pPr>
        <w:pStyle w:val="Heading2"/>
      </w:pPr>
      <w:r>
        <w:t>25.4 Booking concurrency and time zones</w:t>
      </w:r>
    </w:p>
    <w:p>
      <w:r>
        <w:t>Store actual instants in UTC and retain the business/location timezone for interpretation. Test daylight-saving transitions when relevant, not only India time. Prevent overbooking through transactional capacity checks or appropriate database constraints/locking, not a browser-disabled button.</w:t>
      </w:r>
    </w:p>
    <w:p>
      <w:r>
        <w:t>Temporary holds expire safely; delayed payment confirmation must resolve against the hold policy. Rescheduling updates reminders and capacity atomically. Staff overrides are explicit and audited. Confirmation pages and emails show unambiguous date, time, timezone, location/meeting link, cancellation terms, and contact path.</w:t>
      </w:r>
    </w:p>
    <w:p>
      <w:pPr>
        <w:pStyle w:val="Heading2"/>
      </w:pPr>
      <w:r>
        <w:t>25.5 Entitlements and private access</w:t>
      </w:r>
    </w:p>
    <w:p>
      <w:r>
        <w:t>Grant access from verified business state, not a client-side flag. Every protected file/download checks the account's current entitlement, resource scope, expiry, and revocation. Use short-lived signed delivery after authorization. Remove access when policy requires it after cancellation, refund, or account restriction, while preserving legitimate contractual obligations.</w:t>
      </w:r>
    </w:p>
    <w:p>
      <w:r>
        <w:t>Portal analytics must be separately reviewed because authenticated routes can expose sensitive customer context. Disable replay and ad tags by default in private areas. A customer requesting an invoice should not inadvertently transmit invoice details to a marketing platform.</w:t>
      </w:r>
    </w:p>
    <w:p>
      <w:pPr>
        <w:pStyle w:val="Heading3"/>
      </w:pPr>
      <w:r>
        <w:t>Version 1.2 integration</w:t>
      </w:r>
    </w:p>
    <w:p>
      <w:pPr/>
      <w:r>
        <w:t>Chapters 54 and 61 expand catalogue/feed, transaction, booking, subscription, portal and industry lifecycles. Each activated business module needs its full data, customer-obligation, support and acceptance pack.</w:t>
      </w:r>
    </w:p>
    <w:p>
      <w:pPr>
        <w:pStyle w:val="Heading1"/>
        <w:pageBreakBefore w:val="0"/>
        <w:spacing w:before="400"/>
        <w:pBdr>
          <w:bottom w:val="single" w:sz="8" w:color="087F83" w:space="8"/>
        </w:pBdr>
      </w:pPr>
      <w:bookmarkStart w:id="28" w:name="chapter_26"/>
      <w:bookmarkStart w:id="285" w:name="v12_ch26"/>
      <w:r>
        <w:t>26 | Search, localization, communications, and optional AI</w:t>
      </w:r>
      <w:bookmarkEnd w:id="28"/>
      <w:bookmarkEnd w:id="285"/>
      <w:bookmarkStart w:id="576" w:name="tocfinal_ch_26"/>
      <w:bookmarkEnd w:id="576"/>
    </w:p>
    <w:p>
      <w:pPr>
        <w:pStyle w:val="Heading2"/>
      </w:pPr>
      <w:r>
        <w:t>26.1 Search and discovery</w:t>
      </w:r>
    </w:p>
    <w:p>
      <w:r>
        <w:t>Start with PostgreSQL search or another appropriately scoped engine when it meets the site's needs. Move to a dedicated search service only when relevance, scale, typo tolerance, multilingual features, or operational requirements justify it. Index only published and authorized content. Deleting or unpublishing content must remove it from the relevant search index.</w:t>
      </w:r>
    </w:p>
    <w:p>
      <w:r>
        <w:t>Support useful empty states, accessible result navigation, filters with bounded combinations, pagination, and query-cost limits. Capture search failures using a reviewed query policy. Raw search strings can contain personal or sensitive information and must not be sent unfiltered into analytics.</w:t>
      </w:r>
    </w:p>
    <w:p>
      <w:pPr>
        <w:pStyle w:val="Heading2"/>
      </w:pPr>
      <w:r>
        <w:t>26.2 Localization</w:t>
      </w:r>
    </w:p>
    <w:p>
      <w:r>
        <w:t>Store locale-specific content, routes, metadata, labels, dates, currencies, and legal copy. Keep translation workflow states and reviewed fallbacks. Do not silently publish machine-translated legal or regulated claims without review. Separate language choice from geography, billing currency, and tax determination.</w:t>
      </w:r>
    </w:p>
    <w:p>
      <w:r>
        <w:t>The editor must show missing translations and relationships between locale versions. Test long text, Unicode, right-to-left where enabled, locale-aware sorting, pluralization, and date/number formatting. Preserve original contact information correctly rather than auto-translating names or addresses.</w:t>
      </w:r>
    </w:p>
    <w:p>
      <w:pPr>
        <w:pStyle w:val="Heading2"/>
      </w:pPr>
      <w:r>
        <w:t>26.3 Communication and support modules</w:t>
      </w:r>
    </w:p>
    <w:p>
      <w:r>
        <w:t>Newsletter, WhatsApp, SMS, support chat, call tracking, and appointment reminders need independent feature flags, providers, consent policies, suppression rules, costs, and failure states. A click on a telephone or WhatsApp link is not a completed call or conversation; confirmed activity requires an eligible provider integration and an appropriate data policy.</w:t>
      </w:r>
    </w:p>
    <w:p>
      <w:r>
        <w:t>Avoid loading multiple competing chat widgets or marketing SDKs. Use a deferred launcher and consent-aware integration. Define business hours, expected response time, escalation, and fallback channels. Store support records separately from generic analytics and restrict staff access according to purpose.</w:t>
      </w:r>
    </w:p>
    <w:p>
      <w:pPr>
        <w:pStyle w:val="Heading2"/>
      </w:pPr>
      <w:r>
        <w:t>26.4 AI assistance, optional and bounded</w:t>
      </w:r>
    </w:p>
    <w:p>
      <w:r>
        <w:t>Useful applications include content drafts, approved knowledge search, multilingual assistance, document triage, and lead summarization with an authorized purpose. AI must not invent prices, guarantees, policies, medical/legal advice, or account actions. Ground customer-facing answers in approved content and show a human-contact fallback when evidence is missing.</w:t>
      </w:r>
    </w:p>
    <w:p>
      <w:r>
        <w:t>Use an AI gateway with provider adapters, scoped access, prompt/version records, usage limits, cost budgets, redaction, and evaluation fixtures. Treat uploaded documents and retrieved text as untrusted instructions. Tool calls that change bookings, payments, customer data, or publication require explicit authorization and confirmation appropriate to the action.</w:t>
      </w:r>
    </w:p>
    <w:p>
      <w:r>
        <w:t>Keep model outputs separate from authoritative records until verified. Content suggestions remain drafts; summaries must not silently overwrite original enquiries. Evaluate factuality, privacy leakage, prompt injection, refusal/fallback behavior, latency, and cost before activation. No AI dependency is required for the core website to render or accept leads.</w:t>
      </w:r>
    </w:p>
    <w:p>
      <w:pPr>
        <w:pStyle w:val="Heading2"/>
      </w:pPr>
      <w:r>
        <w:t>26.5 Optional application capabilities</w:t>
      </w:r>
    </w:p>
    <w:p>
      <w:r>
        <w:t>PWA installation, offline reading, push notifications, communities, directories, job boards, referral programs, loyalty, and gamification require separate requirements. Offline support must not serve private cached content to another user or pretend that an unsubmitted form reached the server. Push permission is requested in context, not immediately on first load.</w:t>
      </w:r>
    </w:p>
    <w:p>
      <w:r>
        <w:t>Enable a module only after its support workflow exists. A public forum without moderation, a referral program without fraud controls, or push notifications without unsubscribe management creates liabilities rather than completeness.</w:t>
      </w:r>
    </w:p>
    <w:p>
      <w:pPr>
        <w:pStyle w:val="Heading2"/>
        <w:keepNext/>
        <w:widowControl/>
      </w:pPr>
      <w:r>
        <w:t>26.6 Required contextual chatbot profile</w:t>
      </w:r>
    </w:p>
    <w:p>
      <w:pPr>
        <w:widowControl/>
      </w:pPr>
      <w:r>
        <w:t>For version 1.1, the chatbot and shared visitor-context interfaces are required capabilities; a particular generative model remains an implementation choice, with a deterministic FAQ/form and human-contact fallback. Implement Chapter 37 in full. The model sees a task-limited projection, not raw IP, advertising click IDs, precise coordinates or every known customer field. Core forms and pages do not depend on model availability.</w:t>
      </w:r>
    </w:p>
    <w:p>
      <w:pPr>
        <w:pStyle w:val="Heading3"/>
      </w:pPr>
      <w:r>
        <w:t>Version 1.2 integration</w:t>
      </w:r>
    </w:p>
    <w:p>
      <w:pPr/>
      <w:r>
        <w:t>Chapters 48, 56, 61 and 62 expand selected channels, feedback/interactive tools, business modules and interoperable search/AI. Offline/device permissions are deliberate features, never hidden prerequisites for core lead capture.</w:t>
      </w:r>
    </w:p>
    <w:p>
      <w:pPr>
        <w:pStyle w:val="Heading1"/>
        <w:pageBreakBefore w:val="0"/>
        <w:spacing w:before="400"/>
        <w:pBdr>
          <w:bottom w:val="single" w:sz="8" w:color="087F83" w:space="8"/>
        </w:pBdr>
      </w:pPr>
      <w:bookmarkStart w:id="29" w:name="chapter_27"/>
      <w:bookmarkStart w:id="286" w:name="v12_ch27"/>
      <w:r>
        <w:t>27 | Repository, folders, and coding standards</w:t>
      </w:r>
      <w:bookmarkEnd w:id="29"/>
      <w:bookmarkEnd w:id="286"/>
      <w:bookmarkStart w:id="577" w:name="tocfinal_ch_27"/>
      <w:bookmarkEnd w:id="577"/>
    </w:p>
    <w:p>
      <w:pPr>
        <w:pStyle w:val="Heading2"/>
      </w:pPr>
      <w:r>
        <w:t>27.1 Monorepo layout</w:t>
      </w:r>
    </w:p>
    <w:p>
      <w:r>
        <w:t>The following is the recommended starting structure. Files represent required responsibilities; implementation teams may refine names through an architectural decision, but must preserve separation, tests, and documentation. Do not generate hundreds of empty files simply to imitate the tree.</w:t>
      </w:r>
    </w:p>
    <w:p>
      <w:pPr>
        <w:pStyle w:val="CodeBlock"/>
        <w:keepNext/>
        <w:shd w:fill="F0F4F6"/>
      </w:pPr>
      <w:r>
        <w:t>website-platform/</w:t>
      </w:r>
    </w:p>
    <w:p>
      <w:pPr>
        <w:pStyle w:val="CodeBlock"/>
        <w:keepNext w:val="0"/>
        <w:shd w:fill="F0F4F6"/>
      </w:pPr>
      <w:r>
        <w:t xml:space="preserve">  README.md</w:t>
      </w:r>
    </w:p>
    <w:p>
      <w:pPr>
        <w:pStyle w:val="CodeBlock"/>
        <w:keepNext w:val="0"/>
        <w:shd w:fill="F0F4F6"/>
      </w:pPr>
      <w:r>
        <w:t xml:space="preserve">  AGENTS.md</w:t>
      </w:r>
    </w:p>
    <w:p>
      <w:pPr>
        <w:pStyle w:val="CodeBlock"/>
        <w:keepNext w:val="0"/>
        <w:shd w:fill="F0F4F6"/>
      </w:pPr>
      <w:r>
        <w:t xml:space="preserve">  package.json</w:t>
      </w:r>
    </w:p>
    <w:p>
      <w:pPr>
        <w:pStyle w:val="CodeBlock"/>
        <w:keepNext w:val="0"/>
        <w:shd w:fill="F0F4F6"/>
      </w:pPr>
      <w:r>
        <w:t xml:space="preserve">  pnpm-workspace.yaml</w:t>
      </w:r>
    </w:p>
    <w:p>
      <w:pPr>
        <w:pStyle w:val="CodeBlock"/>
        <w:keepNext w:val="0"/>
        <w:shd w:fill="F0F4F6"/>
      </w:pPr>
      <w:r>
        <w:t xml:space="preserve">  pnpm-lock.yaml</w:t>
      </w:r>
    </w:p>
    <w:p>
      <w:pPr>
        <w:pStyle w:val="CodeBlock"/>
        <w:keepNext w:val="0"/>
        <w:shd w:fill="F0F4F6"/>
      </w:pPr>
      <w:r>
        <w:t xml:space="preserve">  .env.example</w:t>
      </w:r>
    </w:p>
    <w:p>
      <w:pPr>
        <w:pStyle w:val="CodeBlock"/>
        <w:keepNext w:val="0"/>
        <w:shd w:fill="F0F4F6"/>
      </w:pPr>
      <w:r>
        <w:t xml:space="preserve">  .editorconfig</w:t>
      </w:r>
    </w:p>
    <w:p>
      <w:pPr>
        <w:pStyle w:val="CodeBlock"/>
        <w:keepNext w:val="0"/>
        <w:shd w:fill="F0F4F6"/>
      </w:pPr>
      <w:r>
        <w:t xml:space="preserve">  .gitignore</w:t>
      </w:r>
    </w:p>
    <w:p>
      <w:pPr>
        <w:pStyle w:val="CodeBlock"/>
        <w:keepNext w:val="0"/>
        <w:shd w:fill="F0F4F6"/>
      </w:pPr>
      <w:r>
        <w:t xml:space="preserve">  apps/</w:t>
      </w:r>
    </w:p>
    <w:p>
      <w:pPr>
        <w:pStyle w:val="CodeBlock"/>
        <w:keepNext w:val="0"/>
        <w:shd w:fill="F0F4F6"/>
      </w:pPr>
      <w:r>
        <w:t xml:space="preserve">    web/</w:t>
      </w:r>
    </w:p>
    <w:p>
      <w:pPr>
        <w:pStyle w:val="CodeBlock"/>
        <w:keepNext w:val="0"/>
        <w:shd w:fill="F0F4F6"/>
      </w:pPr>
      <w:r>
        <w:t xml:space="preserve">      src/app/</w:t>
      </w:r>
    </w:p>
    <w:p>
      <w:pPr>
        <w:pStyle w:val="CodeBlock"/>
        <w:keepNext w:val="0"/>
        <w:shd w:fill="F0F4F6"/>
      </w:pPr>
      <w:r>
        <w:t xml:space="preserve">        (public)/layout.tsx</w:t>
      </w:r>
    </w:p>
    <w:p>
      <w:pPr>
        <w:pStyle w:val="CodeBlock"/>
        <w:keepNext w:val="0"/>
        <w:shd w:fill="F0F4F6"/>
      </w:pPr>
      <w:r>
        <w:t xml:space="preserve">        (public)/page.tsx</w:t>
      </w:r>
    </w:p>
    <w:p>
      <w:pPr>
        <w:pStyle w:val="CodeBlock"/>
        <w:keepNext w:val="0"/>
        <w:shd w:fill="F0F4F6"/>
      </w:pPr>
      <w:r>
        <w:t xml:space="preserve">        (public)/[...slug]/page.tsx</w:t>
      </w:r>
    </w:p>
    <w:p>
      <w:pPr>
        <w:pStyle w:val="CodeBlock"/>
        <w:keepNext w:val="0"/>
        <w:shd w:fill="F0F4F6"/>
      </w:pPr>
      <w:r>
        <w:t xml:space="preserve">        (public)/blog/page.tsx</w:t>
      </w:r>
    </w:p>
    <w:p>
      <w:pPr>
        <w:pStyle w:val="CodeBlock"/>
        <w:keepNext w:val="0"/>
        <w:shd w:fill="F0F4F6"/>
      </w:pPr>
      <w:r>
        <w:t xml:space="preserve">        (public)/blog/[slug]/page.tsx</w:t>
      </w:r>
    </w:p>
    <w:p>
      <w:pPr>
        <w:pStyle w:val="CodeBlock"/>
        <w:keepNext w:val="0"/>
        <w:shd w:fill="F0F4F6"/>
      </w:pPr>
      <w:r>
        <w:t xml:space="preserve">        sitemap.ts</w:t>
      </w:r>
    </w:p>
    <w:p>
      <w:pPr>
        <w:pStyle w:val="CodeBlock"/>
        <w:keepNext w:val="0"/>
        <w:shd w:fill="F0F4F6"/>
      </w:pPr>
      <w:r>
        <w:t xml:space="preserve">        robots.ts</w:t>
      </w:r>
    </w:p>
    <w:p>
      <w:pPr>
        <w:pStyle w:val="CodeBlock"/>
        <w:keepNext w:val="0"/>
        <w:shd w:fill="F0F4F6"/>
      </w:pPr>
      <w:r>
        <w:t xml:space="preserve">        not-found.tsx</w:t>
      </w:r>
    </w:p>
    <w:p>
      <w:pPr>
        <w:pStyle w:val="CodeBlock"/>
        <w:keepNext w:val="0"/>
        <w:shd w:fill="F0F4F6"/>
      </w:pPr>
      <w:r>
        <w:t xml:space="preserve">        error.tsx</w:t>
      </w:r>
    </w:p>
    <w:p>
      <w:pPr>
        <w:pStyle w:val="CodeBlock"/>
        <w:keepNext w:val="0"/>
        <w:shd w:fill="F0F4F6"/>
      </w:pPr>
      <w:r>
        <w:t xml:space="preserve">      src/components/blocks/BlockRenderer.tsx</w:t>
      </w:r>
    </w:p>
    <w:p>
      <w:pPr>
        <w:pStyle w:val="CodeBlock"/>
        <w:keepNext w:val="0"/>
        <w:shd w:fill="F0F4F6"/>
      </w:pPr>
      <w:r>
        <w:t xml:space="preserve">      src/components/blocks/registry.ts</w:t>
      </w:r>
    </w:p>
    <w:p>
      <w:pPr>
        <w:pStyle w:val="CodeBlock"/>
        <w:keepNext w:val="0"/>
        <w:shd w:fill="F0F4F6"/>
      </w:pPr>
      <w:r>
        <w:t xml:space="preserve">      src/components/forms/DynamicForm.tsx</w:t>
      </w:r>
    </w:p>
    <w:p>
      <w:pPr>
        <w:pStyle w:val="CodeBlock"/>
        <w:keepNext w:val="0"/>
        <w:shd w:fill="F0F4F6"/>
      </w:pPr>
      <w:r>
        <w:t xml:space="preserve">      src/components/consent/ConsentProvider.tsx</w:t>
      </w:r>
    </w:p>
    <w:p>
      <w:pPr>
        <w:pStyle w:val="CodeBlock"/>
        <w:keepNext w:val="0"/>
        <w:shd w:fill="F0F4F6"/>
      </w:pPr>
      <w:r>
        <w:t xml:space="preserve">      src/lib/api-client.ts</w:t>
      </w:r>
    </w:p>
    <w:p>
      <w:pPr>
        <w:pStyle w:val="CodeBlock"/>
        <w:keepNext w:val="0"/>
        <w:shd w:fill="F0F4F6"/>
      </w:pPr>
      <w:r>
        <w:t xml:space="preserve">      src/lib/published-content.ts</w:t>
      </w:r>
    </w:p>
    <w:p>
      <w:pPr>
        <w:pStyle w:val="CodeBlock"/>
        <w:keepNext w:val="0"/>
        <w:shd w:fill="F0F4F6"/>
      </w:pPr>
      <w:r>
        <w:t xml:space="preserve">      src/lib/metadata.ts</w:t>
      </w:r>
    </w:p>
    <w:p>
      <w:pPr>
        <w:pStyle w:val="CodeBlock"/>
        <w:keepNext w:val="0"/>
        <w:shd w:fill="F0F4F6"/>
      </w:pPr>
      <w:r>
        <w:t xml:space="preserve">      src/lib/cache-policy.ts</w:t>
      </w:r>
    </w:p>
    <w:p>
      <w:pPr>
        <w:pStyle w:val="CodeBlock"/>
        <w:keepNext w:val="0"/>
        <w:shd w:fill="F0F4F6"/>
      </w:pPr>
      <w:r>
        <w:t xml:space="preserve">      src/lib/tracking.ts</w:t>
      </w:r>
    </w:p>
    <w:p>
      <w:pPr>
        <w:pStyle w:val="CodeBlock"/>
        <w:keepNext w:val="0"/>
        <w:shd w:fill="F0F4F6"/>
      </w:pPr>
      <w:r>
        <w:t xml:space="preserve">      src/styles/globals.css</w:t>
      </w:r>
    </w:p>
    <w:p>
      <w:pPr>
        <w:pStyle w:val="CodeBlock"/>
        <w:keepNext w:val="0"/>
        <w:shd w:fill="F0F4F6"/>
      </w:pPr>
      <w:r>
        <w:t xml:space="preserve">      tests/</w:t>
      </w:r>
    </w:p>
    <w:p>
      <w:pPr>
        <w:pStyle w:val="CodeBlock"/>
        <w:keepNext w:val="0"/>
        <w:shd w:fill="F0F4F6"/>
      </w:pPr>
      <w:r>
        <w:t xml:space="preserve">      next.config.ts</w:t>
      </w:r>
    </w:p>
    <w:p>
      <w:pPr>
        <w:pStyle w:val="CodeBlock"/>
        <w:keepNext w:val="0"/>
        <w:shd w:fill="F0F4F6"/>
      </w:pPr>
      <w:r>
        <w:t xml:space="preserve">      Dockerfile</w:t>
      </w:r>
    </w:p>
    <w:p>
      <w:pPr>
        <w:pStyle w:val="CodeBlock"/>
        <w:keepNext w:val="0"/>
        <w:shd w:fill="F0F4F6"/>
      </w:pPr>
      <w:r>
        <w:t xml:space="preserve">    admin/</w:t>
      </w:r>
    </w:p>
    <w:p>
      <w:pPr>
        <w:pStyle w:val="CodeBlock"/>
        <w:keepNext w:val="0"/>
        <w:shd w:fill="F0F4F6"/>
      </w:pPr>
      <w:r>
        <w:t xml:space="preserve">      src/features/pages/</w:t>
      </w:r>
    </w:p>
    <w:p>
      <w:pPr>
        <w:pStyle w:val="CodeBlock"/>
        <w:keepNext w:val="0"/>
        <w:shd w:fill="F0F4F6"/>
      </w:pPr>
      <w:r>
        <w:t xml:space="preserve">      src/features/page-builder/</w:t>
      </w:r>
    </w:p>
    <w:p>
      <w:pPr>
        <w:pStyle w:val="CodeBlock"/>
        <w:keepNext w:val="0"/>
        <w:shd w:fill="F0F4F6"/>
      </w:pPr>
      <w:r>
        <w:t xml:space="preserve">      src/features/blog/</w:t>
      </w:r>
    </w:p>
    <w:p>
      <w:pPr>
        <w:pStyle w:val="CodeBlock"/>
        <w:keepNext w:val="0"/>
        <w:shd w:fill="F0F4F6"/>
      </w:pPr>
      <w:r>
        <w:t xml:space="preserve">      src/features/media/</w:t>
      </w:r>
    </w:p>
    <w:p>
      <w:pPr>
        <w:pStyle w:val="CodeBlock"/>
        <w:keepNext w:val="0"/>
        <w:shd w:fill="F0F4F6"/>
      </w:pPr>
      <w:r>
        <w:t xml:space="preserve">      src/features/forms/</w:t>
      </w:r>
    </w:p>
    <w:p>
      <w:pPr>
        <w:pStyle w:val="CodeBlock"/>
        <w:keepNext w:val="0"/>
        <w:shd w:fill="F0F4F6"/>
      </w:pPr>
      <w:r>
        <w:t xml:space="preserve">      src/features/leads/</w:t>
      </w:r>
    </w:p>
    <w:p>
      <w:pPr>
        <w:pStyle w:val="CodeBlock"/>
        <w:keepNext w:val="0"/>
        <w:shd w:fill="F0F4F6"/>
      </w:pPr>
      <w:r>
        <w:t xml:space="preserve">      src/features/seo/</w:t>
      </w:r>
    </w:p>
    <w:p>
      <w:pPr>
        <w:pStyle w:val="CodeBlock"/>
        <w:keepNext w:val="0"/>
        <w:shd w:fill="F0F4F6"/>
      </w:pPr>
      <w:r>
        <w:t xml:space="preserve">      src/features/integrations/</w:t>
      </w:r>
    </w:p>
    <w:p>
      <w:pPr>
        <w:pStyle w:val="CodeBlock"/>
        <w:keepNext w:val="0"/>
        <w:shd w:fill="F0F4F6"/>
      </w:pPr>
      <w:r>
        <w:t xml:space="preserve">      src/features/privacy/</w:t>
      </w:r>
    </w:p>
    <w:p>
      <w:pPr>
        <w:pStyle w:val="CodeBlock"/>
        <w:keepNext w:val="0"/>
        <w:shd w:fill="F0F4F6"/>
      </w:pPr>
      <w:r>
        <w:t xml:space="preserve">      src/features/users/</w:t>
      </w:r>
    </w:p>
    <w:p>
      <w:pPr>
        <w:pStyle w:val="CodeBlock"/>
        <w:keepNext w:val="0"/>
        <w:shd w:fill="F0F4F6"/>
      </w:pPr>
      <w:r>
        <w:t xml:space="preserve">      src/features/audit/</w:t>
      </w:r>
    </w:p>
    <w:p>
      <w:pPr>
        <w:pStyle w:val="CodeBlock"/>
        <w:keepNext w:val="0"/>
        <w:shd w:fill="F0F4F6"/>
      </w:pPr>
      <w:r>
        <w:t xml:space="preserve">      src/lib/permissions.ts</w:t>
      </w:r>
    </w:p>
    <w:p>
      <w:pPr>
        <w:pStyle w:val="CodeBlock"/>
        <w:keepNext w:val="0"/>
        <w:shd w:fill="F0F4F6"/>
      </w:pPr>
      <w:r>
        <w:t xml:space="preserve">      src/lib/api-client.ts</w:t>
      </w:r>
    </w:p>
    <w:p>
      <w:pPr>
        <w:pStyle w:val="CodeBlock"/>
        <w:keepNext w:val="0"/>
        <w:shd w:fill="F0F4F6"/>
      </w:pPr>
      <w:r>
        <w:t xml:space="preserve">      tests/</w:t>
      </w:r>
    </w:p>
    <w:p>
      <w:pPr>
        <w:pStyle w:val="CodeBlock"/>
        <w:keepNext w:val="0"/>
        <w:shd w:fill="F0F4F6"/>
      </w:pPr>
      <w:r>
        <w:t xml:space="preserve">      Dockerfile</w:t>
      </w:r>
    </w:p>
    <w:p>
      <w:pPr>
        <w:pStyle w:val="CodeBlock"/>
        <w:keepNext w:val="0"/>
        <w:shd w:fill="F0F4F6"/>
      </w:pPr>
      <w:r>
        <w:t xml:space="preserve">    api/</w:t>
      </w:r>
    </w:p>
    <w:p>
      <w:pPr>
        <w:pStyle w:val="CodeBlock"/>
        <w:keepNext w:val="0"/>
        <w:shd w:fill="F0F4F6"/>
      </w:pPr>
      <w:r>
        <w:t xml:space="preserve">      src/main.ts</w:t>
      </w:r>
    </w:p>
    <w:p>
      <w:pPr>
        <w:pStyle w:val="CodeBlock"/>
        <w:keepNext w:val="0"/>
        <w:shd w:fill="F0F4F6"/>
      </w:pPr>
      <w:r>
        <w:t xml:space="preserve">      src/app.module.ts</w:t>
      </w:r>
    </w:p>
    <w:p>
      <w:pPr>
        <w:pStyle w:val="CodeBlock"/>
        <w:keepNext w:val="0"/>
        <w:shd w:fill="F0F4F6"/>
      </w:pPr>
      <w:r>
        <w:t xml:space="preserve">      src/config/env.schema.ts</w:t>
      </w:r>
    </w:p>
    <w:p>
      <w:pPr>
        <w:pStyle w:val="CodeBlock"/>
        <w:keepNext w:val="0"/>
        <w:shd w:fill="F0F4F6"/>
      </w:pPr>
      <w:r>
        <w:t xml:space="preserve">      src/common/authz/</w:t>
      </w:r>
    </w:p>
    <w:p>
      <w:pPr>
        <w:pStyle w:val="CodeBlock"/>
        <w:keepNext w:val="0"/>
        <w:shd w:fill="F0F4F6"/>
      </w:pPr>
      <w:r>
        <w:t xml:space="preserve">      src/common/errors/</w:t>
      </w:r>
    </w:p>
    <w:p>
      <w:pPr>
        <w:pStyle w:val="CodeBlock"/>
        <w:keepNext w:val="0"/>
        <w:shd w:fill="F0F4F6"/>
      </w:pPr>
      <w:r>
        <w:t xml:space="preserve">      src/common/validation/</w:t>
      </w:r>
    </w:p>
    <w:p>
      <w:pPr>
        <w:pStyle w:val="CodeBlock"/>
        <w:keepNext w:val="0"/>
        <w:shd w:fill="F0F4F6"/>
      </w:pPr>
      <w:r>
        <w:t xml:space="preserve">      src/common/observability/</w:t>
      </w:r>
    </w:p>
    <w:p>
      <w:pPr>
        <w:pStyle w:val="CodeBlock"/>
        <w:keepNext w:val="0"/>
        <w:shd w:fill="F0F4F6"/>
      </w:pPr>
      <w:r>
        <w:t xml:space="preserve">      src/modules/{sites,identity,content,media}/</w:t>
      </w:r>
    </w:p>
    <w:p>
      <w:pPr>
        <w:pStyle w:val="CodeBlock"/>
        <w:keepNext w:val="0"/>
        <w:shd w:fill="F0F4F6"/>
      </w:pPr>
      <w:r>
        <w:t xml:space="preserve">      src/modules/{forms,leads,privacy,measurement}/</w:t>
      </w:r>
    </w:p>
    <w:p>
      <w:pPr>
        <w:pStyle w:val="CodeBlock"/>
        <w:keepNext w:val="0"/>
        <w:shd w:fill="F0F4F6"/>
      </w:pPr>
      <w:r>
        <w:t xml:space="preserve">      src/modules/{integrations,audit,operations}/</w:t>
      </w:r>
    </w:p>
    <w:p>
      <w:pPr>
        <w:pStyle w:val="CodeBlock"/>
        <w:keepNext w:val="0"/>
        <w:shd w:fill="F0F4F6"/>
      </w:pPr>
      <w:r>
        <w:t xml:space="preserve">      src/modules/{commerce,booking,portal}/</w:t>
      </w:r>
    </w:p>
    <w:p>
      <w:pPr>
        <w:pStyle w:val="CodeBlock"/>
        <w:keepNext w:val="0"/>
        <w:shd w:fill="F0F4F6"/>
      </w:pPr>
      <w:r>
        <w:t xml:space="preserve">      prisma/schema.prisma</w:t>
      </w:r>
    </w:p>
    <w:p>
      <w:pPr>
        <w:pStyle w:val="CodeBlock"/>
        <w:keepNext w:val="0"/>
        <w:shd w:fill="F0F4F6"/>
      </w:pPr>
      <w:r>
        <w:t xml:space="preserve">      prisma/migrations/</w:t>
      </w:r>
    </w:p>
    <w:p>
      <w:pPr>
        <w:pStyle w:val="CodeBlock"/>
        <w:keepNext w:val="0"/>
        <w:shd w:fill="F0F4F6"/>
      </w:pPr>
      <w:r>
        <w:t xml:space="preserve">      prisma/seed.ts</w:t>
      </w:r>
    </w:p>
    <w:p>
      <w:pPr>
        <w:pStyle w:val="CodeBlock"/>
        <w:keepNext w:val="0"/>
        <w:shd w:fill="F0F4F6"/>
      </w:pPr>
      <w:r>
        <w:t xml:space="preserve">      test/</w:t>
      </w:r>
    </w:p>
    <w:p>
      <w:pPr>
        <w:pStyle w:val="CodeBlock"/>
        <w:keepNext w:val="0"/>
        <w:shd w:fill="F0F4F6"/>
      </w:pPr>
      <w:r>
        <w:t xml:space="preserve">      Dockerfile</w:t>
      </w:r>
    </w:p>
    <w:p>
      <w:pPr>
        <w:pStyle w:val="CodeBlock"/>
        <w:keepNext w:val="0"/>
        <w:shd w:fill="F0F4F6"/>
      </w:pPr>
      <w:r>
        <w:t xml:space="preserve">    worker/</w:t>
      </w:r>
    </w:p>
    <w:p>
      <w:pPr>
        <w:pStyle w:val="CodeBlock"/>
        <w:keepNext w:val="0"/>
        <w:shd w:fill="F0F4F6"/>
      </w:pPr>
      <w:r>
        <w:t xml:space="preserve">      src/main.ts</w:t>
      </w:r>
    </w:p>
    <w:p>
      <w:pPr>
        <w:pStyle w:val="CodeBlock"/>
        <w:keepNext w:val="0"/>
        <w:shd w:fill="F0F4F6"/>
      </w:pPr>
      <w:r>
        <w:t xml:space="preserve">      src/jobs/{outbox,publish,media,crm,retention}/</w:t>
      </w:r>
    </w:p>
    <w:p>
      <w:pPr>
        <w:pStyle w:val="CodeBlock"/>
        <w:keepNext w:val="0"/>
        <w:shd w:fill="F0F4F6"/>
      </w:pPr>
      <w:r>
        <w:t xml:space="preserve">      src/adapters/{google-ads,meta,email,storage}/</w:t>
      </w:r>
    </w:p>
    <w:p>
      <w:pPr>
        <w:pStyle w:val="CodeBlock"/>
        <w:keepNext w:val="0"/>
        <w:shd w:fill="F0F4F6"/>
      </w:pPr>
      <w:r>
        <w:t xml:space="preserve">      tests/</w:t>
      </w:r>
    </w:p>
    <w:p>
      <w:pPr>
        <w:pStyle w:val="CodeBlock"/>
        <w:keepNext w:val="0"/>
        <w:shd w:fill="F0F4F6"/>
      </w:pPr>
      <w:r>
        <w:t xml:space="preserve">      Dockerfile</w:t>
      </w:r>
    </w:p>
    <w:p>
      <w:pPr>
        <w:pStyle w:val="CodeBlock"/>
        <w:keepNext w:val="0"/>
        <w:shd w:fill="F0F4F6"/>
      </w:pPr>
      <w:r>
        <w:t xml:space="preserve">    python-worker/                 # optional</w:t>
      </w:r>
    </w:p>
    <w:p>
      <w:pPr>
        <w:pStyle w:val="CodeBlock"/>
        <w:keepNext w:val="0"/>
        <w:shd w:fill="F0F4F6"/>
      </w:pPr>
      <w:r>
        <w:t xml:space="preserve">      pyproject.toml</w:t>
      </w:r>
    </w:p>
    <w:p>
      <w:pPr>
        <w:pStyle w:val="CodeBlock"/>
        <w:keepNext w:val="0"/>
        <w:shd w:fill="F0F4F6"/>
      </w:pPr>
      <w:r>
        <w:t xml:space="preserve">      src/jobs/</w:t>
      </w:r>
    </w:p>
    <w:p>
      <w:pPr>
        <w:pStyle w:val="CodeBlock"/>
        <w:keepNext w:val="0"/>
        <w:shd w:fill="F0F4F6"/>
      </w:pPr>
      <w:r>
        <w:t xml:space="preserve">      src/contracts/</w:t>
      </w:r>
    </w:p>
    <w:p>
      <w:pPr>
        <w:pStyle w:val="CodeBlock"/>
        <w:keepNext w:val="0"/>
        <w:shd w:fill="F0F4F6"/>
      </w:pPr>
      <w:r>
        <w:t xml:space="preserve">      tests/</w:t>
      </w:r>
    </w:p>
    <w:p>
      <w:pPr>
        <w:pStyle w:val="CodeBlock"/>
        <w:keepNext w:val="0"/>
        <w:shd w:fill="F0F4F6"/>
      </w:pPr>
      <w:r>
        <w:t xml:space="preserve">      Dockerfile</w:t>
      </w:r>
    </w:p>
    <w:p>
      <w:pPr>
        <w:pStyle w:val="CodeBlock"/>
        <w:keepNext w:val="0"/>
        <w:shd w:fill="F0F4F6"/>
      </w:pPr>
      <w:r>
        <w:t xml:space="preserve">  packages/</w:t>
      </w:r>
    </w:p>
    <w:p>
      <w:pPr>
        <w:pStyle w:val="CodeBlock"/>
        <w:keepNext w:val="0"/>
        <w:shd w:fill="F0F4F6"/>
      </w:pPr>
      <w:r>
        <w:t xml:space="preserve">    ui/src/{tokens,components}/</w:t>
      </w:r>
    </w:p>
    <w:p>
      <w:pPr>
        <w:pStyle w:val="CodeBlock"/>
        <w:keepNext w:val="0"/>
        <w:shd w:fill="F0F4F6"/>
      </w:pPr>
      <w:r>
        <w:t xml:space="preserve">    content-schema/src/{blocks,versions,migrations}/</w:t>
      </w:r>
    </w:p>
    <w:p>
      <w:pPr>
        <w:pStyle w:val="CodeBlock"/>
        <w:keepNext w:val="0"/>
        <w:shd w:fill="F0F4F6"/>
      </w:pPr>
      <w:r>
        <w:t xml:space="preserve">    event-schema/src/{events,destinations,redaction}/</w:t>
      </w:r>
    </w:p>
    <w:p>
      <w:pPr>
        <w:pStyle w:val="CodeBlock"/>
        <w:keepNext w:val="0"/>
        <w:shd w:fill="F0F4F6"/>
      </w:pPr>
      <w:r>
        <w:t xml:space="preserve">    api-contracts/{openapi,graphql,soap}/</w:t>
      </w:r>
    </w:p>
    <w:p>
      <w:pPr>
        <w:pStyle w:val="CodeBlock"/>
        <w:keepNext w:val="0"/>
        <w:shd w:fill="F0F4F6"/>
      </w:pPr>
      <w:r>
        <w:t xml:space="preserve">    config/src/{features,site-public,site-private}/</w:t>
      </w:r>
    </w:p>
    <w:p>
      <w:pPr>
        <w:pStyle w:val="CodeBlock"/>
        <w:keepNext w:val="0"/>
        <w:shd w:fill="F0F4F6"/>
      </w:pPr>
      <w:r>
        <w:t xml:space="preserve">    test-fixtures/</w:t>
      </w:r>
    </w:p>
    <w:p>
      <w:pPr>
        <w:pStyle w:val="CodeBlock"/>
        <w:keepNext w:val="0"/>
        <w:shd w:fill="F0F4F6"/>
      </w:pPr>
      <w:r>
        <w:t xml:space="preserve">  sites/example/{brand.config.ts,module.config.ts}</w:t>
      </w:r>
    </w:p>
    <w:p>
      <w:pPr>
        <w:pStyle w:val="CodeBlock"/>
        <w:keepNext w:val="0"/>
        <w:shd w:fill="F0F4F6"/>
      </w:pPr>
      <w:r>
        <w:t xml:space="preserve">  infra/</w:t>
      </w:r>
    </w:p>
    <w:p>
      <w:pPr>
        <w:pStyle w:val="CodeBlock"/>
        <w:keepNext w:val="0"/>
        <w:shd w:fill="F0F4F6"/>
      </w:pPr>
      <w:r>
        <w:t xml:space="preserve">    compose/{compose.yml,compose.prod.yml}</w:t>
      </w:r>
    </w:p>
    <w:p>
      <w:pPr>
        <w:pStyle w:val="CodeBlock"/>
        <w:keepNext w:val="0"/>
        <w:shd w:fill="F0F4F6"/>
      </w:pPr>
      <w:r>
        <w:t xml:space="preserve">    native/{systemd,reverse-proxy}/</w:t>
      </w:r>
    </w:p>
    <w:p>
      <w:pPr>
        <w:pStyle w:val="CodeBlock"/>
        <w:keepNext w:val="0"/>
        <w:shd w:fill="F0F4F6"/>
      </w:pPr>
      <w:r>
        <w:t xml:space="preserve">    terraform/{modules,environments}/</w:t>
      </w:r>
    </w:p>
    <w:p>
      <w:pPr>
        <w:pStyle w:val="CodeBlock"/>
        <w:keepNext w:val="0"/>
        <w:shd w:fill="F0F4F6"/>
      </w:pPr>
      <w:r>
        <w:t xml:space="preserve">    helm/website-platform/</w:t>
      </w:r>
    </w:p>
    <w:p>
      <w:pPr>
        <w:pStyle w:val="CodeBlock"/>
        <w:keepNext w:val="0"/>
        <w:shd w:fill="F0F4F6"/>
      </w:pPr>
      <w:r>
        <w:t xml:space="preserve">  scripts/{bootstrap,doctor,migrate,backup,restore}/</w:t>
      </w:r>
    </w:p>
    <w:p>
      <w:pPr>
        <w:pStyle w:val="CodeBlock"/>
        <w:keepNext w:val="0"/>
        <w:shd w:fill="F0F4F6"/>
      </w:pPr>
      <w:r>
        <w:t xml:space="preserve">  tests/{e2e,accessibility,performance,security,tracking}/</w:t>
      </w:r>
    </w:p>
    <w:p>
      <w:pPr>
        <w:pStyle w:val="CodeBlock"/>
        <w:keepNext w:val="0"/>
        <w:shd w:fill="F0F4F6"/>
      </w:pPr>
      <w:r>
        <w:t xml:space="preserve">  docs/{architecture,content,events,privacy,runbooks}/</w:t>
      </w:r>
    </w:p>
    <w:p>
      <w:pPr>
        <w:pStyle w:val="CodeBlock"/>
        <w:keepNext/>
        <w:shd w:fill="F0F4F6"/>
      </w:pPr>
      <w:r>
        <w:t xml:space="preserve">  docs/{decisions,owner-guide,acceptance,release-notes}/</w:t>
      </w:r>
    </w:p>
    <w:p>
      <w:pPr>
        <w:pStyle w:val="CodeBlock"/>
        <w:keepNext w:val="0"/>
        <w:shd w:fill="F0F4F6"/>
      </w:pPr>
      <w:r>
        <w:t xml:space="preserve">  .github/workflows/{ci.yml,release.yml}</w:t>
      </w:r>
    </w:p>
    <w:p>
      <w:pPr>
        <w:spacing w:after="0" w:before="20"/>
      </w:pPr>
    </w:p>
    <w:p>
      <w:pPr>
        <w:pStyle w:val="Heading2"/>
      </w:pPr>
      <w:r>
        <w:t>27.2 Standard module structure</w:t>
      </w:r>
    </w:p>
    <w:p>
      <w:r>
        <w:t>A backend capability contains module wiring, transport controllers/resolvers, request/response models, application use cases, domain rules, repositories, integration interfaces, and tests. A frontend feature contains views, small components, validation, API hooks, state handling, and tests. Avoid a global utilities folder becoming an undocumented dependency hub.</w:t>
      </w:r>
    </w:p>
    <w:p>
      <w:r>
        <w:t>Keep block schemas and event schemas reusable across editor, renderer, API validation, and test fixtures. Share stable types, not server secrets or database clients with browser bundles. Generated API clients are rebuilt in CI and checked for drift. Site content lives in the CMS; brand configuration and enabled modules are versioned separately.</w:t>
      </w:r>
    </w:p>
    <w:p>
      <w:pPr>
        <w:pStyle w:val="Heading2"/>
      </w:pPr>
      <w:r>
        <w:t>27.3 Coding and dependency policy</w:t>
      </w:r>
    </w:p>
    <w:p>
      <w:r>
        <w:t>Use strict TypeScript, linting, formatting, type checks, unit tests, and consistent error handling. Prefer small cohesive functions and explicit domain names. Validate external data at runtime even when TypeScript types exist. Define dependency direction and prevent circular imports.</w:t>
      </w:r>
    </w:p>
    <w:p>
      <w:r>
        <w:t>Pin dependency versions through lockfiles, track runtime support windows, review licenses, and record major upgrades. Maintain a software bill of materials and vulnerability triage process. Remove unused packages and abandoned integrations. Do not claim that open source has no maintenance or security costs.</w:t>
      </w:r>
    </w:p>
    <w:p>
      <w:pPr>
        <w:pStyle w:val="Heading2"/>
      </w:pPr>
      <w:r>
        <w:t>27.4 Developer commands</w:t>
      </w:r>
    </w:p>
    <w:p>
      <w:r>
        <w:t>The repository must implement a predictable command interface such as install, bootstrap, doctor, dev, test, test:e2e, lint, typecheck, build, migrate, seed:demo, backup, restore:verify, and start:prod. These are command requirements, not claims that the repository already exists.</w:t>
      </w:r>
    </w:p>
    <w:p>
      <w:r>
        <w:t>Bootstrap must not overwrite a working .env file, delete a database, rotate secrets without approval, or seed fake business records into production. Doctor should detect missing services, unsafe defaults, incompatible versions, and disabled-module configuration conflicts. Destructive commands require explicit confirmation and environment guards.</w:t>
      </w:r>
    </w:p>
    <w:p>
      <w:pPr>
        <w:pStyle w:val="Heading2"/>
        <w:keepNext/>
        <w:widowControl/>
      </w:pPr>
      <w:r>
        <w:t>27.5 Implementation extensions</w:t>
      </w:r>
    </w:p>
    <w:p>
      <w:pPr>
        <w:widowControl/>
      </w:pPr>
      <w:r>
        <w:t>Add the concrete paths and module contracts in Chapter 40 to this repository tree. Build context policy/projections, campaign capture, experiment assignment/results, one location request flow, protected chatbot capture, manual content preservation and audit integrity as tested shared services. All additions require real code, schema migrations, API fixtures, owner UI and runbooks—not empty scaffold directories.</w:t>
      </w:r>
    </w:p>
    <w:p>
      <w:pPr>
        <w:pStyle w:val="Heading3"/>
      </w:pPr>
      <w:r>
        <w:t>Version 1.2 integration</w:t>
      </w:r>
    </w:p>
    <w:p>
      <w:pPr/>
      <w:r>
        <w:t>Extend the repository with Chapter 63 and Appendix J. Each path represents implemented responsibilities plus tests/runbooks. A scaffold or mocked provider response is not completion.</w:t>
      </w:r>
    </w:p>
    <w:p>
      <w:pPr>
        <w:pStyle w:val="Heading1"/>
        <w:pageBreakBefore w:val="0"/>
        <w:spacing w:before="400"/>
        <w:pBdr>
          <w:bottom w:val="single" w:sz="8" w:color="087F83" w:space="8"/>
        </w:pBdr>
      </w:pPr>
      <w:bookmarkStart w:id="30" w:name="chapter_28"/>
      <w:bookmarkStart w:id="287" w:name="v12_ch28"/>
      <w:r>
        <w:t>28 | Hosting, Docker, Kubernetes, and Terraform</w:t>
      </w:r>
      <w:bookmarkEnd w:id="30"/>
      <w:bookmarkEnd w:id="287"/>
      <w:bookmarkStart w:id="578" w:name="tocfinal_ch_28"/>
      <w:bookmarkEnd w:id="578"/>
    </w:p>
    <w:p>
      <w:pPr>
        <w:pStyle w:val="Heading2"/>
      </w:pPr>
      <w:r>
        <w:t>28.1 Supported deployment profiles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Profile</w:t>
            </w:r>
          </w:p>
        </w:tc>
        <w:tc>
          <w:tcPr>
            <w:tcW w:type="dxa" w:w="3883"/>
            <w:vAlign w:val="top"/>
            <w:tcMar>
              <w:top w:w="85" w:type="dxa"/>
              <w:bottom w:w="85" w:type="dxa"/>
              <w:left w:w="95" w:type="dxa"/>
              <w:right w:w="95" w:type="dxa"/>
            </w:tcMar>
            <w:shd w:fill="163349"/>
          </w:tcPr>
          <w:p>
            <w:pPr>
              <w:pStyle w:val="TableText"/>
              <w:keepNext/>
              <w:spacing w:after="20"/>
            </w:pPr>
            <w:r>
              <w:rPr>
                <w:b/>
                <w:color w:val="FFFFFF"/>
              </w:rPr>
              <w:t>Components and purpose</w:t>
            </w:r>
          </w:p>
        </w:tc>
        <w:tc>
          <w:tcPr>
            <w:tcW w:type="dxa" w:w="3687"/>
            <w:vAlign w:val="top"/>
            <w:tcMar>
              <w:top w:w="85" w:type="dxa"/>
              <w:bottom w:w="85" w:type="dxa"/>
              <w:left w:w="95" w:type="dxa"/>
              <w:right w:w="95" w:type="dxa"/>
            </w:tcMar>
            <w:shd w:fill="163349"/>
          </w:tcPr>
          <w:p>
            <w:pPr>
              <w:pStyle w:val="TableText"/>
              <w:keepNext/>
              <w:spacing w:after="20"/>
            </w:pPr>
            <w:r>
              <w:rPr>
                <w:b/>
                <w:color w:val="FFFFFF"/>
              </w:rPr>
              <w:t>Tradeoff</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Native small-site</w:t>
            </w:r>
          </w:p>
        </w:tc>
        <w:tc>
          <w:tcPr>
            <w:tcW w:type="dxa" w:w="3883"/>
            <w:vAlign w:val="top"/>
            <w:tcMar>
              <w:top w:w="85" w:type="dxa"/>
              <w:bottom w:w="85" w:type="dxa"/>
              <w:left w:w="95" w:type="dxa"/>
              <w:right w:w="95" w:type="dxa"/>
            </w:tcMar>
            <w:shd w:fill="FFFFFF"/>
          </w:tcPr>
          <w:p>
            <w:pPr>
              <w:pStyle w:val="TableText"/>
              <w:keepNext w:val="0"/>
              <w:spacing w:after="20"/>
            </w:pPr>
            <w:r>
              <w:t>Reverse proxy, web/API/worker as supervised processes, PostgreSQL, object storage, optional Redis.</w:t>
            </w:r>
          </w:p>
        </w:tc>
        <w:tc>
          <w:tcPr>
            <w:tcW w:type="dxa" w:w="3687"/>
            <w:vAlign w:val="top"/>
            <w:tcMar>
              <w:top w:w="85" w:type="dxa"/>
              <w:bottom w:w="85" w:type="dxa"/>
              <w:left w:w="95" w:type="dxa"/>
              <w:right w:w="95" w:type="dxa"/>
            </w:tcMar>
            <w:shd w:fill="FFFFFF"/>
          </w:tcPr>
          <w:p>
            <w:pPr>
              <w:pStyle w:val="TableText"/>
              <w:keepNext w:val="0"/>
              <w:spacing w:after="20"/>
            </w:pPr>
            <w:r>
              <w:t>Low orchestration overhead; team owns OS, process, patch, and recovery operations.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Docker Compose</w:t>
            </w:r>
          </w:p>
        </w:tc>
        <w:tc>
          <w:tcPr>
            <w:tcW w:type="dxa" w:w="3883"/>
            <w:vAlign w:val="top"/>
            <w:tcMar>
              <w:top w:w="85" w:type="dxa"/>
              <w:bottom w:w="85" w:type="dxa"/>
              <w:left w:w="95" w:type="dxa"/>
              <w:right w:w="95" w:type="dxa"/>
            </w:tcMar>
            <w:shd w:fill="F3F7F9"/>
          </w:tcPr>
          <w:p>
            <w:pPr>
              <w:pStyle w:val="TableText"/>
              <w:keepNext w:val="0"/>
              <w:spacing w:after="20"/>
            </w:pPr>
            <w:r>
              <w:t>Same services in pinned images with persistent volumes, health checks, resource controls, and external backup.</w:t>
            </w:r>
          </w:p>
        </w:tc>
        <w:tc>
          <w:tcPr>
            <w:tcW w:type="dxa" w:w="3687"/>
            <w:vAlign w:val="top"/>
            <w:tcMar>
              <w:top w:w="85" w:type="dxa"/>
              <w:bottom w:w="85" w:type="dxa"/>
              <w:left w:w="95" w:type="dxa"/>
              <w:right w:w="95" w:type="dxa"/>
            </w:tcMar>
            <w:shd w:fill="F3F7F9"/>
          </w:tcPr>
          <w:p>
            <w:pPr>
              <w:pStyle w:val="TableText"/>
              <w:keepNext w:val="0"/>
              <w:spacing w:after="20"/>
            </w:pPr>
            <w:r>
              <w:t>Repeatable deployment; single-host setup is not automatically highly available.</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Managed containers</w:t>
            </w:r>
          </w:p>
        </w:tc>
        <w:tc>
          <w:tcPr>
            <w:tcW w:type="dxa" w:w="3883"/>
            <w:vAlign w:val="top"/>
            <w:tcMar>
              <w:top w:w="85" w:type="dxa"/>
              <w:bottom w:w="85" w:type="dxa"/>
              <w:left w:w="95" w:type="dxa"/>
              <w:right w:w="95" w:type="dxa"/>
            </w:tcMar>
            <w:shd w:fill="FFFFFF"/>
          </w:tcPr>
          <w:p>
            <w:pPr>
              <w:pStyle w:val="TableText"/>
              <w:keepNext w:val="0"/>
              <w:spacing w:after="20"/>
            </w:pPr>
            <w:r>
              <w:t>Managed application/container services plus managed database/storage where justified.</w:t>
            </w:r>
          </w:p>
        </w:tc>
        <w:tc>
          <w:tcPr>
            <w:tcW w:type="dxa" w:w="3687"/>
            <w:vAlign w:val="top"/>
            <w:tcMar>
              <w:top w:w="85" w:type="dxa"/>
              <w:bottom w:w="85" w:type="dxa"/>
              <w:left w:w="95" w:type="dxa"/>
              <w:right w:w="95" w:type="dxa"/>
            </w:tcMar>
            <w:shd w:fill="FFFFFF"/>
          </w:tcPr>
          <w:p>
            <w:pPr>
              <w:pStyle w:val="TableText"/>
              <w:keepNext w:val="0"/>
              <w:spacing w:after="20"/>
            </w:pPr>
            <w:r>
              <w:t>Less infrastructure labor; verify portability, pricing, region, and provider limitations.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Kubernetes</w:t>
            </w:r>
          </w:p>
        </w:tc>
        <w:tc>
          <w:tcPr>
            <w:tcW w:type="dxa" w:w="3883"/>
            <w:vAlign w:val="top"/>
            <w:tcMar>
              <w:top w:w="85" w:type="dxa"/>
              <w:bottom w:w="85" w:type="dxa"/>
              <w:left w:w="95" w:type="dxa"/>
              <w:right w:w="95" w:type="dxa"/>
            </w:tcMar>
            <w:shd w:fill="F3F7F9"/>
          </w:tcPr>
          <w:p>
            <w:pPr>
              <w:pStyle w:val="TableText"/>
              <w:keepNext w:val="0"/>
              <w:spacing w:after="20"/>
            </w:pPr>
            <w:r>
              <w:t>Helm-managed workloads, ingress, network policy, autoscaling, secrets integration, monitoring, and external/stateful data strategy.</w:t>
            </w:r>
          </w:p>
        </w:tc>
        <w:tc>
          <w:tcPr>
            <w:tcW w:type="dxa" w:w="3687"/>
            <w:vAlign w:val="top"/>
            <w:tcMar>
              <w:top w:w="85" w:type="dxa"/>
              <w:bottom w:w="85" w:type="dxa"/>
              <w:left w:w="95" w:type="dxa"/>
              <w:right w:w="95" w:type="dxa"/>
            </w:tcMar>
            <w:shd w:fill="F3F7F9"/>
          </w:tcPr>
          <w:p>
            <w:pPr>
              <w:pStyle w:val="TableText"/>
              <w:keepNext w:val="0"/>
              <w:spacing w:after="20"/>
            </w:pPr>
            <w:r>
              <w:t>Use only with scale/availability needs and a team capable of operating it.</w:t>
            </w:r>
          </w:p>
        </w:tc>
      </w:tr>
    </w:tbl>
    <w:p>
      <w:pPr>
        <w:spacing w:after="0"/>
      </w:pPr>
    </w:p>
    <w:p>
      <w:r>
        <w:t>Core behavior must not depend on Kubernetes. Provide an implementation-tested native or Compose run path with equivalent business correctness. Disabling Redis requires a supported database-job/cache policy, not commenting out a dependency while leaving code that assumes it exists.</w:t>
      </w:r>
    </w:p>
    <w:p>
      <w:pPr>
        <w:pStyle w:val="Heading2"/>
      </w:pPr>
      <w:r>
        <w:t>28.2 Network and environment design</w:t>
      </w:r>
    </w:p>
    <w:p>
      <w:r>
        <w:t>Use separate development, staging, and production credentials and data. Production databases are private and inaccessible directly from browsers. Terminate TLS at a managed edge or reverse proxy, control forwarded headers, and restrict administrative surfaces appropriately. Give the public site, admin console, API, and workers only the permissions they need.</w:t>
      </w:r>
    </w:p>
    <w:p>
      <w:r>
        <w:t>Use a CDN for public static assets and safe public pages. Define cache invalidation, signed private delivery, origin protection, and failure behavior. Restrict object-storage permissions; public marketing assets and private customer uploads must not share accidental blanket-read policies. Account for CDN, database, and object-storage egress when planning cost.</w:t>
      </w:r>
    </w:p>
    <w:p>
      <w:pPr>
        <w:pStyle w:val="Heading2"/>
      </w:pPr>
      <w:r>
        <w:t>28.3 Container requirements</w:t>
      </w:r>
    </w:p>
    <w:p>
      <w:r>
        <w:t xml:space="preserve">Build multi-stage images, exclude secrets and development artifacts, run as non-root where feasible, use a minimal runtime base, and pin image versions/digests according to policy. Include health checks and clean shutdown handling. Rebuild images for security fixes, not only for feature changes. Docker's guidance supports disciplined image construction; a Dockerfile alone is not a deployment plan. </w:t>
      </w:r>
      <w:hyperlink w:anchor="ref_R43">
        <w:r>
          <w:rPr>
            <w:color w:val="087F83"/>
            <w:rFonts w:ascii="Lato" w:hAnsi="Lato"/>
            <w:sz w:val="19"/>
          </w:rPr>
          <w:t>[R43]</w:t>
        </w:r>
      </w:hyperlink>
      <w:r/>
    </w:p>
    <w:p>
      <w:r>
        <w:t>Persistent data must not live only inside an ephemeral application container. Keep migrations a controlled release step. Set memory/CPU limits and measure worker concurrency. Ensure shutdown gives in-flight requests/jobs a safe completion or retry path.</w:t>
      </w:r>
    </w:p>
    <w:p>
      <w:pPr>
        <w:pStyle w:val="Heading2"/>
      </w:pPr>
      <w:r>
        <w:t>28.4 Kubernetes-specific controls</w:t>
      </w:r>
    </w:p>
    <w:p>
      <w:r>
        <w:t>Use readiness, liveness, and startup probes with different purposes. Configure resource requests/limits, disruption budgets where appropriate, rollout strategy, network restrictions, ingress/TLS, secret integration, and autoscaling signals. Queue length may matter more than CPU for workers. Avoid autoscaling that overwhelms PostgreSQL connections.</w:t>
      </w:r>
    </w:p>
    <w:p>
      <w:r>
        <w:t xml:space="preserve">Prefer a managed PostgreSQL service or a database operation model the team can actually support. Stateful database operators require backup, failover, upgrade, and restore expertise; they are not an automatic simplification. Kubernetes Secrets require appropriate encryption and access controls; base64 representation is not encryption. </w:t>
      </w:r>
      <w:hyperlink w:anchor="ref_R36">
        <w:r>
          <w:rPr>
            <w:color w:val="087F83"/>
            <w:rFonts w:ascii="Lato" w:hAnsi="Lato"/>
            <w:sz w:val="19"/>
          </w:rPr>
          <w:t>[R36]</w:t>
        </w:r>
      </w:hyperlink>
      <w:r/>
    </w:p>
    <w:p>
      <w:pPr>
        <w:pStyle w:val="Heading2"/>
      </w:pPr>
      <w:r>
        <w:t>28.5 Terraform and infrastructure ownership</w:t>
      </w:r>
    </w:p>
    <w:p>
      <w:r>
        <w:t>Use reviewed modules for networks, compute, database, storage, CDN/DNS where supported, monitoring, and identity permissions. Keep environments separated through a documented state and access strategy. Review plans before apply; protect production against accidental destroy. Record manual changes and reconcile drift.</w:t>
      </w:r>
    </w:p>
    <w:p>
      <w:r>
        <w:t xml:space="preserve">Terraform state may contain sensitive values even when outputs are marked sensitive. Use secured remote state, encryption, restricted access, locking where supported, backup, and audited credentials. Do not commit state or secrets into Git. Provider-specific resources are allowed, but document the exit path and data export procedure. </w:t>
      </w:r>
      <w:hyperlink w:anchor="ref_R42">
        <w:r>
          <w:rPr>
            <w:color w:val="087F83"/>
            <w:rFonts w:ascii="Lato" w:hAnsi="Lato"/>
            <w:sz w:val="19"/>
          </w:rPr>
          <w:t>[R42]</w:t>
        </w:r>
      </w:hyperlink>
      <w:r/>
    </w:p>
    <w:p>
      <w:pPr>
        <w:pStyle w:val="Heading2"/>
      </w:pPr>
      <w:r>
        <w:t>28.6 Resizing and simplification</w:t>
      </w:r>
    </w:p>
    <w:p>
      <w:r>
        <w:t>Define measurable triggers for scaling: sustained latency, resource saturation, queue lag, database pressure, availability requirement, or team operating burden. Scaling traffic does not automatically require microservices. First examine caching, queries, indexes, media delivery, and third-party scripts.</w:t>
      </w:r>
    </w:p>
    <w:p>
      <w:r>
        <w:t>Test migration from the chosen profile to a simpler one using exports, environment configuration, database restore, and media manifests. Preserve domain, TLS, API contracts, event IDs, consent records, and business state. “Portable” is an acceptance test, not a diagram label.</w:t>
      </w:r>
    </w:p>
    <w:p>
      <w:pPr>
        <w:pStyle w:val="Heading3"/>
      </w:pPr>
      <w:r>
        <w:t>Version 1.2 integration</w:t>
      </w:r>
    </w:p>
    <w:p>
      <w:pPr/>
      <w:r>
        <w:t>Chapters 57 and 60 add domain/account continuity, DNS/TLS, realistic load, safe degradation and operating proof. Native/Docker correctness remains required; orchestration is an optional deployment choice.</w:t>
      </w:r>
    </w:p>
    <w:p>
      <w:pPr>
        <w:pStyle w:val="Heading1"/>
        <w:pageBreakBefore w:val="0"/>
        <w:spacing w:before="400"/>
        <w:pBdr>
          <w:bottom w:val="single" w:sz="8" w:color="087F83" w:space="8"/>
        </w:pBdr>
      </w:pPr>
      <w:bookmarkStart w:id="31" w:name="chapter_29"/>
      <w:bookmarkStart w:id="288" w:name="v12_ch29"/>
      <w:r>
        <w:t>29 | CI/CD, monitoring, backups, and incident recovery</w:t>
      </w:r>
      <w:bookmarkEnd w:id="31"/>
      <w:bookmarkEnd w:id="288"/>
      <w:bookmarkStart w:id="579" w:name="tocfinal_ch_29"/>
      <w:bookmarkEnd w:id="579"/>
    </w:p>
    <w:p>
      <w:pPr>
        <w:pStyle w:val="Heading2"/>
      </w:pPr>
      <w:r>
        <w:t>29.1 Delivery pipeline</w:t>
      </w:r>
    </w:p>
    <w:p>
      <w:r>
        <w:t>Every change passes formatting/lint, type checks, unit tests, contract tests, dependency/secret scans, build, and relevant integration tests. Changes affecting content rendering also pass representative visual, accessibility, metadata, and tracking tests. Deploy to an isolated preview/staging environment with synthetic data before production approval.</w:t>
      </w:r>
    </w:p>
    <w:p>
      <w:r>
        <w:t>Use immutable versioned artifacts. Record commit, build, migration set, configuration version, and release owner. Approve production separately from code merge where risk justifies it. Keep a release manifest and rollback instructions. A green build without deployed smoke tests is not proof that the website works.</w:t>
      </w:r>
    </w:p>
    <w:p>
      <w:pPr>
        <w:pStyle w:val="Heading2"/>
      </w:pPr>
      <w:r>
        <w:t>29.2 Safe database and content releases</w:t>
      </w:r>
    </w:p>
    <w:p>
      <w:r>
        <w:t>Use expand-and-contract migrations where old/new code must coexist. Introduce compatible columns or APIs, migrate/backfill safely, deploy consumers, and remove old structures only after verification. Test migrations against production-like data volume and constraints without copying unrestricted personal data into development.</w:t>
      </w:r>
    </w:p>
    <w:p>
      <w:r>
        <w:t>Application rollback and database rollback are different. A previous application version may not understand a new schema or content block. Define compatibility windows and forward-fix options. Back up before risky operations, but do not promise a restore as an instant rollback when it would lose newly accepted business transactions.</w:t>
      </w:r>
    </w:p>
    <w:p>
      <w:pPr>
        <w:pStyle w:val="Heading2"/>
      </w:pPr>
      <w:r>
        <w:t>29.3 Observability contract</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Signal</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examples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Availability</w:t>
            </w:r>
          </w:p>
        </w:tc>
        <w:tc>
          <w:tcPr>
            <w:tcW w:type="dxa" w:w="7029"/>
            <w:vAlign w:val="top"/>
            <w:tcMar>
              <w:top w:w="85" w:type="dxa"/>
              <w:bottom w:w="85" w:type="dxa"/>
              <w:left w:w="95" w:type="dxa"/>
              <w:right w:w="95" w:type="dxa"/>
            </w:tcMar>
            <w:shd w:fill="FFFFFF"/>
          </w:tcPr>
          <w:p>
            <w:pPr>
              <w:pStyle w:val="TableText"/>
              <w:keepNext w:val="0"/>
              <w:spacing w:after="20"/>
            </w:pPr>
            <w:r>
              <w:t>Public route and form endpoint checks from appropriate regions; admin/API readiness; DNS/TLS expiry.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Performance</w:t>
            </w:r>
          </w:p>
        </w:tc>
        <w:tc>
          <w:tcPr>
            <w:tcW w:type="dxa" w:w="7029"/>
            <w:vAlign w:val="top"/>
            <w:tcMar>
              <w:top w:w="85" w:type="dxa"/>
              <w:bottom w:w="85" w:type="dxa"/>
              <w:left w:w="95" w:type="dxa"/>
              <w:right w:w="95" w:type="dxa"/>
            </w:tcMar>
            <w:shd w:fill="F3F7F9"/>
          </w:tcPr>
          <w:p>
            <w:pPr>
              <w:pStyle w:val="TableText"/>
              <w:keepNext w:val="0"/>
              <w:spacing w:after="20"/>
            </w:pPr>
            <w:r>
              <w:t>Page field experience, API latency, error rate, database query time, connection pressure, cache behavior.</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Jobs/integrations</w:t>
            </w:r>
          </w:p>
        </w:tc>
        <w:tc>
          <w:tcPr>
            <w:tcW w:type="dxa" w:w="7029"/>
            <w:vAlign w:val="top"/>
            <w:tcMar>
              <w:top w:w="85" w:type="dxa"/>
              <w:bottom w:w="85" w:type="dxa"/>
              <w:left w:w="95" w:type="dxa"/>
              <w:right w:w="95" w:type="dxa"/>
            </w:tcMar>
            <w:shd w:fill="FFFFFF"/>
          </w:tcPr>
          <w:p>
            <w:pPr>
              <w:pStyle w:val="TableText"/>
              <w:keepNext w:val="0"/>
              <w:spacing w:after="20"/>
            </w:pPr>
            <w:r>
              <w:t>Oldest pending job, retry/dead-letter rate, publication lag, notification backlog, CRM sync health.</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Business</w:t>
            </w:r>
          </w:p>
        </w:tc>
        <w:tc>
          <w:tcPr>
            <w:tcW w:type="dxa" w:w="7029"/>
            <w:vAlign w:val="top"/>
            <w:tcMar>
              <w:top w:w="85" w:type="dxa"/>
              <w:bottom w:w="85" w:type="dxa"/>
              <w:left w:w="95" w:type="dxa"/>
              <w:right w:w="95" w:type="dxa"/>
            </w:tcMar>
            <w:shd w:fill="F3F7F9"/>
          </w:tcPr>
          <w:p>
            <w:pPr>
              <w:pStyle w:val="TableText"/>
              <w:keepNext w:val="0"/>
              <w:spacing w:after="20"/>
            </w:pPr>
            <w:r>
              <w:t>Accepted leads/orders/bookings, unusual drops, duplicate anomalies, unassigned leads, payment mismatches.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Privacy/security</w:t>
            </w:r>
          </w:p>
        </w:tc>
        <w:tc>
          <w:tcPr>
            <w:tcW w:type="dxa" w:w="7029"/>
            <w:vAlign w:val="top"/>
            <w:tcMar>
              <w:top w:w="85" w:type="dxa"/>
              <w:bottom w:w="85" w:type="dxa"/>
              <w:left w:w="95" w:type="dxa"/>
              <w:right w:w="95" w:type="dxa"/>
            </w:tcMar>
            <w:shd w:fill="FFFFFF"/>
          </w:tcPr>
          <w:p>
            <w:pPr>
              <w:pStyle w:val="TableText"/>
              <w:keepNext w:val="0"/>
              <w:spacing w:after="20"/>
            </w:pPr>
            <w:r>
              <w:t>Unexpected tag firing, export activity, authentication anomalies, rejected event fields, retention failures.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Cost</w:t>
            </w:r>
          </w:p>
        </w:tc>
        <w:tc>
          <w:tcPr>
            <w:tcW w:type="dxa" w:w="7029"/>
            <w:vAlign w:val="top"/>
            <w:tcMar>
              <w:top w:w="85" w:type="dxa"/>
              <w:bottom w:w="85" w:type="dxa"/>
              <w:left w:w="95" w:type="dxa"/>
              <w:right w:w="95" w:type="dxa"/>
            </w:tcMar>
            <w:shd w:fill="F3F7F9"/>
          </w:tcPr>
          <w:p>
            <w:pPr>
              <w:pStyle w:val="TableText"/>
              <w:keepNext w:val="0"/>
              <w:spacing w:after="20"/>
            </w:pPr>
            <w:r>
              <w:t>Compute, database, storage/egress, log volume, third-party calls, replay volume, and AI usage where enabled.</w:t>
            </w:r>
          </w:p>
        </w:tc>
      </w:tr>
    </w:tbl>
    <w:p>
      <w:pPr>
        <w:spacing w:after="0"/>
      </w:pPr>
    </w:p>
    <w:p>
      <w:r>
        <w:t xml:space="preserve">Use structured logs, metrics, and traces with shared correlation identifiers. OpenTelemetry can provide a vendor-neutral instrumentation foundation, but useful dashboards, redaction, alert thresholds, and incident ownership still require implementation. Avoid making logs a second unprotected customer database. </w:t>
      </w:r>
      <w:hyperlink w:anchor="ref_R44">
        <w:r>
          <w:rPr>
            <w:color w:val="087F83"/>
            <w:rFonts w:ascii="Lato" w:hAnsi="Lato"/>
            <w:sz w:val="19"/>
          </w:rPr>
          <w:t>[R44]</w:t>
        </w:r>
      </w:hyperlink>
      <w:r/>
    </w:p>
    <w:p>
      <w:pPr>
        <w:pStyle w:val="Heading2"/>
      </w:pPr>
      <w:r>
        <w:t>29.4 Proposed resilience objectives</w:t>
      </w:r>
    </w:p>
    <w:p>
      <w:r>
        <w:t>A small business may approve a target such as 99.9% monthly service availability, a database recovery point objective of 15 minutes, and a recovery time objective of 4 hours. These are illustrative choices, not promises this document can fulfill. The hosting architecture, backups, staffing, and recovery tests must demonstrate the chosen objectives; a nightly-only backup does not support a 15-minute RPO.</w:t>
      </w:r>
    </w:p>
    <w:p>
      <w:r>
        <w:t>Define separate objectives for public content, lead acceptance, CMS editing, analytics freshness, and optional integrations. A CRM outage should not prevent a lead being accepted. A tracking outage should not prevent checkout. Record degraded modes so staff understand what continues and what is delayed.</w:t>
      </w:r>
    </w:p>
    <w:p>
      <w:pPr>
        <w:pStyle w:val="Heading2"/>
      </w:pPr>
      <w:r>
        <w:t>29.5 Backup and restore runbook</w:t>
      </w:r>
    </w:p>
    <w:p>
      <w:r>
        <w:t>Back up database data and required logs, object assets, configuration references, encryption-key recovery procedures, and infrastructure definitions. Use encryption, restricted accounts, retention limits, and an independent copy appropriate to the risk. Monitor backup completion and test restoration to an isolated environment.</w:t>
      </w:r>
    </w:p>
    <w:p>
      <w:r>
        <w:t>Restore tests verify actual row counts and relationships, published pages, a new test lead, protected downloads, credential reconfiguration, and outbox replay behavior. Reapply deletion/suppression requirements and avoid replaying already completed external payments or notifications. Record measured recovery time and missing steps.</w:t>
      </w:r>
    </w:p>
    <w:p>
      <w:pPr>
        <w:pStyle w:val="Heading2"/>
      </w:pPr>
      <w:r>
        <w:t>29.6 Incident response</w:t>
      </w:r>
    </w:p>
    <w:p>
      <w:r>
        <w:t>Maintain severity levels, escalation contacts, on-call responsibility, communication templates, access procedures, and recovery steps. Start with business impact: unable to submit leads, payment mismatch, private data exposure, compromised account, or unavailable public pages. Keep time-stamped incident notes and preserve evidence appropriately.</w:t>
      </w:r>
    </w:p>
    <w:p>
      <w:r>
        <w:t>After recovery, document root cause, contributing controls, corrective actions, owners, deadlines, and regression tests. Do not close an incident merely because restarting a container temporarily hides the symptom.</w:t>
      </w:r>
    </w:p>
    <w:p>
      <w:pPr>
        <w:pStyle w:val="Heading2"/>
        <w:keepNext/>
        <w:widowControl/>
      </w:pPr>
      <w:r>
        <w:t>29.7 Independent audit and preservation monitoring</w:t>
      </w:r>
    </w:p>
    <w:p>
      <w:pPr>
        <w:widowControl/>
      </w:pPr>
      <w:r>
        <w:t>Monitor unexpected blog/revision loss, forbidden source-content cleanup jobs, deletion approvals, raw-data reveals, proxy trust changes, experiment sample quality, chat context leaks and audit export/integrity. Chapter 39 defines separate local durability and remote-export failure behavior. Backup tests must preserve retained blogs and also reapply legitimate later deletion/rights records before restored systems are reopened.</w:t>
      </w:r>
    </w:p>
    <w:p>
      <w:pPr>
        <w:pStyle w:val="Heading3"/>
      </w:pPr>
      <w:r>
        <w:t>Version 1.2 integration</w:t>
      </w:r>
    </w:p>
    <w:p>
      <w:pPr/>
      <w:r>
        <w:t>Chapters 58–60 extend script/security/privacy monitoring, workflow/channel/feed health, database maintenance and recovery. Reapply rights/suppression records after restore and never use cleanup to purge preserved source blogs.</w:t>
      </w:r>
    </w:p>
    <w:p>
      <w:pPr>
        <w:pStyle w:val="Heading1"/>
        <w:pageBreakBefore w:val="0"/>
        <w:spacing w:before="400"/>
        <w:pBdr>
          <w:bottom w:val="single" w:sz="8" w:color="087F83" w:space="8"/>
        </w:pBdr>
      </w:pPr>
      <w:bookmarkStart w:id="32" w:name="chapter_30"/>
      <w:bookmarkStart w:id="289" w:name="v12_ch30"/>
      <w:r>
        <w:t>30 | Test strategy and production acceptance gates</w:t>
      </w:r>
      <w:bookmarkEnd w:id="32"/>
      <w:bookmarkEnd w:id="289"/>
      <w:bookmarkStart w:id="580" w:name="tocfinal_ch_30"/>
      <w:bookmarkEnd w:id="580"/>
    </w:p>
    <w:p>
      <w:pPr>
        <w:pStyle w:val="Heading2"/>
      </w:pPr>
      <w:r>
        <w:t>30.1 Evidence-based quality</w:t>
      </w:r>
    </w:p>
    <w:p>
      <w:r>
        <w:t>A requirement is complete only when its behavior is implemented and supported by repeatable evidence. Tests must exercise the actual deployed frontend, API, database, queues, and configured integrations. Mocks are useful for isolation but do not prove real provider credentials, permissions, or webhooks work.</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Test layer</w:t>
            </w:r>
          </w:p>
        </w:tc>
        <w:tc>
          <w:tcPr>
            <w:tcW w:type="dxa" w:w="7029"/>
            <w:vAlign w:val="top"/>
            <w:tcMar>
              <w:top w:w="85" w:type="dxa"/>
              <w:bottom w:w="85" w:type="dxa"/>
              <w:left w:w="95" w:type="dxa"/>
              <w:right w:w="95" w:type="dxa"/>
            </w:tcMar>
            <w:shd w:fill="163349"/>
          </w:tcPr>
          <w:p>
            <w:pPr>
              <w:pStyle w:val="TableText"/>
              <w:keepNext/>
              <w:spacing w:after="20"/>
            </w:pPr>
            <w:r>
              <w:rPr>
                <w:b/>
                <w:color w:val="FFFFFF"/>
              </w:rPr>
              <w:t>Scope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Unit</w:t>
            </w:r>
          </w:p>
        </w:tc>
        <w:tc>
          <w:tcPr>
            <w:tcW w:type="dxa" w:w="7029"/>
            <w:vAlign w:val="top"/>
            <w:tcMar>
              <w:top w:w="85" w:type="dxa"/>
              <w:bottom w:w="85" w:type="dxa"/>
              <w:left w:w="95" w:type="dxa"/>
              <w:right w:w="95" w:type="dxa"/>
            </w:tcMar>
            <w:shd w:fill="FFFFFF"/>
          </w:tcPr>
          <w:p>
            <w:pPr>
              <w:pStyle w:val="TableText"/>
              <w:keepNext w:val="0"/>
              <w:spacing w:after="20"/>
            </w:pPr>
            <w:r>
              <w:t>Domain invariants, schema validation, consent eligibility, price calculations, transformations, and error handling.</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Integration</w:t>
            </w:r>
          </w:p>
        </w:tc>
        <w:tc>
          <w:tcPr>
            <w:tcW w:type="dxa" w:w="7029"/>
            <w:vAlign w:val="top"/>
            <w:tcMar>
              <w:top w:w="85" w:type="dxa"/>
              <w:bottom w:w="85" w:type="dxa"/>
              <w:left w:w="95" w:type="dxa"/>
              <w:right w:w="95" w:type="dxa"/>
            </w:tcMar>
            <w:shd w:fill="F3F7F9"/>
          </w:tcPr>
          <w:p>
            <w:pPr>
              <w:pStyle w:val="TableText"/>
              <w:keepNext w:val="0"/>
              <w:spacing w:after="20"/>
            </w:pPr>
            <w:r>
              <w:t>Real test PostgreSQL, transactions, migrations, outbox, authentication, object access, and job retries.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Contract</w:t>
            </w:r>
          </w:p>
        </w:tc>
        <w:tc>
          <w:tcPr>
            <w:tcW w:type="dxa" w:w="7029"/>
            <w:vAlign w:val="top"/>
            <w:tcMar>
              <w:top w:w="85" w:type="dxa"/>
              <w:bottom w:w="85" w:type="dxa"/>
              <w:left w:w="95" w:type="dxa"/>
              <w:right w:w="95" w:type="dxa"/>
            </w:tcMar>
            <w:shd w:fill="FFFFFF"/>
          </w:tcPr>
          <w:p>
            <w:pPr>
              <w:pStyle w:val="TableText"/>
              <w:keepNext w:val="0"/>
              <w:spacing w:after="20"/>
            </w:pPr>
            <w:r>
              <w:t>OpenAPI/client compatibility, block schema versions, event schemas, CRM mappings, provider fixtures.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End-to-end</w:t>
            </w:r>
          </w:p>
        </w:tc>
        <w:tc>
          <w:tcPr>
            <w:tcW w:type="dxa" w:w="7029"/>
            <w:vAlign w:val="top"/>
            <w:tcMar>
              <w:top w:w="85" w:type="dxa"/>
              <w:bottom w:w="85" w:type="dxa"/>
              <w:left w:w="95" w:type="dxa"/>
              <w:right w:w="95" w:type="dxa"/>
            </w:tcMar>
            <w:shd w:fill="F3F7F9"/>
          </w:tcPr>
          <w:p>
            <w:pPr>
              <w:pStyle w:val="TableText"/>
              <w:keepNext w:val="0"/>
              <w:spacing w:after="20"/>
            </w:pPr>
            <w:r>
              <w:t>Owner editing, publication, public pages, forms, lead routing, optional payment/booking/portal flows.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Accessibility/visual</w:t>
            </w:r>
          </w:p>
        </w:tc>
        <w:tc>
          <w:tcPr>
            <w:tcW w:type="dxa" w:w="7029"/>
            <w:vAlign w:val="top"/>
            <w:tcMar>
              <w:top w:w="85" w:type="dxa"/>
              <w:bottom w:w="85" w:type="dxa"/>
              <w:left w:w="95" w:type="dxa"/>
              <w:right w:w="95" w:type="dxa"/>
            </w:tcMar>
            <w:shd w:fill="FFFFFF"/>
          </w:tcPr>
          <w:p>
            <w:pPr>
              <w:pStyle w:val="TableText"/>
              <w:keepNext w:val="0"/>
              <w:spacing w:after="20"/>
            </w:pPr>
            <w:r>
              <w:t>Keyboard/screen reader, zoom/reflow, templates, responsive behavior, content extremes, and image fallbacks.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Performance/resilience</w:t>
            </w:r>
          </w:p>
        </w:tc>
        <w:tc>
          <w:tcPr>
            <w:tcW w:type="dxa" w:w="7029"/>
            <w:vAlign w:val="top"/>
            <w:tcMar>
              <w:top w:w="85" w:type="dxa"/>
              <w:bottom w:w="85" w:type="dxa"/>
              <w:left w:w="95" w:type="dxa"/>
              <w:right w:w="95" w:type="dxa"/>
            </w:tcMar>
            <w:shd w:fill="F3F7F9"/>
          </w:tcPr>
          <w:p>
            <w:pPr>
              <w:pStyle w:val="TableText"/>
              <w:keepNext w:val="0"/>
              <w:spacing w:after="20"/>
            </w:pPr>
            <w:r>
              <w:t>Agreed peak load, slow clients, queue/provider failure, restart, database restore, and multi-instance cache refresh.</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Security/privacy</w:t>
            </w:r>
          </w:p>
        </w:tc>
        <w:tc>
          <w:tcPr>
            <w:tcW w:type="dxa" w:w="7029"/>
            <w:vAlign w:val="top"/>
            <w:tcMar>
              <w:top w:w="85" w:type="dxa"/>
              <w:bottom w:w="85" w:type="dxa"/>
              <w:left w:w="95" w:type="dxa"/>
              <w:right w:w="95" w:type="dxa"/>
            </w:tcMar>
            <w:shd w:fill="FFFFFF"/>
          </w:tcPr>
          <w:p>
            <w:pPr>
              <w:pStyle w:val="TableText"/>
              <w:keepNext w:val="0"/>
              <w:spacing w:after="20"/>
            </w:pPr>
            <w:r>
              <w:t>Authorization, injection, uploads, secrets, PII leakage, consent denial/withdrawal, export and deletion.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Marketing measurement</w:t>
            </w:r>
          </w:p>
        </w:tc>
        <w:tc>
          <w:tcPr>
            <w:tcW w:type="dxa" w:w="7029"/>
            <w:vAlign w:val="top"/>
            <w:tcMar>
              <w:top w:w="85" w:type="dxa"/>
              <w:bottom w:w="85" w:type="dxa"/>
              <w:left w:w="95" w:type="dxa"/>
              <w:right w:w="95" w:type="dxa"/>
            </w:tcMar>
            <w:shd w:fill="F3F7F9"/>
          </w:tcPr>
          <w:p>
            <w:pPr>
              <w:pStyle w:val="TableText"/>
              <w:keepNext w:val="0"/>
              <w:spacing w:after="20"/>
            </w:pPr>
            <w:r>
              <w:t>Browser/server event mapping, attribution preservation, duplicates, platform diagnostics, and outcome reconciliation.</w:t>
            </w:r>
          </w:p>
        </w:tc>
      </w:tr>
    </w:tbl>
    <w:p>
      <w:pPr>
        <w:spacing w:after="0"/>
      </w:pPr>
    </w:p>
    <w:p>
      <w:pPr>
        <w:pStyle w:val="Heading2"/>
      </w:pPr>
      <w:r>
        <w:t>30.2 Required visitor tracking test suite</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475"/>
        <w:gridCol w:w="3932"/>
        <w:gridCol w:w="4424"/>
      </w:tblGrid>
      <w:tr>
        <w:trPr>
          <w:cantSplit/>
          <w:tblHeader w:val="true"/>
        </w:trPr>
        <w:tc>
          <w:tcPr>
            <w:tcW w:type="dxa" w:w="1475"/>
            <w:vAlign w:val="top"/>
            <w:tcMar>
              <w:top w:w="85" w:type="dxa"/>
              <w:bottom w:w="85" w:type="dxa"/>
              <w:left w:w="95" w:type="dxa"/>
              <w:right w:w="95" w:type="dxa"/>
            </w:tcMar>
            <w:shd w:fill="163349"/>
          </w:tcPr>
          <w:p>
            <w:pPr>
              <w:pStyle w:val="TableText"/>
              <w:keepNext/>
              <w:spacing w:after="20"/>
            </w:pPr>
            <w:r>
              <w:rPr>
                <w:b/>
                <w:color w:val="FFFFFF"/>
              </w:rPr>
              <w:t>ID</w:t>
            </w:r>
          </w:p>
        </w:tc>
        <w:tc>
          <w:tcPr>
            <w:tcW w:type="dxa" w:w="3932"/>
            <w:vAlign w:val="top"/>
            <w:tcMar>
              <w:top w:w="85" w:type="dxa"/>
              <w:bottom w:w="85" w:type="dxa"/>
              <w:left w:w="95" w:type="dxa"/>
              <w:right w:w="95" w:type="dxa"/>
            </w:tcMar>
            <w:shd w:fill="163349"/>
          </w:tcPr>
          <w:p>
            <w:pPr>
              <w:pStyle w:val="TableText"/>
              <w:keepNext/>
              <w:spacing w:after="20"/>
            </w:pPr>
            <w:r>
              <w:rPr>
                <w:b/>
                <w:color w:val="FFFFFF"/>
              </w:rPr>
              <w:t>Scenario</w:t>
            </w:r>
          </w:p>
        </w:tc>
        <w:tc>
          <w:tcPr>
            <w:tcW w:type="dxa" w:w="4424"/>
            <w:vAlign w:val="top"/>
            <w:tcMar>
              <w:top w:w="85" w:type="dxa"/>
              <w:bottom w:w="85" w:type="dxa"/>
              <w:left w:w="95" w:type="dxa"/>
              <w:right w:w="95" w:type="dxa"/>
            </w:tcMar>
            <w:shd w:fill="163349"/>
          </w:tcPr>
          <w:p>
            <w:pPr>
              <w:pStyle w:val="TableText"/>
              <w:keepNext/>
              <w:spacing w:after="20"/>
            </w:pPr>
            <w:r>
              <w:rPr>
                <w:b/>
                <w:color w:val="FFFFFF"/>
              </w:rPr>
              <w:t>Expected result</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EVT-01</w:t>
            </w:r>
          </w:p>
        </w:tc>
        <w:tc>
          <w:tcPr>
            <w:tcW w:type="dxa" w:w="3932"/>
            <w:vAlign w:val="top"/>
            <w:tcMar>
              <w:top w:w="85" w:type="dxa"/>
              <w:bottom w:w="85" w:type="dxa"/>
              <w:left w:w="95" w:type="dxa"/>
              <w:right w:w="95" w:type="dxa"/>
            </w:tcMar>
            <w:shd w:fill="FFFFFF"/>
          </w:tcPr>
          <w:p>
            <w:pPr>
              <w:pStyle w:val="TableText"/>
              <w:keepNext w:val="0"/>
              <w:spacing w:after="20"/>
            </w:pPr>
            <w:r>
              <w:t>First visit before a choice, under the default blocking policy.</w:t>
            </w:r>
          </w:p>
        </w:tc>
        <w:tc>
          <w:tcPr>
            <w:tcW w:type="dxa" w:w="4424"/>
            <w:vAlign w:val="top"/>
            <w:tcMar>
              <w:top w:w="85" w:type="dxa"/>
              <w:bottom w:w="85" w:type="dxa"/>
              <w:left w:w="95" w:type="dxa"/>
              <w:right w:w="95" w:type="dxa"/>
            </w:tcMar>
            <w:shd w:fill="FFFFFF"/>
          </w:tcPr>
          <w:p>
            <w:pPr>
              <w:pStyle w:val="TableText"/>
              <w:keepNext w:val="0"/>
              <w:spacing w:after="20"/>
            </w:pPr>
            <w:r>
              <w:t>No nonessential analytics/advertising requests or stored identifiers.</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EVT-02</w:t>
            </w:r>
          </w:p>
        </w:tc>
        <w:tc>
          <w:tcPr>
            <w:tcW w:type="dxa" w:w="3932"/>
            <w:vAlign w:val="top"/>
            <w:tcMar>
              <w:top w:w="85" w:type="dxa"/>
              <w:bottom w:w="85" w:type="dxa"/>
              <w:left w:w="95" w:type="dxa"/>
              <w:right w:w="95" w:type="dxa"/>
            </w:tcMar>
            <w:shd w:fill="F3F7F9"/>
          </w:tcPr>
          <w:p>
            <w:pPr>
              <w:pStyle w:val="TableText"/>
              <w:keepNext w:val="0"/>
              <w:spacing w:after="20"/>
            </w:pPr>
            <w:r>
              <w:t>Accept analytics but reject advertising.</w:t>
            </w:r>
          </w:p>
        </w:tc>
        <w:tc>
          <w:tcPr>
            <w:tcW w:type="dxa" w:w="4424"/>
            <w:vAlign w:val="top"/>
            <w:tcMar>
              <w:top w:w="85" w:type="dxa"/>
              <w:bottom w:w="85" w:type="dxa"/>
              <w:left w:w="95" w:type="dxa"/>
              <w:right w:w="95" w:type="dxa"/>
            </w:tcMar>
            <w:shd w:fill="F3F7F9"/>
          </w:tcPr>
          <w:p>
            <w:pPr>
              <w:pStyle w:val="TableText"/>
              <w:keepNext w:val="0"/>
              <w:spacing w:after="20"/>
            </w:pPr>
            <w:r>
              <w:t>Approved analytics works; advertising destinations remain suppressed.</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EVT-03</w:t>
            </w:r>
          </w:p>
        </w:tc>
        <w:tc>
          <w:tcPr>
            <w:tcW w:type="dxa" w:w="3932"/>
            <w:vAlign w:val="top"/>
            <w:tcMar>
              <w:top w:w="85" w:type="dxa"/>
              <w:bottom w:w="85" w:type="dxa"/>
              <w:left w:w="95" w:type="dxa"/>
              <w:right w:w="95" w:type="dxa"/>
            </w:tcMar>
            <w:shd w:fill="FFFFFF"/>
          </w:tcPr>
          <w:p>
            <w:pPr>
              <w:pStyle w:val="TableText"/>
              <w:keepNext w:val="0"/>
              <w:spacing w:after="20"/>
            </w:pPr>
            <w:r>
              <w:t>Reject optional purposes, then submit a valid enquiry.</w:t>
            </w:r>
          </w:p>
        </w:tc>
        <w:tc>
          <w:tcPr>
            <w:tcW w:type="dxa" w:w="4424"/>
            <w:vAlign w:val="top"/>
            <w:tcMar>
              <w:top w:w="85" w:type="dxa"/>
              <w:bottom w:w="85" w:type="dxa"/>
              <w:left w:w="95" w:type="dxa"/>
              <w:right w:w="95" w:type="dxa"/>
            </w:tcMar>
            <w:shd w:fill="FFFFFF"/>
          </w:tcPr>
          <w:p>
            <w:pPr>
              <w:pStyle w:val="TableText"/>
              <w:keepNext w:val="0"/>
              <w:spacing w:after="20"/>
            </w:pPr>
            <w:r>
              <w:t>Enquiry accepted and routed; no forced advertising consent or forbidden retrospective replay.</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EVT-04</w:t>
            </w:r>
          </w:p>
        </w:tc>
        <w:tc>
          <w:tcPr>
            <w:tcW w:type="dxa" w:w="3932"/>
            <w:vAlign w:val="top"/>
            <w:tcMar>
              <w:top w:w="85" w:type="dxa"/>
              <w:bottom w:w="85" w:type="dxa"/>
              <w:left w:w="95" w:type="dxa"/>
              <w:right w:w="95" w:type="dxa"/>
            </w:tcMar>
            <w:shd w:fill="F3F7F9"/>
          </w:tcPr>
          <w:p>
            <w:pPr>
              <w:pStyle w:val="TableText"/>
              <w:keepNext w:val="0"/>
              <w:spacing w:after="20"/>
            </w:pPr>
            <w:r>
              <w:t>Pricing marker visible briefly, then one continuous qualifying second.</w:t>
            </w:r>
          </w:p>
        </w:tc>
        <w:tc>
          <w:tcPr>
            <w:tcW w:type="dxa" w:w="4424"/>
            <w:vAlign w:val="top"/>
            <w:tcMar>
              <w:top w:w="85" w:type="dxa"/>
              <w:bottom w:w="85" w:type="dxa"/>
              <w:left w:w="95" w:type="dxa"/>
              <w:right w:w="95" w:type="dxa"/>
            </w:tcMar>
            <w:shd w:fill="F3F7F9"/>
          </w:tcPr>
          <w:p>
            <w:pPr>
              <w:pStyle w:val="TableText"/>
              <w:keepNext w:val="0"/>
              <w:spacing w:after="20"/>
            </w:pPr>
            <w:r>
              <w:t>No early event; exactly one pricing_view per page_view_id after the rule is met.</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EVT-05</w:t>
            </w:r>
          </w:p>
        </w:tc>
        <w:tc>
          <w:tcPr>
            <w:tcW w:type="dxa" w:w="3932"/>
            <w:vAlign w:val="top"/>
            <w:tcMar>
              <w:top w:w="85" w:type="dxa"/>
              <w:bottom w:w="85" w:type="dxa"/>
              <w:left w:w="95" w:type="dxa"/>
              <w:right w:w="95" w:type="dxa"/>
            </w:tcMar>
            <w:shd w:fill="FFFFFF"/>
          </w:tcPr>
          <w:p>
            <w:pPr>
              <w:pStyle w:val="TableText"/>
              <w:keepNext w:val="0"/>
              <w:spacing w:after="20"/>
            </w:pPr>
            <w:r>
              <w:t>Click brochure but cancel/interrupt transfer.</w:t>
            </w:r>
          </w:p>
        </w:tc>
        <w:tc>
          <w:tcPr>
            <w:tcW w:type="dxa" w:w="4424"/>
            <w:vAlign w:val="top"/>
            <w:tcMar>
              <w:top w:w="85" w:type="dxa"/>
              <w:bottom w:w="85" w:type="dxa"/>
              <w:left w:w="95" w:type="dxa"/>
              <w:right w:w="95" w:type="dxa"/>
            </w:tcMar>
            <w:shd w:fill="FFFFFF"/>
          </w:tcPr>
          <w:p>
            <w:pPr>
              <w:pStyle w:val="TableText"/>
              <w:keepNext w:val="0"/>
              <w:spacing w:after="20"/>
            </w:pPr>
            <w:r>
              <w:t>download_click recorded when allowed; no false completed/read claim.</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EVT-06</w:t>
            </w:r>
          </w:p>
        </w:tc>
        <w:tc>
          <w:tcPr>
            <w:tcW w:type="dxa" w:w="3932"/>
            <w:vAlign w:val="top"/>
            <w:tcMar>
              <w:top w:w="85" w:type="dxa"/>
              <w:bottom w:w="85" w:type="dxa"/>
              <w:left w:w="95" w:type="dxa"/>
              <w:right w:w="95" w:type="dxa"/>
            </w:tcMar>
            <w:shd w:fill="F3F7F9"/>
          </w:tcPr>
          <w:p>
            <w:pPr>
              <w:pStyle w:val="TableText"/>
              <w:keepNext w:val="0"/>
              <w:spacing w:after="20"/>
            </w:pPr>
            <w:r>
              <w:t>Start form and enter private test values.</w:t>
            </w:r>
          </w:p>
        </w:tc>
        <w:tc>
          <w:tcPr>
            <w:tcW w:type="dxa" w:w="4424"/>
            <w:vAlign w:val="top"/>
            <w:tcMar>
              <w:top w:w="85" w:type="dxa"/>
              <w:bottom w:w="85" w:type="dxa"/>
              <w:left w:w="95" w:type="dxa"/>
              <w:right w:w="95" w:type="dxa"/>
            </w:tcMar>
            <w:shd w:fill="F3F7F9"/>
          </w:tcPr>
          <w:p>
            <w:pPr>
              <w:pStyle w:val="TableText"/>
              <w:keepNext w:val="0"/>
              <w:spacing w:after="20"/>
            </w:pPr>
            <w:r>
              <w:t>Form event allowed fields only; no values in dataLayer, analytics, error logs, or replay.</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EVT-07</w:t>
            </w:r>
          </w:p>
        </w:tc>
        <w:tc>
          <w:tcPr>
            <w:tcW w:type="dxa" w:w="3932"/>
            <w:vAlign w:val="top"/>
            <w:tcMar>
              <w:top w:w="85" w:type="dxa"/>
              <w:bottom w:w="85" w:type="dxa"/>
              <w:left w:w="95" w:type="dxa"/>
              <w:right w:w="95" w:type="dxa"/>
            </w:tcMar>
            <w:shd w:fill="FFFFFF"/>
          </w:tcPr>
          <w:p>
            <w:pPr>
              <w:pStyle w:val="TableText"/>
              <w:keepNext w:val="0"/>
              <w:spacing w:after="20"/>
            </w:pPr>
            <w:r>
              <w:t>Invalid form or server failure.</w:t>
            </w:r>
          </w:p>
        </w:tc>
        <w:tc>
          <w:tcPr>
            <w:tcW w:type="dxa" w:w="4424"/>
            <w:vAlign w:val="top"/>
            <w:tcMar>
              <w:top w:w="85" w:type="dxa"/>
              <w:bottom w:w="85" w:type="dxa"/>
              <w:left w:w="95" w:type="dxa"/>
              <w:right w:w="95" w:type="dxa"/>
            </w:tcMar>
            <w:shd w:fill="FFFFFF"/>
          </w:tcPr>
          <w:p>
            <w:pPr>
              <w:pStyle w:val="TableText"/>
              <w:keepNext w:val="0"/>
              <w:spacing w:after="20"/>
            </w:pPr>
            <w:r>
              <w:t>No generate_lead; useful accessible error and safe retry.</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EVT-08</w:t>
            </w:r>
          </w:p>
        </w:tc>
        <w:tc>
          <w:tcPr>
            <w:tcW w:type="dxa" w:w="3932"/>
            <w:vAlign w:val="top"/>
            <w:tcMar>
              <w:top w:w="85" w:type="dxa"/>
              <w:bottom w:w="85" w:type="dxa"/>
              <w:left w:w="95" w:type="dxa"/>
              <w:right w:w="95" w:type="dxa"/>
            </w:tcMar>
            <w:shd w:fill="F3F7F9"/>
          </w:tcPr>
          <w:p>
            <w:pPr>
              <w:pStyle w:val="TableText"/>
              <w:keepNext w:val="0"/>
              <w:spacing w:after="20"/>
            </w:pPr>
            <w:r>
              <w:t>Double click, client timeout, retry, worker restart.</w:t>
            </w:r>
          </w:p>
        </w:tc>
        <w:tc>
          <w:tcPr>
            <w:tcW w:type="dxa" w:w="4424"/>
            <w:vAlign w:val="top"/>
            <w:tcMar>
              <w:top w:w="85" w:type="dxa"/>
              <w:bottom w:w="85" w:type="dxa"/>
              <w:left w:w="95" w:type="dxa"/>
              <w:right w:w="95" w:type="dxa"/>
            </w:tcMar>
            <w:shd w:fill="F3F7F9"/>
          </w:tcPr>
          <w:p>
            <w:pPr>
              <w:pStyle w:val="TableText"/>
              <w:keepNext w:val="0"/>
              <w:spacing w:after="20"/>
            </w:pPr>
            <w:r>
              <w:t>One business lead/outbox event for the same idempotent action; destination retry uses stable identity.</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EVT-09</w:t>
            </w:r>
          </w:p>
        </w:tc>
        <w:tc>
          <w:tcPr>
            <w:tcW w:type="dxa" w:w="3932"/>
            <w:vAlign w:val="top"/>
            <w:tcMar>
              <w:top w:w="85" w:type="dxa"/>
              <w:bottom w:w="85" w:type="dxa"/>
              <w:left w:w="95" w:type="dxa"/>
              <w:right w:w="95" w:type="dxa"/>
            </w:tcMar>
            <w:shd w:fill="FFFFFF"/>
          </w:tcPr>
          <w:p>
            <w:pPr>
              <w:pStyle w:val="TableText"/>
              <w:keepNext w:val="0"/>
              <w:spacing w:after="20"/>
            </w:pPr>
            <w:r>
              <w:t>Browser and server Meta events for the same lead.</w:t>
            </w:r>
          </w:p>
        </w:tc>
        <w:tc>
          <w:tcPr>
            <w:tcW w:type="dxa" w:w="4424"/>
            <w:vAlign w:val="top"/>
            <w:tcMar>
              <w:top w:w="85" w:type="dxa"/>
              <w:bottom w:w="85" w:type="dxa"/>
              <w:left w:w="95" w:type="dxa"/>
              <w:right w:w="95" w:type="dxa"/>
            </w:tcMar>
            <w:shd w:fill="FFFFFF"/>
          </w:tcPr>
          <w:p>
            <w:pPr>
              <w:pStyle w:val="TableText"/>
              <w:keepNext w:val="0"/>
              <w:spacing w:after="20"/>
            </w:pPr>
            <w:r>
              <w:t>Current account diagnostics confirm correct deduplication contract.</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EVT-10</w:t>
            </w:r>
          </w:p>
        </w:tc>
        <w:tc>
          <w:tcPr>
            <w:tcW w:type="dxa" w:w="3932"/>
            <w:vAlign w:val="top"/>
            <w:tcMar>
              <w:top w:w="85" w:type="dxa"/>
              <w:bottom w:w="85" w:type="dxa"/>
              <w:left w:w="95" w:type="dxa"/>
              <w:right w:w="95" w:type="dxa"/>
            </w:tcMar>
            <w:shd w:fill="F3F7F9"/>
          </w:tcPr>
          <w:p>
            <w:pPr>
              <w:pStyle w:val="TableText"/>
              <w:keepNext w:val="0"/>
              <w:spacing w:after="20"/>
            </w:pPr>
            <w:r>
              <w:t>Client-side navigation, back/forward, reload, in-app browser.</w:t>
            </w:r>
          </w:p>
        </w:tc>
        <w:tc>
          <w:tcPr>
            <w:tcW w:type="dxa" w:w="4424"/>
            <w:vAlign w:val="top"/>
            <w:tcMar>
              <w:top w:w="85" w:type="dxa"/>
              <w:bottom w:w="85" w:type="dxa"/>
              <w:left w:w="95" w:type="dxa"/>
              <w:right w:w="95" w:type="dxa"/>
            </w:tcMar>
            <w:shd w:fill="F3F7F9"/>
          </w:tcPr>
          <w:p>
            <w:pPr>
              <w:pStyle w:val="TableText"/>
              <w:keepNext w:val="0"/>
              <w:spacing w:after="20"/>
            </w:pPr>
            <w:r>
              <w:t>Page-view policy consistent; no unintended double firing.</w:t>
            </w:r>
          </w:p>
        </w:tc>
      </w:tr>
      <w:tr>
        <w:trPr>
          <w:cantSplit/>
        </w:trPr>
        <w:tc>
          <w:tcPr>
            <w:tcW w:type="dxa" w:w="1475"/>
            <w:vAlign w:val="top"/>
            <w:tcMar>
              <w:top w:w="85" w:type="dxa"/>
              <w:bottom w:w="85" w:type="dxa"/>
              <w:left w:w="95" w:type="dxa"/>
              <w:right w:w="95" w:type="dxa"/>
            </w:tcMar>
            <w:shd w:fill="FFFFFF"/>
          </w:tcPr>
          <w:p>
            <w:pPr>
              <w:pStyle w:val="TableText"/>
              <w:keepNext w:val="0"/>
              <w:spacing w:after="20"/>
            </w:pPr>
            <w:r>
              <w:rPr>
                <w:b/>
                <w:color w:val="163349"/>
              </w:rPr>
              <w:t>EVT-11</w:t>
            </w:r>
          </w:p>
        </w:tc>
        <w:tc>
          <w:tcPr>
            <w:tcW w:type="dxa" w:w="3932"/>
            <w:vAlign w:val="top"/>
            <w:tcMar>
              <w:top w:w="85" w:type="dxa"/>
              <w:bottom w:w="85" w:type="dxa"/>
              <w:left w:w="95" w:type="dxa"/>
              <w:right w:w="95" w:type="dxa"/>
            </w:tcMar>
            <w:shd w:fill="FFFFFF"/>
          </w:tcPr>
          <w:p>
            <w:pPr>
              <w:pStyle w:val="TableText"/>
              <w:keepNext w:val="0"/>
              <w:spacing w:after="20"/>
            </w:pPr>
            <w:r>
              <w:t>Withdraw permission with queued optional events.</w:t>
            </w:r>
          </w:p>
        </w:tc>
        <w:tc>
          <w:tcPr>
            <w:tcW w:type="dxa" w:w="4424"/>
            <w:vAlign w:val="top"/>
            <w:tcMar>
              <w:top w:w="85" w:type="dxa"/>
              <w:bottom w:w="85" w:type="dxa"/>
              <w:left w:w="95" w:type="dxa"/>
              <w:right w:w="95" w:type="dxa"/>
            </w:tcMar>
            <w:shd w:fill="FFFFFF"/>
          </w:tcPr>
          <w:p>
            <w:pPr>
              <w:pStyle w:val="TableText"/>
              <w:keepNext w:val="0"/>
              <w:spacing w:after="20"/>
            </w:pPr>
            <w:r>
              <w:t>Future collection and ineligible queued sends stop according to policy.</w:t>
            </w:r>
          </w:p>
        </w:tc>
      </w:tr>
      <w:tr>
        <w:trPr>
          <w:cantSplit/>
        </w:trPr>
        <w:tc>
          <w:tcPr>
            <w:tcW w:type="dxa" w:w="1475"/>
            <w:vAlign w:val="top"/>
            <w:tcMar>
              <w:top w:w="85" w:type="dxa"/>
              <w:bottom w:w="85" w:type="dxa"/>
              <w:left w:w="95" w:type="dxa"/>
              <w:right w:w="95" w:type="dxa"/>
            </w:tcMar>
            <w:shd w:fill="F3F7F9"/>
          </w:tcPr>
          <w:p>
            <w:pPr>
              <w:pStyle w:val="TableText"/>
              <w:keepNext w:val="0"/>
              <w:spacing w:after="20"/>
            </w:pPr>
            <w:r>
              <w:rPr>
                <w:b/>
                <w:color w:val="163349"/>
              </w:rPr>
              <w:t>EVT-12</w:t>
            </w:r>
          </w:p>
        </w:tc>
        <w:tc>
          <w:tcPr>
            <w:tcW w:type="dxa" w:w="3932"/>
            <w:vAlign w:val="top"/>
            <w:tcMar>
              <w:top w:w="85" w:type="dxa"/>
              <w:bottom w:w="85" w:type="dxa"/>
              <w:left w:w="95" w:type="dxa"/>
              <w:right w:w="95" w:type="dxa"/>
            </w:tcMar>
            <w:shd w:fill="F3F7F9"/>
          </w:tcPr>
          <w:p>
            <w:pPr>
              <w:pStyle w:val="TableText"/>
              <w:keepNext w:val="0"/>
              <w:spacing w:after="20"/>
            </w:pPr>
            <w:r>
              <w:t>Lead later qualified/sold, then corrected/refunded where applicable.</w:t>
            </w:r>
          </w:p>
        </w:tc>
        <w:tc>
          <w:tcPr>
            <w:tcW w:type="dxa" w:w="4424"/>
            <w:vAlign w:val="top"/>
            <w:tcMar>
              <w:top w:w="85" w:type="dxa"/>
              <w:bottom w:w="85" w:type="dxa"/>
              <w:left w:w="95" w:type="dxa"/>
              <w:right w:w="95" w:type="dxa"/>
            </w:tcMar>
            <w:shd w:fill="F3F7F9"/>
          </w:tcPr>
          <w:p>
            <w:pPr>
              <w:pStyle w:val="TableText"/>
              <w:keepNext w:val="0"/>
              <w:spacing w:after="20"/>
            </w:pPr>
            <w:r>
              <w:t>Audited lifecycle events and supported destination adjustments; no repeated accidental conversions.</w:t>
            </w:r>
          </w:p>
        </w:tc>
      </w:tr>
    </w:tbl>
    <w:p>
      <w:pPr>
        <w:spacing w:after="0"/>
      </w:pPr>
    </w:p>
    <w:p>
      <w:pPr>
        <w:pStyle w:val="Heading2"/>
      </w:pPr>
      <w:r>
        <w:t>30.3 Core production release gates</w:t>
      </w:r>
    </w:p>
    <w:p>
      <w:r>
        <w:t>The release is blocked by lost or falsely acknowledged leads, unauthorized data access, broken primary journeys, secrets/PII leakage, invalid consent behavior, untested restoration, or unsupported critical business claims. High-severity security issues require an explicitly approved risk decision; they cannot be hidden behind a generic “known issues” label.</w:t>
      </w:r>
    </w:p>
    <w:p>
      <w:r>
        <w:t>Required evidence includes owner task completion, route/redirect crawl, metadata and indexing checks, responsive/accessibility review, performance measurements, realistic load test, form-to-CRM proof, ad event diagnostics, backup restore, role tests, and operational alert tests. Verify all live contact details and business policies with the owner.</w:t>
      </w:r>
    </w:p>
    <w:p>
      <w:pPr>
        <w:pStyle w:val="Heading2"/>
      </w:pPr>
      <w:r>
        <w:t>30.4 Release sequence</w:t>
      </w:r>
    </w:p>
    <w:p>
      <w:r>
        <w:t>Run a prelaunch content freeze or controlled change window, backup, migration validation, deployment, cache verification, domain/TLS checks, production smoke tests, and a real staff-handled test enquiry. Confirm the production environment has the correct index policy, tracking IDs, credentials, and suppression of test conversions where possible.</w:t>
      </w:r>
    </w:p>
    <w:p>
      <w:r>
        <w:t>Increase paid traffic only after measurement and lead routing are validated. Monitor the first release window and maintain a rollback decision threshold. Continue checking data quality after launch; an ad-platform setting change or CMS edit can break measurement without a code change.</w:t>
      </w:r>
    </w:p>
    <w:p>
      <w:pPr>
        <w:pStyle w:val="Heading2"/>
      </w:pPr>
      <w:r>
        <w:t>30.5 Honest completion reporting</w:t>
      </w:r>
    </w:p>
    <w:p>
      <w:r>
        <w:t>Use Passed, Failed, Blocked, Not Implemented, and Not Applicable with explanations. Never convert blocked provider access into a passed integration test. A disabled optional module is Not Applicable, not a completed business feature. Report residual risks, accepted exceptions, and named follow-up owners before sign-off.</w:t>
      </w:r>
    </w:p>
    <w:p>
      <w:pPr>
        <w:pStyle w:val="Heading2"/>
        <w:keepNext/>
        <w:widowControl/>
      </w:pPr>
      <w:r>
        <w:t>30.6 Extended release gates</w:t>
      </w:r>
    </w:p>
    <w:p>
      <w:pPr>
        <w:widowControl/>
      </w:pPr>
      <w:r>
        <w:t>Execute Appendix G in addition to this chapter and Appendix B. Automatic source-blog deletion, cross-visitor chatbot disclosure, fabricated precise location, unauthorized context transfer, invalid experiment winner claims and unaudited destructive operations are release blockers. Inspect actual network payloads, model/tool projections, database permissions, scheduler/storage policies, independent audit evidence and restore results.</w:t>
      </w:r>
    </w:p>
    <w:p>
      <w:pPr>
        <w:pStyle w:val="Heading3"/>
      </w:pPr>
      <w:r>
        <w:t>Version 1.2 integration</w:t>
      </w:r>
    </w:p>
    <w:p>
      <w:pPr/>
      <w:r>
        <w:t>Also execute Chapter 64 and Appendix I. The 192 new scenarios are unexecuted specifications, not results. Use real integration evidence and maintain the same no-loss, no-leak, no-unaudited-deletion release gates.</w:t>
      </w:r>
    </w:p>
    <w:p>
      <w:pPr>
        <w:pStyle w:val="Heading1"/>
        <w:pageBreakBefore w:val="0"/>
        <w:spacing w:before="400"/>
        <w:pBdr>
          <w:bottom w:val="single" w:sz="8" w:color="087F83" w:space="8"/>
        </w:pBdr>
      </w:pPr>
      <w:bookmarkStart w:id="33" w:name="chapter_31"/>
      <w:bookmarkStart w:id="290" w:name="v12_ch31"/>
      <w:r>
        <w:t>31 | Roadmap, team responsibilities, and cost model</w:t>
      </w:r>
      <w:bookmarkEnd w:id="33"/>
      <w:bookmarkEnd w:id="290"/>
      <w:bookmarkStart w:id="581" w:name="tocfinal_ch_31"/>
      <w:bookmarkEnd w:id="581"/>
    </w:p>
    <w:p>
      <w:pPr>
        <w:pStyle w:val="Heading2"/>
      </w:pPr>
      <w:r>
        <w:t>31.1 Phased delivery</w:t>
      </w:r>
    </w:p>
    <w:p>
      <w:r>
        <w:t>The following is an illustrative plan for a reusable custom platform built by a small experienced team with timely business decisions. Durations overlap and depend heavily on content readiness, integrations, security requirements, and optional modules. Estimate effort against approved scope; these ranges are planning assumptions, not a delivery promise.</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61"/>
        <w:gridCol w:w="3883"/>
        <w:gridCol w:w="3687"/>
      </w:tblGrid>
      <w:tr>
        <w:trPr>
          <w:cantSplit/>
          <w:tblHeader w:val="true"/>
        </w:trPr>
        <w:tc>
          <w:tcPr>
            <w:tcW w:type="dxa" w:w="2261"/>
            <w:vAlign w:val="top"/>
            <w:tcMar>
              <w:top w:w="85" w:type="dxa"/>
              <w:bottom w:w="85" w:type="dxa"/>
              <w:left w:w="95" w:type="dxa"/>
              <w:right w:w="95" w:type="dxa"/>
            </w:tcMar>
            <w:shd w:fill="163349"/>
          </w:tcPr>
          <w:p>
            <w:pPr>
              <w:pStyle w:val="TableText"/>
              <w:keepNext/>
              <w:spacing w:after="20"/>
            </w:pPr>
            <w:r>
              <w:rPr>
                <w:b/>
                <w:color w:val="FFFFFF"/>
              </w:rPr>
              <w:t>Phase</w:t>
            </w:r>
          </w:p>
        </w:tc>
        <w:tc>
          <w:tcPr>
            <w:tcW w:type="dxa" w:w="3883"/>
            <w:vAlign w:val="top"/>
            <w:tcMar>
              <w:top w:w="85" w:type="dxa"/>
              <w:bottom w:w="85" w:type="dxa"/>
              <w:left w:w="95" w:type="dxa"/>
              <w:right w:w="95" w:type="dxa"/>
            </w:tcMar>
            <w:shd w:fill="163349"/>
          </w:tcPr>
          <w:p>
            <w:pPr>
              <w:pStyle w:val="TableText"/>
              <w:keepNext/>
              <w:spacing w:after="20"/>
            </w:pPr>
            <w:r>
              <w:rPr>
                <w:b/>
                <w:color w:val="FFFFFF"/>
              </w:rPr>
              <w:t>Indicative window</w:t>
            </w:r>
          </w:p>
        </w:tc>
        <w:tc>
          <w:tcPr>
            <w:tcW w:type="dxa" w:w="3687"/>
            <w:vAlign w:val="top"/>
            <w:tcMar>
              <w:top w:w="85" w:type="dxa"/>
              <w:bottom w:w="85" w:type="dxa"/>
              <w:left w:w="95" w:type="dxa"/>
              <w:right w:w="95" w:type="dxa"/>
            </w:tcMar>
            <w:shd w:fill="163349"/>
          </w:tcPr>
          <w:p>
            <w:pPr>
              <w:pStyle w:val="TableText"/>
              <w:keepNext/>
              <w:spacing w:after="20"/>
            </w:pPr>
            <w:r>
              <w:rPr>
                <w:b/>
                <w:color w:val="FFFFFF"/>
              </w:rPr>
              <w:t>Exit deliverables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Discover and decide</w:t>
            </w:r>
          </w:p>
        </w:tc>
        <w:tc>
          <w:tcPr>
            <w:tcW w:type="dxa" w:w="3883"/>
            <w:vAlign w:val="top"/>
            <w:tcMar>
              <w:top w:w="85" w:type="dxa"/>
              <w:bottom w:w="85" w:type="dxa"/>
              <w:left w:w="95" w:type="dxa"/>
              <w:right w:w="95" w:type="dxa"/>
            </w:tcMar>
            <w:shd w:fill="FFFFFF"/>
          </w:tcPr>
          <w:p>
            <w:pPr>
              <w:pStyle w:val="TableText"/>
              <w:keepNext w:val="0"/>
              <w:spacing w:after="20"/>
            </w:pPr>
            <w:r>
              <w:t>Weeks 1–2</w:t>
            </w:r>
          </w:p>
        </w:tc>
        <w:tc>
          <w:tcPr>
            <w:tcW w:type="dxa" w:w="3687"/>
            <w:vAlign w:val="top"/>
            <w:tcMar>
              <w:top w:w="85" w:type="dxa"/>
              <w:bottom w:w="85" w:type="dxa"/>
              <w:left w:w="95" w:type="dxa"/>
              <w:right w:w="95" w:type="dxa"/>
            </w:tcMar>
            <w:shd w:fill="FFFFFF"/>
          </w:tcPr>
          <w:p>
            <w:pPr>
              <w:pStyle w:val="TableText"/>
              <w:keepNext w:val="0"/>
              <w:spacing w:after="20"/>
            </w:pPr>
            <w:r>
              <w:t>Site brief, modules, journeys, data inventory, architecture decisions, acceptance criteria, and account ownership.</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Design and foundations</w:t>
            </w:r>
          </w:p>
        </w:tc>
        <w:tc>
          <w:tcPr>
            <w:tcW w:type="dxa" w:w="3883"/>
            <w:vAlign w:val="top"/>
            <w:tcMar>
              <w:top w:w="85" w:type="dxa"/>
              <w:bottom w:w="85" w:type="dxa"/>
              <w:left w:w="95" w:type="dxa"/>
              <w:right w:w="95" w:type="dxa"/>
            </w:tcMar>
            <w:shd w:fill="F3F7F9"/>
          </w:tcPr>
          <w:p>
            <w:pPr>
              <w:pStyle w:val="TableText"/>
              <w:keepNext w:val="0"/>
              <w:spacing w:after="20"/>
            </w:pPr>
            <w:r>
              <w:t>Weeks 2–5</w:t>
            </w:r>
          </w:p>
        </w:tc>
        <w:tc>
          <w:tcPr>
            <w:tcW w:type="dxa" w:w="3687"/>
            <w:vAlign w:val="top"/>
            <w:tcMar>
              <w:top w:w="85" w:type="dxa"/>
              <w:bottom w:w="85" w:type="dxa"/>
              <w:left w:w="95" w:type="dxa"/>
              <w:right w:w="95" w:type="dxa"/>
            </w:tcMar>
            <w:shd w:fill="F3F7F9"/>
          </w:tcPr>
          <w:p>
            <w:pPr>
              <w:pStyle w:val="TableText"/>
              <w:keepNext w:val="0"/>
              <w:spacing w:after="20"/>
            </w:pPr>
            <w:r>
              <w:t>Design system, templates, monorepo, environments, auth, database foundation, CI, and consent/event schemas.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CMS and public experience</w:t>
            </w:r>
          </w:p>
        </w:tc>
        <w:tc>
          <w:tcPr>
            <w:tcW w:type="dxa" w:w="3883"/>
            <w:vAlign w:val="top"/>
            <w:tcMar>
              <w:top w:w="85" w:type="dxa"/>
              <w:bottom w:w="85" w:type="dxa"/>
              <w:left w:w="95" w:type="dxa"/>
              <w:right w:w="95" w:type="dxa"/>
            </w:tcMar>
            <w:shd w:fill="FFFFFF"/>
          </w:tcPr>
          <w:p>
            <w:pPr>
              <w:pStyle w:val="TableText"/>
              <w:keepNext w:val="0"/>
              <w:spacing w:after="20"/>
            </w:pPr>
            <w:r>
              <w:t>Weeks 4–10</w:t>
            </w:r>
          </w:p>
        </w:tc>
        <w:tc>
          <w:tcPr>
            <w:tcW w:type="dxa" w:w="3687"/>
            <w:vAlign w:val="top"/>
            <w:tcMar>
              <w:top w:w="85" w:type="dxa"/>
              <w:bottom w:w="85" w:type="dxa"/>
              <w:left w:w="95" w:type="dxa"/>
              <w:right w:w="95" w:type="dxa"/>
            </w:tcMar>
            <w:shd w:fill="FFFFFF"/>
          </w:tcPr>
          <w:p>
            <w:pPr>
              <w:pStyle w:val="TableText"/>
              <w:keepNext w:val="0"/>
              <w:spacing w:after="20"/>
            </w:pPr>
            <w:r>
              <w:t>Owner editing, blocks, blog, media, preview/publish/rollback, responsive public pages, SEO controls.</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Business and measurement</w:t>
            </w:r>
          </w:p>
        </w:tc>
        <w:tc>
          <w:tcPr>
            <w:tcW w:type="dxa" w:w="3883"/>
            <w:vAlign w:val="top"/>
            <w:tcMar>
              <w:top w:w="85" w:type="dxa"/>
              <w:bottom w:w="85" w:type="dxa"/>
              <w:left w:w="95" w:type="dxa"/>
              <w:right w:w="95" w:type="dxa"/>
            </w:tcMar>
            <w:shd w:fill="F3F7F9"/>
          </w:tcPr>
          <w:p>
            <w:pPr>
              <w:pStyle w:val="TableText"/>
              <w:keepNext w:val="0"/>
              <w:spacing w:after="20"/>
            </w:pPr>
            <w:r>
              <w:t>Weeks 7–13</w:t>
            </w:r>
          </w:p>
        </w:tc>
        <w:tc>
          <w:tcPr>
            <w:tcW w:type="dxa" w:w="3687"/>
            <w:vAlign w:val="top"/>
            <w:tcMar>
              <w:top w:w="85" w:type="dxa"/>
              <w:bottom w:w="85" w:type="dxa"/>
              <w:left w:w="95" w:type="dxa"/>
              <w:right w:w="95" w:type="dxa"/>
            </w:tcMar>
            <w:shd w:fill="F3F7F9"/>
          </w:tcPr>
          <w:p>
            <w:pPr>
              <w:pStyle w:val="TableText"/>
              <w:keepNext w:val="0"/>
              <w:spacing w:after="20"/>
            </w:pPr>
            <w:r>
              <w:t>Forms, leads, CRM, outbox, GA4/Ads/Meta integration, reporting, notification, privacy workflows.</w:t>
            </w:r>
          </w:p>
        </w:tc>
      </w:tr>
      <w:tr>
        <w:trPr>
          <w:cantSplit/>
        </w:trPr>
        <w:tc>
          <w:tcPr>
            <w:tcW w:type="dxa" w:w="2261"/>
            <w:vAlign w:val="top"/>
            <w:tcMar>
              <w:top w:w="85" w:type="dxa"/>
              <w:bottom w:w="85" w:type="dxa"/>
              <w:left w:w="95" w:type="dxa"/>
              <w:right w:w="95" w:type="dxa"/>
            </w:tcMar>
            <w:shd w:fill="FFFFFF"/>
          </w:tcPr>
          <w:p>
            <w:pPr>
              <w:pStyle w:val="TableText"/>
              <w:keepNext w:val="0"/>
              <w:spacing w:after="20"/>
            </w:pPr>
            <w:r>
              <w:rPr>
                <w:b/>
                <w:color w:val="163349"/>
              </w:rPr>
              <w:t>Hardening and launch</w:t>
            </w:r>
          </w:p>
        </w:tc>
        <w:tc>
          <w:tcPr>
            <w:tcW w:type="dxa" w:w="3883"/>
            <w:vAlign w:val="top"/>
            <w:tcMar>
              <w:top w:w="85" w:type="dxa"/>
              <w:bottom w:w="85" w:type="dxa"/>
              <w:left w:w="95" w:type="dxa"/>
              <w:right w:w="95" w:type="dxa"/>
            </w:tcMar>
            <w:shd w:fill="FFFFFF"/>
          </w:tcPr>
          <w:p>
            <w:pPr>
              <w:pStyle w:val="TableText"/>
              <w:keepNext w:val="0"/>
              <w:spacing w:after="20"/>
            </w:pPr>
            <w:r>
              <w:t>Weeks 12–16</w:t>
            </w:r>
          </w:p>
        </w:tc>
        <w:tc>
          <w:tcPr>
            <w:tcW w:type="dxa" w:w="3687"/>
            <w:vAlign w:val="top"/>
            <w:tcMar>
              <w:top w:w="85" w:type="dxa"/>
              <w:bottom w:w="85" w:type="dxa"/>
              <w:left w:w="95" w:type="dxa"/>
              <w:right w:w="95" w:type="dxa"/>
            </w:tcMar>
            <w:shd w:fill="FFFFFF"/>
          </w:tcPr>
          <w:p>
            <w:pPr>
              <w:pStyle w:val="TableText"/>
              <w:keepNext w:val="0"/>
              <w:spacing w:after="20"/>
            </w:pPr>
            <w:r>
              <w:t>Security, accessibility, load/recovery tests, migration, owner training, pilot, and launch evidence.</w:t>
            </w:r>
          </w:p>
        </w:tc>
      </w:tr>
      <w:tr>
        <w:trPr>
          <w:cantSplit/>
        </w:trPr>
        <w:tc>
          <w:tcPr>
            <w:tcW w:type="dxa" w:w="2261"/>
            <w:vAlign w:val="top"/>
            <w:tcMar>
              <w:top w:w="85" w:type="dxa"/>
              <w:bottom w:w="85" w:type="dxa"/>
              <w:left w:w="95" w:type="dxa"/>
              <w:right w:w="95" w:type="dxa"/>
            </w:tcMar>
            <w:shd w:fill="F3F7F9"/>
          </w:tcPr>
          <w:p>
            <w:pPr>
              <w:pStyle w:val="TableText"/>
              <w:keepNext w:val="0"/>
              <w:spacing w:after="20"/>
            </w:pPr>
            <w:r>
              <w:rPr>
                <w:b/>
                <w:color w:val="163349"/>
              </w:rPr>
              <w:t>Advanced modules</w:t>
            </w:r>
          </w:p>
        </w:tc>
        <w:tc>
          <w:tcPr>
            <w:tcW w:type="dxa" w:w="3883"/>
            <w:vAlign w:val="top"/>
            <w:tcMar>
              <w:top w:w="85" w:type="dxa"/>
              <w:bottom w:w="85" w:type="dxa"/>
              <w:left w:w="95" w:type="dxa"/>
              <w:right w:w="95" w:type="dxa"/>
            </w:tcMar>
            <w:shd w:fill="F3F7F9"/>
          </w:tcPr>
          <w:p>
            <w:pPr>
              <w:pStyle w:val="TableText"/>
              <w:keepNext w:val="0"/>
              <w:spacing w:after="20"/>
            </w:pPr>
            <w:r>
              <w:t>Separate scope after core or parallel dedicated team</w:t>
            </w:r>
          </w:p>
        </w:tc>
        <w:tc>
          <w:tcPr>
            <w:tcW w:type="dxa" w:w="3687"/>
            <w:vAlign w:val="top"/>
            <w:tcMar>
              <w:top w:w="85" w:type="dxa"/>
              <w:bottom w:w="85" w:type="dxa"/>
              <w:left w:w="95" w:type="dxa"/>
              <w:right w:w="95" w:type="dxa"/>
            </w:tcMar>
            <w:shd w:fill="F3F7F9"/>
          </w:tcPr>
          <w:p>
            <w:pPr>
              <w:pStyle w:val="TableText"/>
              <w:keepNext w:val="0"/>
              <w:spacing w:after="20"/>
            </w:pPr>
            <w:r>
              <w:t>Commerce/bookings/portal/multilingual/AI with their own acceptance and operations.</w:t>
            </w:r>
          </w:p>
        </w:tc>
      </w:tr>
    </w:tbl>
    <w:p>
      <w:pPr>
        <w:spacing w:after="0"/>
      </w:pPr>
    </w:p>
    <w:p>
      <w:r>
        <w:t>A 12–16 week initial programme is only a starting estimation model for the core described here; a sophisticated owned page builder or complex business modules can materially extend it. Reusing a proven CMS may reduce custom development but introduce licensing or workflow tradeoffs. Do not force a date by removing privacy, durability, or security controls silently.</w:t>
      </w:r>
    </w:p>
    <w:p>
      <w:pPr>
        <w:pStyle w:val="Heading2"/>
      </w:pPr>
      <w:r>
        <w:t>31.2 Responsibility model</w:t>
      </w:r>
    </w:p>
    <w:p>
      <w:r>
        <w:t>The business owner approves offer, content, claims, legal entity details, budgets, and operating processes. A product/UX lead owns journeys and design acceptance. Frontend and backend engineers own their implementation and tests. Marketing owns conversion goals, campaigns, and data interpretation. Operations owns deployment, alerts, backup, and recovery. A privacy/security reviewer owns the relevant risk assessment and release sign-off.</w:t>
      </w:r>
    </w:p>
    <w:p>
      <w:r>
        <w:t>One person may hold multiple roles, but every responsibility must have a named owner and backup. Define a support arrangement after launch. “No developer dependency” cannot mean nobody is responsible for security patches or outages.</w:t>
      </w:r>
    </w:p>
    <w:p>
      <w:pPr>
        <w:pStyle w:val="Heading2"/>
      </w:pPr>
      <w:r>
        <w:t>31.3 Full cost categories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Cost group</w:t>
            </w:r>
          </w:p>
        </w:tc>
        <w:tc>
          <w:tcPr>
            <w:tcW w:type="dxa" w:w="7029"/>
            <w:vAlign w:val="top"/>
            <w:tcMar>
              <w:top w:w="85" w:type="dxa"/>
              <w:bottom w:w="85" w:type="dxa"/>
              <w:left w:w="95" w:type="dxa"/>
              <w:right w:w="95" w:type="dxa"/>
            </w:tcMar>
            <w:shd w:fill="163349"/>
          </w:tcPr>
          <w:p>
            <w:pPr>
              <w:pStyle w:val="TableText"/>
              <w:keepNext/>
              <w:spacing w:after="20"/>
            </w:pPr>
            <w:r>
              <w:rPr>
                <w:b/>
                <w:color w:val="FFFFFF"/>
              </w:rPr>
              <w:t>Include in the estimate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One-time delivery</w:t>
            </w:r>
          </w:p>
        </w:tc>
        <w:tc>
          <w:tcPr>
            <w:tcW w:type="dxa" w:w="7029"/>
            <w:vAlign w:val="top"/>
            <w:tcMar>
              <w:top w:w="85" w:type="dxa"/>
              <w:bottom w:w="85" w:type="dxa"/>
              <w:left w:w="95" w:type="dxa"/>
              <w:right w:w="95" w:type="dxa"/>
            </w:tcMar>
            <w:shd w:fill="FFFFFF"/>
          </w:tcPr>
          <w:p>
            <w:pPr>
              <w:pStyle w:val="TableText"/>
              <w:keepNext w:val="0"/>
              <w:spacing w:after="20"/>
            </w:pPr>
            <w:r>
              <w:t>Discovery, UX/design, implementation, content migration, copy/media, integration setup, testing, training, security review, and contingency.</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Core recurring</w:t>
            </w:r>
          </w:p>
        </w:tc>
        <w:tc>
          <w:tcPr>
            <w:tcW w:type="dxa" w:w="7029"/>
            <w:vAlign w:val="top"/>
            <w:tcMar>
              <w:top w:w="85" w:type="dxa"/>
              <w:bottom w:w="85" w:type="dxa"/>
              <w:left w:w="95" w:type="dxa"/>
              <w:right w:w="95" w:type="dxa"/>
            </w:tcMar>
            <w:shd w:fill="F3F7F9"/>
          </w:tcPr>
          <w:p>
            <w:pPr>
              <w:pStyle w:val="TableText"/>
              <w:keepNext w:val="0"/>
              <w:spacing w:after="20"/>
            </w:pPr>
            <w:r>
              <w:t>Domain/DNS, hosting, database, storage/CDN/egress, backups, monitoring, support labor, and security maintenance.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Marketing recurring</w:t>
            </w:r>
          </w:p>
        </w:tc>
        <w:tc>
          <w:tcPr>
            <w:tcW w:type="dxa" w:w="7029"/>
            <w:vAlign w:val="top"/>
            <w:tcMar>
              <w:top w:w="85" w:type="dxa"/>
              <w:bottom w:w="85" w:type="dxa"/>
              <w:left w:w="95" w:type="dxa"/>
              <w:right w:w="95" w:type="dxa"/>
            </w:tcMar>
            <w:shd w:fill="FFFFFF"/>
          </w:tcPr>
          <w:p>
            <w:pPr>
              <w:pStyle w:val="TableText"/>
              <w:keepNext w:val="0"/>
              <w:spacing w:after="20"/>
            </w:pPr>
            <w:r>
              <w:t>Ad spend, campaign management, content production, creative, consent/tagging tools where paid, and reporting.</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Communication</w:t>
            </w:r>
          </w:p>
        </w:tc>
        <w:tc>
          <w:tcPr>
            <w:tcW w:type="dxa" w:w="7029"/>
            <w:vAlign w:val="top"/>
            <w:tcMar>
              <w:top w:w="85" w:type="dxa"/>
              <w:bottom w:w="85" w:type="dxa"/>
              <w:left w:w="95" w:type="dxa"/>
              <w:right w:w="95" w:type="dxa"/>
            </w:tcMar>
            <w:shd w:fill="F3F7F9"/>
          </w:tcPr>
          <w:p>
            <w:pPr>
              <w:pStyle w:val="TableText"/>
              <w:keepNext w:val="0"/>
              <w:spacing w:after="20"/>
            </w:pPr>
            <w:r>
              <w:t>Transactional email, marketing email, SMS, WhatsApp, telephony, verification messages, and provider platform fees.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Optional modules</w:t>
            </w:r>
          </w:p>
        </w:tc>
        <w:tc>
          <w:tcPr>
            <w:tcW w:type="dxa" w:w="7029"/>
            <w:vAlign w:val="top"/>
            <w:tcMar>
              <w:top w:w="85" w:type="dxa"/>
              <w:bottom w:w="85" w:type="dxa"/>
              <w:left w:w="95" w:type="dxa"/>
              <w:right w:w="95" w:type="dxa"/>
            </w:tcMar>
            <w:shd w:fill="FFFFFF"/>
          </w:tcPr>
          <w:p>
            <w:pPr>
              <w:pStyle w:val="TableText"/>
              <w:keepNext w:val="0"/>
              <w:spacing w:after="20"/>
            </w:pPr>
            <w:r>
              <w:t>Payment fees, CRM/CMS licenses, search, replay, AI inference, video, scheduling, or commerce services.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Hidden/variable</w:t>
            </w:r>
          </w:p>
        </w:tc>
        <w:tc>
          <w:tcPr>
            <w:tcW w:type="dxa" w:w="7029"/>
            <w:vAlign w:val="top"/>
            <w:tcMar>
              <w:top w:w="85" w:type="dxa"/>
              <w:bottom w:w="85" w:type="dxa"/>
              <w:left w:w="95" w:type="dxa"/>
              <w:right w:w="95" w:type="dxa"/>
            </w:tcMar>
            <w:shd w:fill="F3F7F9"/>
          </w:tcPr>
          <w:p>
            <w:pPr>
              <w:pStyle w:val="TableText"/>
              <w:keepNext w:val="0"/>
              <w:spacing w:after="20"/>
            </w:pPr>
            <w:r>
              <w:t>Log growth, export volume, image transforms, API overages, failed-job retries, data transfer, tax, currency changes, and incident response.</w:t>
            </w:r>
          </w:p>
        </w:tc>
      </w:tr>
    </w:tbl>
    <w:p>
      <w:pPr>
        <w:spacing w:after="0"/>
      </w:pPr>
    </w:p>
    <w:p>
      <w:r>
        <w:t>Do not quote a universal monthly hosting price without traffic, region, availability, storage, and staffing assumptions. Vendor prices must be rechecked when preparing the project budget. This master standard intentionally uses a cost model instead of presenting temporary list prices as permanent facts.</w:t>
      </w:r>
    </w:p>
    <w:p>
      <w:pPr>
        <w:pStyle w:val="Heading2"/>
      </w:pPr>
      <w:r>
        <w:t>31.4 Sizing worksheet and formulas</w:t>
      </w:r>
    </w:p>
    <w:p>
      <w:r>
        <w:t>Estimate monthly page transfer as visits × page views per visit × average delivered bytes. Estimate event volume as eligible measured sessions × average allowed events per session. Storage includes event size, retention, indexes/replication overhead, media derivatives, and backups; compressed payload size alone is not database footprint.</w:t>
      </w:r>
    </w:p>
    <w:p>
      <w:r>
        <w:t>For illustration, 100,000 visits × 3 page views × 0.8 MB gives approximately 240 GB of page delivery before caching, media, bot, and unit-definition adjustments. If 60,000 sessions are eligible for analytics and emit 12 events each, the observed event volume is 720,000 events. These are hypothetical workload inputs, not predictions or consent-rate targets.</w:t>
      </w:r>
    </w:p>
    <w:p>
      <w:r>
        <w:t>Monthly total = infrastructure + storage/egress + tools/licenses + communication + payment/AI usage + maintenance labor + content/marketing operations + ad spend + taxes/contingency. Keep ad spend separate from website hosting and development. A cheaper server can be more expensive overall if it creates manual support work or lost enquiries.</w:t>
      </w:r>
    </w:p>
    <w:p>
      <w:pPr>
        <w:pStyle w:val="Heading2"/>
      </w:pPr>
      <w:r>
        <w:t>31.5 Cost control and governance</w:t>
      </w:r>
    </w:p>
    <w:p>
      <w:r>
        <w:t>Set budgets and alerts by environment and provider. Cap nonessential analytics volume, replay sampling, image transformations, exports, and AI usage. Review unused integrations and abandoned test environments. Maintain a decision register for every paid dependency and a documented cancellation/export path.</w:t>
      </w:r>
    </w:p>
    <w:p>
      <w:r>
        <w:t>Quarterly reviews should consider business outcomes, content quality, performance, privacy rules, provider/API changes, vulnerabilities, spend, and owner usability. Update the reusable baseline only through reviewed changes with migration and training notes.</w:t>
      </w:r>
    </w:p>
    <w:p>
      <w:pPr>
        <w:pStyle w:val="Heading2"/>
        <w:keepNext/>
        <w:widowControl/>
      </w:pPr>
      <w:r>
        <w:t>31.6 Version 1.1 scope and estimate update</w:t>
      </w:r>
    </w:p>
    <w:p>
      <w:pPr>
        <w:widowControl/>
      </w:pPr>
      <w:r>
        <w:t>The expanded experiment, attribution/context, chatbot, content-preservation and audit modules in Chapters 34–41 are additional explicit work. Re-estimate engineering, UX, statistical review, privacy/security validation, integration testing, independent evidence storage, human support and maintenance before committing dates or budgets. No fixed vendor subscription or external AI model is required simply because the capability is in scope.</w:t>
      </w:r>
    </w:p>
    <w:p>
      <w:pPr>
        <w:pStyle w:val="Heading3"/>
      </w:pPr>
      <w:r>
        <w:t>Version 1.2 integration</w:t>
      </w:r>
    </w:p>
    <w:p>
      <w:pPr/>
      <w:r>
        <w:t>Chapter 65 supersedes any assumption that the expanded profile fits the earlier core estimate. Re-estimate selected v1.2 capabilities, provider approvals, specialized review, testing, training and ongoing support explicitly.</w:t>
      </w:r>
    </w:p>
    <w:p>
      <w:pPr>
        <w:pStyle w:val="Heading1"/>
        <w:pageBreakBefore w:val="0"/>
        <w:spacing w:before="400"/>
        <w:pBdr>
          <w:bottom w:val="single" w:sz="8" w:color="087F83" w:space="8"/>
        </w:pBdr>
      </w:pPr>
      <w:bookmarkStart w:id="34" w:name="chapter_32"/>
      <w:bookmarkStart w:id="291" w:name="v12_ch32"/>
      <w:r>
        <w:t>32 | Owner handbook, handover, and independence</w:t>
      </w:r>
      <w:bookmarkEnd w:id="34"/>
      <w:bookmarkEnd w:id="291"/>
      <w:bookmarkStart w:id="582" w:name="tocfinal_ch_32"/>
      <w:bookmarkEnd w:id="582"/>
    </w:p>
    <w:p>
      <w:pPr>
        <w:pStyle w:val="Heading2"/>
      </w:pPr>
      <w:r>
        <w:t>32.1 Handover package</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Asset</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handover evidence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Ownership</w:t>
            </w:r>
          </w:p>
        </w:tc>
        <w:tc>
          <w:tcPr>
            <w:tcW w:type="dxa" w:w="7029"/>
            <w:vAlign w:val="top"/>
            <w:tcMar>
              <w:top w:w="85" w:type="dxa"/>
              <w:bottom w:w="85" w:type="dxa"/>
              <w:left w:w="95" w:type="dxa"/>
              <w:right w:w="95" w:type="dxa"/>
            </w:tcMar>
            <w:shd w:fill="FFFFFF"/>
          </w:tcPr>
          <w:p>
            <w:pPr>
              <w:pStyle w:val="TableText"/>
              <w:keepNext w:val="0"/>
              <w:spacing w:after="20"/>
            </w:pPr>
            <w:r>
              <w:t>Domain/DNS, hosting, repository, CMS, analytics, ad accounts, payment/CRM, email domain, billing, and recovery access belong to the business.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Source and environments</w:t>
            </w:r>
          </w:p>
        </w:tc>
        <w:tc>
          <w:tcPr>
            <w:tcW w:type="dxa" w:w="7029"/>
            <w:vAlign w:val="top"/>
            <w:tcMar>
              <w:top w:w="85" w:type="dxa"/>
              <w:bottom w:w="85" w:type="dxa"/>
              <w:left w:w="95" w:type="dxa"/>
              <w:right w:w="95" w:type="dxa"/>
            </w:tcMar>
            <w:shd w:fill="F3F7F9"/>
          </w:tcPr>
          <w:p>
            <w:pPr>
              <w:pStyle w:val="TableText"/>
              <w:keepNext w:val="0"/>
              <w:spacing w:after="20"/>
            </w:pPr>
            <w:r>
              <w:t>Complete source, lockfiles, migrations, infrastructure code, deployment profiles, environment variable catalogue, and release manifest.</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Content and data</w:t>
            </w:r>
          </w:p>
        </w:tc>
        <w:tc>
          <w:tcPr>
            <w:tcW w:type="dxa" w:w="7029"/>
            <w:vAlign w:val="top"/>
            <w:tcMar>
              <w:top w:w="85" w:type="dxa"/>
              <w:bottom w:w="85" w:type="dxa"/>
              <w:left w:w="95" w:type="dxa"/>
              <w:right w:w="95" w:type="dxa"/>
            </w:tcMar>
            <w:shd w:fill="FFFFFF"/>
          </w:tcPr>
          <w:p>
            <w:pPr>
              <w:pStyle w:val="TableText"/>
              <w:keepNext w:val="0"/>
              <w:spacing w:after="20"/>
            </w:pPr>
            <w:r>
              <w:t>Content export, media manifest, redirects, forms/revisions, consent configuration, business-data export procedure, and restore test.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Documentation</w:t>
            </w:r>
          </w:p>
        </w:tc>
        <w:tc>
          <w:tcPr>
            <w:tcW w:type="dxa" w:w="7029"/>
            <w:vAlign w:val="top"/>
            <w:tcMar>
              <w:top w:w="85" w:type="dxa"/>
              <w:bottom w:w="85" w:type="dxa"/>
              <w:left w:w="95" w:type="dxa"/>
              <w:right w:w="95" w:type="dxa"/>
            </w:tcMar>
            <w:shd w:fill="F3F7F9"/>
          </w:tcPr>
          <w:p>
            <w:pPr>
              <w:pStyle w:val="TableText"/>
              <w:keepNext w:val="0"/>
              <w:spacing w:after="20"/>
            </w:pPr>
            <w:r>
              <w:t>Architecture, API, event dictionary, privacy map, owner guide, deployment/rollback/restore/incident runbooks, and known limitations.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Training</w:t>
            </w:r>
          </w:p>
        </w:tc>
        <w:tc>
          <w:tcPr>
            <w:tcW w:type="dxa" w:w="7029"/>
            <w:vAlign w:val="top"/>
            <w:tcMar>
              <w:top w:w="85" w:type="dxa"/>
              <w:bottom w:w="85" w:type="dxa"/>
              <w:left w:w="95" w:type="dxa"/>
              <w:right w:w="95" w:type="dxa"/>
            </w:tcMar>
            <w:shd w:fill="FFFFFF"/>
          </w:tcPr>
          <w:p>
            <w:pPr>
              <w:pStyle w:val="TableText"/>
              <w:keepNext w:val="0"/>
              <w:spacing w:after="20"/>
            </w:pPr>
            <w:r>
              <w:t>Recorded or written task walkthroughs, owner acceptance tasks, support escalation, and secondary staff training.</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Operations</w:t>
            </w:r>
          </w:p>
        </w:tc>
        <w:tc>
          <w:tcPr>
            <w:tcW w:type="dxa" w:w="7029"/>
            <w:vAlign w:val="top"/>
            <w:tcMar>
              <w:top w:w="85" w:type="dxa"/>
              <w:bottom w:w="85" w:type="dxa"/>
              <w:left w:w="95" w:type="dxa"/>
              <w:right w:w="95" w:type="dxa"/>
            </w:tcMar>
            <w:shd w:fill="F3F7F9"/>
          </w:tcPr>
          <w:p>
            <w:pPr>
              <w:pStyle w:val="TableText"/>
              <w:keepNext w:val="0"/>
              <w:spacing w:after="20"/>
            </w:pPr>
            <w:r>
              <w:t>Support owner, patch schedule, monitoring access, backup alerts, cost alerts, and agreed service objectives.</w:t>
            </w:r>
          </w:p>
        </w:tc>
      </w:tr>
    </w:tbl>
    <w:p>
      <w:pPr>
        <w:spacing w:after="0"/>
      </w:pPr>
    </w:p>
    <w:p>
      <w:r>
        <w:t>Do not hand over passwords in a Word document or spreadsheet. Transfer credentials through an approved secure mechanism, rotate temporary access, enable MFA, and revoke unnecessary developer/agency permissions. Confirm the business can recover critical accounts without contacting the original developer.</w:t>
      </w:r>
    </w:p>
    <w:p>
      <w:pPr>
        <w:pStyle w:val="Heading2"/>
      </w:pPr>
      <w:r>
        <w:t>32.2 Daily and weekly operation</w:t>
      </w:r>
    </w:p>
    <w:p>
      <w:r>
        <w:t>Daily, review new/unassigned leads, failed orders/bookings where enabled, urgent customer messages, integration alerts, and major service issues. Weekly, review campaign/lead quality, content changes, broken links, publication failures, queue health, and unusual data gaps. An owner dashboard should make these tasks visible without requiring log access.</w:t>
      </w:r>
    </w:p>
    <w:p>
      <w:r>
        <w:t>Editors should preview all meaningful changes on mobile and desktop, verify links/downloads, check claims and prices, and confirm the right locale and publication time. Use revision rollback for content mistakes rather than asking a developer to edit the production database.</w:t>
      </w:r>
    </w:p>
    <w:p>
      <w:pPr>
        <w:pStyle w:val="Heading2"/>
      </w:pPr>
      <w:r>
        <w:t>32.3 Monthly and quarterly operation</w:t>
      </w:r>
    </w:p>
    <w:p>
      <w:r>
        <w:t>Monthly, review stale content, conversion quality, costs, user permissions, retention jobs, provider credentials/scopes, and dependency/security updates. Check forms and notifications with synthetic test data. Quarterly, conduct a restore exercise, access review, API/policy review, privacy review, and a performance/accessibility regression check.</w:t>
      </w:r>
    </w:p>
    <w:p>
      <w:r>
        <w:t>The exact cadence depends on risk and change frequency. Urgent vulnerabilities and incidents are handled promptly rather than waiting for a monthly meeting. Record completed maintenance and unresolved risks in the operating log.</w:t>
      </w:r>
    </w:p>
    <w:p>
      <w:pPr>
        <w:pStyle w:val="Heading2"/>
      </w:pPr>
      <w:r>
        <w:t>32.4 Independence tests</w:t>
      </w:r>
    </w:p>
    <w:p>
      <w:r>
        <w:t>A second qualified developer, without relying on the original developer's laptop, must be able to install the project, run tests, start the native/Compose profile, deploy to staging, migrate safely, restore a backup, rotate an integration secret, and explain the event pipeline using the repository documentation.</w:t>
      </w:r>
    </w:p>
    <w:p>
      <w:r>
        <w:t>The business owner must be able to create and publish content, change navigation and approved theme settings, receive and manage leads, view understandable reports, export permitted data, and request support. Neither test eliminates maintenance; together they reduce avoidable person-specific dependency.</w:t>
      </w:r>
    </w:p>
    <w:p>
      <w:pPr>
        <w:pStyle w:val="Heading2"/>
      </w:pPr>
      <w:r>
        <w:t>32.5 Exit and provider replacement</w:t>
      </w:r>
    </w:p>
    <w:p>
      <w:r>
        <w:t>Keep an exit runbook for hosting, CMS, CRM, email, analytics, storage, and payment providers. Define export formats, mapping limitations, required credentials, timing, DNS cutover, rollback, and deletion after migration. Test at least content/media/database portability before initial acceptance.</w:t>
      </w:r>
    </w:p>
    <w:p>
      <w:r>
        <w:t>Preserve customer obligations during provider changes. Existing subscriptions, signed download links, webhook retries, and financial records may require a staged transition. Never cancel a provider first and discover afterward that it held the only copy of business data.</w:t>
      </w:r>
    </w:p>
    <w:p>
      <w:pPr>
        <w:pStyle w:val="Heading2"/>
        <w:keepNext/>
        <w:widowControl/>
      </w:pPr>
      <w:r>
        <w:t>32.6 Owner independence for the added controls</w:t>
      </w:r>
    </w:p>
    <w:p>
      <w:pPr>
        <w:widowControl/>
      </w:pPr>
      <w:r>
        <w:t>Owner sign-off must include creating a campaign URL, building/previewing/pausing an experiment, inspecting eligible visitor/chat context, receiving a chatbot lead, manually trashing/restoring an article, identifying who performed a deletion and viewing audit integrity. Annual editorial reviews may flag content but never delete it automatically. Use Chapter 41 for the combined walkthrough and Appendix G for evidence.</w:t>
      </w:r>
    </w:p>
    <w:p>
      <w:pPr>
        <w:pStyle w:val="Heading3"/>
      </w:pPr>
      <w:r>
        <w:t>Version 1.2 integration</w:t>
      </w:r>
    </w:p>
    <w:p>
      <w:pPr/>
      <w:r>
        <w:t>Owner handover now includes the Chapter 64 demonstration and Appendix K records: recovery/conflicts, collections/releases, workflow simulation/stop, sender/inbox diagnostics, segments/audiences and accountable content preservation.</w:t>
      </w:r>
    </w:p>
    <w:p>
      <w:pPr>
        <w:pStyle w:val="Heading1"/>
        <w:pageBreakBefore w:val="0"/>
        <w:spacing w:before="400"/>
        <w:pBdr>
          <w:bottom w:val="single" w:sz="8" w:color="087F83" w:space="8"/>
        </w:pBdr>
      </w:pPr>
      <w:bookmarkStart w:id="35" w:name="chapter_33"/>
      <w:bookmarkStart w:id="292" w:name="v12_ch33"/>
      <w:r>
        <w:t>33 | Reusable implementation instructions</w:t>
      </w:r>
      <w:bookmarkEnd w:id="35"/>
      <w:bookmarkEnd w:id="292"/>
      <w:bookmarkStart w:id="583" w:name="tocfinal_ch_33"/>
      <w:bookmarkEnd w:id="583"/>
    </w:p>
    <w:p>
      <w:pPr>
        <w:pStyle w:val="Heading2"/>
        <w:spacing w:before="200" w:after="100"/>
      </w:pPr>
      <w:r>
        <w:t>33.1 Project initiation instructions</w:t>
      </w:r>
    </w:p>
    <w:p>
      <w:pPr>
        <w:spacing w:after="80" w:line="250" w:lineRule="auto"/>
      </w:pPr>
      <w:r>
        <w:t>Use this chapter as the starting instruction for a development team or coding assistant. It is a specification for work to be performed, not evidence that any work has already been completed.</w:t>
      </w:r>
    </w:p>
    <w:p>
      <w:pPr>
        <w:pStyle w:val="Callout"/>
        <w:shd w:fill="EAF4F4"/>
        <w:pBdr>
          <w:left w:val="single" w:sz="14" w:color="087F83" w:space="8"/>
        </w:pBdr>
        <w:spacing w:after="80" w:line="250" w:lineRule="auto"/>
      </w:pPr>
      <w:r>
        <w:t>Build a reusable, owner-operated website platform using this master standard and the approved site brief. Implement the core first, then only the explicitly activated modules. Preserve business-owned accounts, source code, data export, and native/Docker deployment. Do not guarantee rankings, complete visitor identification, unlimited owner code execution, or zero maintenance.</w:t>
      </w:r>
    </w:p>
    <w:p>
      <w:pPr>
        <w:spacing w:after="80" w:line="250" w:lineRule="auto"/>
      </w:pPr>
      <w:r>
        <w:t>Produce the decisions, sitemap, permission matrix, schema, API contract, block registry, event dictionary, consent/data map, deployment profiles, and acceptance tests before claiming the architecture is complete. List unresolved business inputs explicitly. Use truthful placeholder labels in development only; do not publish invented business facts.</w:t>
      </w:r>
    </w:p>
    <w:p>
      <w:pPr>
        <w:pStyle w:val="Heading2"/>
        <w:spacing w:before="200" w:after="100"/>
      </w:pPr>
      <w:r>
        <w:t>33.2 Implementation rules</w:t>
      </w:r>
    </w:p>
    <w:p>
      <w:pPr>
        <w:spacing w:after="80" w:line="250" w:lineRule="auto"/>
      </w:pPr>
      <w:r>
        <w:t>Use React/Next.js with TypeScript and semantic HTML/Tailwind/CSS for the public frontend; a React owner console; a NestJS modular business backend; PostgreSQL with reviewed migrations; object storage; and a durable outbox. Python, Redis, GraphQL, SOAP, Kubernetes, and advanced services are optional bounded capabilities selected by the brief.</w:t>
      </w:r>
    </w:p>
    <w:p>
      <w:pPr>
        <w:spacing w:after="80" w:line="250" w:lineRule="auto"/>
      </w:pPr>
      <w:r>
        <w:t>Build the CMS editing workflow, not just CRUD endpoints. The owner must be able to assemble approved blocks, edit content, preview, submit for review, publish/schedule, inspect status, and roll back safely. The public renderer and editor must use the same versioned schemas. Keep private configuration and secrets out of public data and bundles.</w:t>
      </w:r>
    </w:p>
    <w:p>
      <w:pPr>
        <w:spacing w:after="80" w:line="250" w:lineRule="auto"/>
      </w:pPr>
      <w:r>
        <w:t>Implement forms as durable business transactions. Keep analytics data separate from contact details. Instrument pricing visibility, downloads, form starts, validation, accepted leads, qualification, and verified sales using the event catalogue. All optional destination dispatch respects purpose/consent and destination policy. Prove duplicate handling and CRM delivery with tests.</w:t>
      </w:r>
    </w:p>
    <w:p>
      <w:pPr>
        <w:pStyle w:val="Heading2"/>
        <w:spacing w:before="200" w:after="100"/>
      </w:pPr>
      <w:r>
        <w:t>33.3 Work-package completion contract</w:t>
      </w:r>
    </w:p>
    <w:p>
      <w:pPr>
        <w:spacing w:after="80" w:line="250" w:lineRule="auto"/>
      </w:pPr>
      <w:r>
        <w:t>For each module, deliver implemented code, schema/migrations, API documentation, owner UI where needed, tests, fixtures, error/failure states, logs/metrics, configuration, security controls, and a short operating guide. Provide evidence for real integration behavior. Do not mark a module complete because a button exists, a mock returns success, or a provider login works.</w:t>
      </w:r>
    </w:p>
    <w:p>
      <w:pPr>
        <w:spacing w:after="80" w:line="250" w:lineRule="auto"/>
      </w:pPr>
      <w:r>
        <w:t>Keep changes reviewable and reversible. Never overwrite user secrets, delete production data, silently replace an original repository branch, or deploy without the applicable approval. Document compatibility changes and migration instructions. Use synthetic test data that does not accidentally contact real customers or pollute ad optimization.</w:t>
      </w:r>
    </w:p>
    <w:p>
      <w:pPr>
        <w:pStyle w:val="Heading2"/>
        <w:spacing w:before="200" w:after="100"/>
      </w:pPr>
      <w:r>
        <w:t>33.4 Final delivery checklist</w:t>
      </w:r>
    </w:p>
    <w:p>
      <w:pPr>
        <w:spacing w:after="80" w:line="250" w:lineRule="auto"/>
      </w:pPr>
      <w:r>
        <w:t>Deliver an architecture decision register, source repository, approved content, test report, vulnerability/risk report, accessibility/performance evidence, tracking validation report, backup restore evidence, owner task sign-off, deployment/rollback guide, cost model, and support ownership. Classify every requirement as passed, failed, blocked, not implemented, or not applicable.</w:t>
      </w:r>
    </w:p>
    <w:p>
      <w:pPr>
        <w:spacing w:after="80" w:line="250" w:lineRule="auto"/>
      </w:pPr>
      <w:r>
        <w:t>A production-readiness statement must match the evidence. Explicitly list remaining blockers and their consequences. Optional scope can be deferred honestly; a critical missing consent, security, lead-durability, or payment control cannot be described as production-ready merely because the homepage looks complete.</w:t>
      </w:r>
    </w:p>
    <w:p>
      <w:pPr>
        <w:pStyle w:val="Heading2"/>
        <w:keepNext/>
        <w:widowControl/>
        <w:spacing w:before="200" w:after="100"/>
      </w:pPr>
      <w:r>
        <w:t>33.5 Version 1.1 implementation instruction</w:t>
      </w:r>
    </w:p>
    <w:p>
      <w:pPr>
        <w:widowControl/>
        <w:spacing w:after="80" w:line="250" w:lineRule="auto"/>
      </w:pPr>
      <w:r>
        <w:t>Implement Chapters 34–41 and Appendices F–G as part of the required delivery. Build A/B testing, complete UTM attribution, trusted IP processing, approximate and permission-based geolocation, shared website/chatbot context, manual-only blog deletion and comprehensive protected logging. Apply their contracts to frontend, NestJS APIs, PostgreSQL, workers, owner UI, deployment and tests.</w:t>
      </w:r>
    </w:p>
    <w:p>
      <w:pPr>
        <w:widowControl/>
        <w:spacing w:after="80" w:line="250" w:lineRule="auto"/>
      </w:pPr>
      <w:r>
        <w:t>Do not enable unapproved tracking, infer contact identity from an IP, silently request precise location, feed all visitor data to a model, auto-delete old/trashed posts, or let privileged changes proceed without durable audit. Deliver the capabilities even when public activation remains intentionally off. Preserve every original core requirement unless a documented v1.1 rule explicitly strengthens or clarifies it.</w:t>
      </w:r>
    </w:p>
    <w:p>
      <w:pPr>
        <w:pStyle w:val="Heading3"/>
        <w:spacing w:after="80" w:line="250" w:lineRule="auto"/>
      </w:pPr>
      <w:r>
        <w:t>Version 1.2 integration</w:t>
      </w:r>
    </w:p>
    <w:p>
      <w:pPr>
        <w:spacing w:after="80" w:line="250" w:lineRule="auto"/>
      </w:pPr>
      <w:r>
        <w:t>Use this chapter together with Chapters 42–65 and Appendices H–L as the comprehensive implementation instruction. Produce a completed activation register and per-module UI/API/database/policy/event/test/runbook evidence. Keep unmet requirements visible and do not weaken inherited invariants.</w:t>
      </w:r>
    </w:p>
    <w:p>
      <w:pPr>
        <w:pStyle w:val="Heading1"/>
        <w:keepNext/>
        <w:pageBreakBefore/>
        <w:widowControl/>
        <w:spacing w:before="240"/>
        <w:pBdr>
          <w:bottom w:val="single" w:sz="8" w:color="087F83" w:space="8"/>
        </w:pBdr>
      </w:pPr>
      <w:bookmarkStart w:id="293" w:name="v12_ch34"/>
      <w:bookmarkStart w:id="88" w:name="extension_34"/>
      <w:r>
        <w:t>34 | A/B testing and controlled experimentation</w:t>
      </w:r>
      <w:bookmarkEnd w:id="88"/>
      <w:bookmarkEnd w:id="293"/>
      <w:bookmarkStart w:id="584" w:name="tocfinal_ch_34"/>
      <w:bookmarkEnd w:id="584"/>
    </w:p>
    <w:p>
      <w:pPr>
        <w:pStyle w:val="Callout"/>
        <w:widowControl/>
      </w:pPr>
      <w:r>
        <w:t>Required capability in v1.1. The owner must be able to create, preview, approve, run, pause, analyze, and promote website experiments without editing code. Running a live test still requires an approved measurement purpose, enough eligible traffic, and a defensible analysis plan.</w:t>
      </w:r>
    </w:p>
    <w:p>
      <w:pPr>
        <w:pStyle w:val="Heading2"/>
        <w:keepNext/>
        <w:widowControl/>
      </w:pPr>
      <w:r>
        <w:t>34.1 Scope and owner workflow</w:t>
      </w:r>
    </w:p>
    <w:p>
      <w:pPr>
        <w:widowControl/>
      </w:pPr>
      <w:r>
        <w:t>Implement an Experiments area in the owner console, connected to the same versioned page/block/form registry used by the CMS. Support A/B and A/B/n tests of headlines, hero images, approved layouts, CTA copy or placement, form length, resource offers, and chatbot welcome or qualification flows. A split-URL test is a supported mode, not a different reporting system. Multivariate testing and adaptive bandits are separately activated advanced modes; do not label ordinary uneven traffic allocation a bandit.</w:t>
      </w:r>
    </w:p>
    <w:p>
      <w:pPr>
        <w:widowControl/>
      </w:pPr>
      <w:r>
        <w:t>The workflow is draft → reviewed → approved → running → paused/completed → decision_recorded → promoted/archived. Archive means retain the experiment definition, decisions, and permitted evidence; it does not delete the tested blog or landing page. Owners select immutable content revisions for every arm, including control. They can duplicate an experiment, preview a variant with an expiring staff-only link, inspect conflicts, and perform an immediate emergency stop. Starting or changing a live test requires a recorded actor and reason.</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448"/>
        <w:gridCol w:w="7383"/>
      </w:tblGrid>
      <w:tr>
        <w:trPr>
          <w:cantSplit/>
          <w:tblHeader w:val="true"/>
        </w:trPr>
        <w:tc>
          <w:tcPr>
            <w:tcW w:type="dxa" w:w="2448"/>
            <w:vAlign w:val="center"/>
            <w:shd w:fill="163349"/>
            <w:tcMar>
              <w:top w:w="80" w:type="dxa"/>
              <w:bottom w:w="70" w:type="dxa"/>
              <w:left w:w="90" w:type="dxa"/>
              <w:right w:w="90" w:type="dxa"/>
            </w:tcMar>
          </w:tcPr>
          <w:p>
            <w:pPr>
              <w:pStyle w:val="TableText"/>
              <w:keepNext/>
              <w:widowControl/>
              <w:spacing w:after="40"/>
            </w:pPr>
            <w:r>
              <w:rPr>
                <w:b/>
                <w:color w:val="FFFFFF"/>
                <w:sz w:val="18"/>
              </w:rPr>
              <w:t>Configuration</w:t>
            </w:r>
          </w:p>
        </w:tc>
        <w:tc>
          <w:tcPr>
            <w:tcW w:type="dxa" w:w="7383"/>
            <w:vAlign w:val="center"/>
            <w:shd w:fill="163349"/>
            <w:tcMar>
              <w:top w:w="80" w:type="dxa"/>
              <w:bottom w:w="70" w:type="dxa"/>
              <w:left w:w="90" w:type="dxa"/>
              <w:right w:w="90" w:type="dxa"/>
            </w:tcMar>
          </w:tcPr>
          <w:p>
            <w:pPr>
              <w:pStyle w:val="TableText"/>
              <w:keepNext/>
              <w:widowControl/>
              <w:spacing w:after="40"/>
            </w:pPr>
            <w:r>
              <w:rPr>
                <w:b/>
                <w:color w:val="FFFFFF"/>
                <w:sz w:val="18"/>
              </w:rPr>
              <w:t>Required implementation</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Identity and ownership</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experiment_id, experiment_version, site_id, owner, reviewer, hypothesis, business rationale, and expiry/review date.</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Eligible population</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Route, locale, device class where justified, and permitted acquisition cohort; eligibility must be determined before treatment. No sensitive-trait or precise-location targeting by default.</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Treatments</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Stable variant IDs; pinned page/block/form/chat revisions; allocation weights; fallback/control revision; compatibility and accessibility checks.</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Measurement</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One primary metric, denominator/randomization unit, conversion window, guardrails, baseline, minimum detectable effect, sample requirement, and named analysis method.</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Runtime controls</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Start/end timestamps, timezone, enrollment limit, mutual-exclusion namespace, consent requirements, kill switch, and signed configuration version.</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Decision record</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Counts, uncertainty interval, sample-quality checks, exclusions, analysis version, decision owner, reason, rollout evidence, and rollback target.</w:t>
            </w:r>
          </w:p>
        </w:tc>
      </w:tr>
    </w:tbl>
    <w:p>
      <w:pPr>
        <w:pStyle w:val="Heading2"/>
        <w:keepNext/>
        <w:widowControl/>
      </w:pPr>
      <w:r>
        <w:t>34.2 Randomization and reliable delivery</w:t>
      </w:r>
    </w:p>
    <w:p>
      <w:pPr>
        <w:widowControl/>
      </w:pPr>
      <w:r>
        <w:t>Choose the randomization unit deliberately: a permitted browser identity for a public-site test, or an authenticated account for an account-level test. Do not use the IP address, a contact email, device fingerprinting, or a fresh random number on each page render as the assignment unit. A session-level test is possible, but must be explicitly labeled and analyzed as such. A visitor using several devices is not silently deduplicated into one person.</w:t>
      </w:r>
    </w:p>
    <w:p>
      <w:pPr>
        <w:widowControl/>
      </w:pPr>
      <w:r>
        <w:t>Use a reviewed deterministic bucketing function keyed by site, experiment/version, and the eligible unit, then persist or reproduce the resulting assignment under the approved permission rule. Use separate salts for enrollment and arm assignment; freeze assignment semantics during a running version. Persisted assignments take precedence when an approved traffic ramp occurs. Do not reassign enrolled units merely because weights or content changed. A material treatment or eligibility change creates a new experiment version with a new analysis cohort.</w:t>
      </w:r>
    </w:p>
    <w:p>
      <w:pPr>
        <w:widowControl/>
      </w:pPr>
      <w:r>
        <w:t>Resolve applicable server-rendered variants before sending HTML to avoid content flashes. Where a browser has not supplied permitted assignment state, serve the documented control. Never hide the whole page while waiting for a testing SDK. For cacheable HTML, use a small, trusted, bounded variant key together with site/locale/content revision, or bypass shared caching; strip untrusted inbound variant headers. Do not cache per-visitor identifiers or Set-Cookie responses into public shared objects. Test SSR/hydration agreement, back/forward navigation, multi-instance cache behavior, and configuration outage fallback.</w:t>
      </w:r>
    </w:p>
    <w:p>
      <w:pPr>
        <w:pStyle w:val="Heading2"/>
        <w:keepNext/>
        <w:widowControl/>
      </w:pPr>
      <w:r>
        <w:t>34.3 Assignment, exposure, and the denominator</w:t>
      </w:r>
    </w:p>
    <w:p>
      <w:pPr>
        <w:widowControl/>
      </w:pPr>
      <w:r>
        <w:t>Assignment means the allocation service selected an arm. Exposure means the relevant experience was actually delivered/rendered according to the predeclared trigger. Record them separately. A server configuration fetch, preview, preload, or bot request must not masquerade as a human exposure. Page-level exposure follows completed rendering; a component-level visibility metric can additionally use the defined visibility rule. Deduplicate by experiment/version, eligible unit, and the declared exposure scope.</w:t>
      </w:r>
    </w:p>
    <w:p>
      <w:pPr>
        <w:widowControl/>
      </w:pPr>
      <w:r>
        <w:t xml:space="preserve">Use an intention-to-treat primary analysis of the pre-treatment eligible randomized population by default. Exposure-based or triggered analyses require a symmetric, treatment-independent trigger and analyst review. Filtering to people who clicked the new button, opened the chatbot, or reached a section changed by the treatment can bias the result. Compare assignment, render, exposure, and outcome counts so missing telemetry is visible. Microsoft documents how sample-ratio mismatch and treatment-dependent filtering can invalidate otherwise convincing results. </w:t>
      </w:r>
      <w:hyperlink w:anchor="ref_R55">
        <w:r>
          <w:rPr>
            <w:color w:val="087F83"/>
            <w:b/>
          </w:rPr>
          <w:t>[R55]</w:t>
        </w:r>
      </w:hyperlink>
    </w:p>
    <w:p>
      <w:pPr>
        <w:pStyle w:val="Heading2"/>
        <w:keepNext/>
        <w:widowControl/>
      </w:pPr>
      <w:r>
        <w:t>34.4 Metrics and statistical decision contract</w:t>
      </w:r>
    </w:p>
    <w:p>
      <w:pPr>
        <w:widowControl/>
      </w:pPr>
      <w:r>
        <w:t>Define accepted-lead conversion as eligible randomized units with at least one valid accepted lead divided by eligible randomized units, when the objective is a binary conversion rate. Track leads per unit separately where repeat enquiries matter. Qualified-lead and revenue outcomes require maturation windows and trusted CRM/order events. Do not equate more download clicks with more sales.</w:t>
      </w:r>
    </w:p>
    <w:p>
      <w:pPr>
        <w:widowControl/>
      </w:pPr>
      <w:r>
        <w:t xml:space="preserve">Default proposal: a fixed-horizon, two-sided comparison with alpha 0.05 and at least 80% planned power, subject to analyst approval. Record the baseline rate, absolute and relative MDE, required sample per arm, and minimum calendar coverage before starting. These are proposed analysis settings, not universal success thresholds. Use a reviewed statistical library and versioned analysis code. A sequential design is allowed only with a specified sequential method; repeatedly checking an ordinary fixed-horizon p-value does not make it sequentially valid. </w:t>
      </w:r>
      <w:hyperlink w:anchor="ref_R60">
        <w:r>
          <w:rPr>
            <w:color w:val="087F83"/>
            <w:b/>
          </w:rPr>
          <w:t>[R60]</w:t>
        </w:r>
      </w:hyperlink>
    </w:p>
    <w:p>
      <w:pPr>
        <w:widowControl/>
      </w:pPr>
      <w:r>
        <w:t>Illustrative sizing calculation: with independent binary outcomes, equal allocation, a baseline of 4%, a target of 5% (one percentage point or 25% relative uplift), alpha 0.05, and power 0.80, a standard normal approximation gives about 6,745 units per arm. At 200 eligible units per day in total, enrollment alone takes about 68 days, before the chosen outcome-maturation period. This is a calculated planning example, not a promise or a universal minimum; clustering, multiple comparisons, traffic loss, and a different model change the result.</w:t>
      </w:r>
    </w:p>
    <w:p>
      <w:pPr>
        <w:widowControl/>
      </w:pPr>
      <w:r>
        <w:t>Run an A/A validation before the first production programme. Check sample-ratio mismatch, bot/internal-traffic classification, missing outcomes, duplicate events, allocation drift, and consent coverage. Define correction for multiple primary comparisons in A/B/n; keep exploratory segment findings labeled exploratory. Show confidence intervals and effect sizes, not only a green winner badge. Allow inconclusive, harmful, invalid, and insufficient-data outcomes. Low traffic should lead to usability research, interviews, and cautious iterative improvement—not manufactured statistical certainty.</w:t>
      </w:r>
    </w:p>
    <w:p>
      <w:pPr>
        <w:pStyle w:val="Heading2"/>
        <w:keepNext/>
        <w:widowControl/>
      </w:pPr>
      <w:r>
        <w:t>34.5 Guardrails, SEO, and campaign interactions</w:t>
      </w:r>
    </w:p>
    <w:p>
      <w:pPr>
        <w:widowControl/>
      </w:pPr>
      <w:r>
        <w:t>Guardrails include performance, errors, accessibility, valid-lead quality, complaints, cancellation/refund rate, privacy failures, and price/terms consistency. Automated safety stopping is allowed; automatic promotion based on apparent uplift is disabled by default. A promotion creates an approved CMS publication and invalidation event, with the previous live revision available for rollback. Keep previously issued quotes and accepted contractual prices consistent with server-side business rules.</w:t>
      </w:r>
    </w:p>
    <w:p>
      <w:pPr>
        <w:widowControl/>
      </w:pPr>
      <w:r>
        <w:t xml:space="preserve">For search-visible variants, follow Google's testing guidance: avoid cloaking, use canonical signals for closely related split-URL variants, use temporary 302 redirects for temporary split tests, and remove unnecessary test machinery when the experiment ends. Do not identify Googlebot solely to serve a specially favorable offer; the no-cookie fallback should also be available to ordinary visitors without that state. </w:t>
      </w:r>
      <w:hyperlink w:anchor="ref_R47">
        <w:r>
          <w:rPr>
            <w:color w:val="087F83"/>
            <w:b/>
          </w:rPr>
          <w:t>[R47]</w:t>
        </w:r>
      </w:hyperlink>
    </w:p>
    <w:p>
      <w:pPr>
        <w:widowControl/>
      </w:pPr>
      <w:r>
        <w:t>Website A/B testing, Google Ads campaign experiments, and Meta ad experiments answer different questions. Sending campaign A only to landing variant A and campaign B only to variant B confounds audience/creative with page effects. Prefer randomization within the same eligible acquisition population, or predeclare stratification. Record experiment/version/variant on eligible lead and conversion references without sending private context. Keep ad optimization settings stable or document changes during the experiment.</w:t>
      </w:r>
    </w:p>
    <w:p>
      <w:pPr>
        <w:pStyle w:val="Heading2"/>
        <w:keepNext/>
        <w:widowControl/>
      </w:pPr>
      <w:r>
        <w:t>34.6 Completion evidence</w:t>
      </w:r>
    </w:p>
    <w:p>
      <w:pPr>
        <w:widowControl/>
      </w:pPr>
      <w:r>
        <w:t>Deliver the owner workflow, allocation service, versioned config, exposure contract, analysis job, conflict checks, emergency stop, and promotion/rollback tests. A custom implementation needs the same statistical review as a vendor tool. Vendor adapters must allow export of definitions and results; the control experience and lead capture must continue when the vendor is unavailable.</w:t>
      </w:r>
    </w:p>
    <w:p>
      <w:pPr>
        <w:pStyle w:val="SmallNote"/>
        <w:spacing w:before="120"/>
      </w:pPr>
      <w:r>
        <w:t>Final edition integration: Experiment exposure uses the activation and visible-document rules in Chapter 72; restored state must not duplicate assignments or leak context.</w:t>
      </w:r>
    </w:p>
    <w:p>
      <w:pPr>
        <w:pStyle w:val="Heading1"/>
        <w:keepNext/>
        <w:pageBreakBefore/>
        <w:widowControl/>
        <w:spacing w:before="240"/>
        <w:pBdr>
          <w:bottom w:val="single" w:sz="8" w:color="087F83" w:space="8"/>
        </w:pBdr>
      </w:pPr>
      <w:bookmarkStart w:id="294" w:name="v12_ch35"/>
      <w:bookmarkStart w:id="89" w:name="extension_35"/>
      <w:r>
        <w:t>35 | UTM parameters and end-to-end attribution</w:t>
      </w:r>
      <w:bookmarkEnd w:id="89"/>
      <w:bookmarkEnd w:id="294"/>
      <w:bookmarkStart w:id="585" w:name="tocfinal_ch_35"/>
      <w:bookmarkEnd w:id="585"/>
    </w:p>
    <w:p>
      <w:pPr>
        <w:pStyle w:val="Callout"/>
        <w:widowControl/>
      </w:pPr>
      <w:r>
        <w:t>Required capability in v1.1. Capture permitted acquisition context once, preserve its meaning across navigation, forms, downloads and chat, and retain the difference between an observed campaign parameter and an inferred attribution decision.</w:t>
      </w:r>
    </w:p>
    <w:p>
      <w:pPr>
        <w:pStyle w:val="Heading2"/>
        <w:keepNext/>
        <w:widowControl/>
      </w:pPr>
      <w:r>
        <w:t>35.1 Parameter dictionary and campaign builder</w:t>
      </w:r>
    </w:p>
    <w:p>
      <w:pPr>
        <w:widowControl/>
      </w:pPr>
      <w:r>
        <w:t>The owner console must provide a Campaign Link Builder with approved source/medium vocabularies, a campaign registry, destination validation, preview, duplicate detection, and copy/export controls. Store who created or edited each campaign link. Use immutable internal campaign IDs alongside human-readable names so renaming does not destroy joins to spend or leads. Generated links must not contain customer names, email addresses, phone numbers, account IDs, or sensitive audience descriptions.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448"/>
        <w:gridCol w:w="7383"/>
      </w:tblGrid>
      <w:tr>
        <w:trPr>
          <w:cantSplit/>
          <w:tblHeader w:val="true"/>
        </w:trPr>
        <w:tc>
          <w:tcPr>
            <w:tcW w:type="dxa" w:w="2448"/>
            <w:vAlign w:val="center"/>
            <w:shd w:fill="163349"/>
            <w:tcMar>
              <w:top w:w="80" w:type="dxa"/>
              <w:bottom w:w="70" w:type="dxa"/>
              <w:left w:w="90" w:type="dxa"/>
              <w:right w:w="90" w:type="dxa"/>
            </w:tcMar>
          </w:tcPr>
          <w:p>
            <w:pPr>
              <w:pStyle w:val="TableText"/>
              <w:keepNext/>
              <w:widowControl/>
              <w:spacing w:after="40"/>
            </w:pPr>
            <w:r>
              <w:rPr>
                <w:b/>
                <w:color w:val="FFFFFF"/>
                <w:sz w:val="18"/>
              </w:rPr>
              <w:t>Field</w:t>
            </w:r>
          </w:p>
        </w:tc>
        <w:tc>
          <w:tcPr>
            <w:tcW w:type="dxa" w:w="7383"/>
            <w:vAlign w:val="center"/>
            <w:shd w:fill="163349"/>
            <w:tcMar>
              <w:top w:w="80" w:type="dxa"/>
              <w:bottom w:w="70" w:type="dxa"/>
              <w:left w:w="90" w:type="dxa"/>
              <w:right w:w="90" w:type="dxa"/>
            </w:tcMar>
          </w:tcPr>
          <w:p>
            <w:pPr>
              <w:pStyle w:val="TableText"/>
              <w:keepNext/>
              <w:widowControl/>
              <w:spacing w:after="40"/>
            </w:pPr>
            <w:r>
              <w:rPr>
                <w:b/>
                <w:color w:val="FFFFFF"/>
                <w:sz w:val="18"/>
              </w:rPr>
              <w:t>Internal meaning and rule</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utm_source</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Referring platform or publisher from a controlled vocabulary. Preserve the received sanitized value and record any normalized mapping separately.</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utm_medium</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Controlled channel such as cpc, paid_social, email, referral, or qr; keep spelling consistent.</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utm_campaign</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Human-readable campaign name; do not use it as the only durable campaign key.</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utm_id</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Stable campaign identifier used for internal and approved reporting joins.</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utm_content</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Creative, placement, or link variant; distinct from the website experiment assignment.</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utm_term</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Paid-keyword or approved targeting label, not a captured visitor search or form answer.</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utm_source_platform</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Source/buying-platform metadata, maintained under the campaign naming standard.</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Additional internal fields</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Optional creative_format, marketing_tactic, campaign/ad/ad-set IDs, placement, partner/referral code, or QR code ID; explicitly map destinations.</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Click identifiers</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Genuine gclid, gbraid, wbraid, fbclid, and other explicitly activated provider fields; protected, purpose-bound, and never fabricated.</w:t>
            </w:r>
          </w:p>
        </w:tc>
      </w:tr>
    </w:tbl>
    <w:p>
      <w:pPr>
        <w:widowControl/>
      </w:pPr>
      <w:r>
        <w:t xml:space="preserve">Google documents the main UTM fields and case-sensitive values. Its current guidance lists utm_creative_format and utm_marketing_tactic but says they are not currently reported in Analytics properties. Therefore, their presence in an internal record must not be represented as automatic GA4 report support. Verify the actual destination map at implementation. </w:t>
      </w:r>
      <w:hyperlink w:anchor="ref_R48">
        <w:r>
          <w:rPr>
            <w:color w:val="087F83"/>
            <w:b/>
          </w:rPr>
          <w:t>[R48]</w:t>
        </w:r>
      </w:hyperlink>
    </w:p>
    <w:p>
      <w:pPr>
        <w:pStyle w:val="Heading2"/>
        <w:keepNext/>
        <w:widowControl/>
      </w:pPr>
      <w:r>
        <w:t>35.2 Acquisition capture pipeline</w:t>
      </w:r>
    </w:p>
    <w:p>
      <w:pPr>
        <w:widowControl/>
      </w:pPr>
      <w:r>
        <w:t>At an incoming request, resolve the site from trusted deployment/domain configuration, validate the route, and separate service parameters from acquisition parameters. Under the baseline policy, do not create a persistent marketing profile, identifier, or pre-consent behavioral queue. When the relevant permission is granted, capture only the current allowed acquisition context and mark when it became eligible. There is no retrospective replay of earlier unconsented browsing.</w:t>
      </w:r>
    </w:p>
    <w:p>
      <w:pPr>
        <w:widowControl/>
      </w:pPr>
      <w:r>
        <w:t>Parse with a URL parser; allowlist names; cap lengths; reject control characters and malformed encoding; redact suspicious identifying content. Preserve valid opaque click IDs without lowercasing, truncating, or double decoding them. Reject invalid values with a non-sensitive reason rather than altering them into plausible-looking IDs. A campaign parameter is untrusted user input, not proof of a paid click or authorization to issue a discount.</w:t>
      </w:r>
    </w:p>
    <w:p>
      <w:pPr>
        <w:widowControl/>
      </w:pPr>
      <w:r>
        <w:t>Store a bounded, sanitized received field plus normalized campaign mapping and normalization_version. Never retain the full raw query string as an attribution convenience. Referrers are reduced to an approved origin/category or safe route; sensitive paths and query strings are excluded. Hash fragments require an explicit site contract and are not automatically treated as campaign data.</w:t>
      </w:r>
    </w:p>
    <w:p>
      <w:pPr>
        <w:pStyle w:val="Heading2"/>
        <w:keepNext/>
        <w:widowControl/>
      </w:pPr>
      <w:r>
        <w:t>35.3 Browser, backend, and conversion linkage</w:t>
      </w:r>
    </w:p>
    <w:p>
      <w:pPr>
        <w:widowControl/>
      </w:pPr>
      <w:r>
        <w:t>Create a server-validated acquisition touch and return a scoped opaque attribution reference. Bind it to the permitted session/site and expiry; a signed token alone is not proof of ownership or truthful source data. The form or chatbot submits this reference, not a trusted hidden-field claim of a campaign, IP, qualification, or experiment arm. The backend validates ownership and eligibility before attaching it to a lead.</w:t>
      </w:r>
    </w:p>
    <w:p>
      <w:pPr>
        <w:widowControl/>
      </w:pPr>
      <w:r>
        <w:t>Maintain first_eligible_touch_id, last_eligible_touch_id, last_eligible_non_direct_touch_id, current_session_touch_id, conversion_touch_id, and attribution_rule_version as appropriate to the chosen internal model. Freeze the lead's conversion-time snapshot; later campaign visits must not rewrite its original acquisition evidence. A subsequent independent enquiry may legitimately have different attribution. Keep source-declared-by-user as a separate field.</w:t>
      </w:r>
    </w:p>
    <w:p>
      <w:pPr>
        <w:widowControl/>
      </w:pPr>
      <w:r>
        <w:t>A direct return visit does not overwrite a still-eligible non-direct touch under a declared last-non-direct model. Internal menu links must not carry new UTMs; use action_id and placement for internal navigation measurement. Legitimate new external campaign entries can create new touches. Same-site, cross-subdomain, and cross-domain policies must be explicit; avoid repeated touches from redirects, refreshes, and SPA route changes.</w:t>
      </w:r>
    </w:p>
    <w:p>
      <w:pPr>
        <w:pStyle w:val="Heading2"/>
        <w:keepNext/>
        <w:widowControl/>
      </w:pPr>
      <w:r>
        <w:t>35.4 Redirects, Google/Meta, and cross-domain handling</w:t>
      </w:r>
    </w:p>
    <w:p>
      <w:pPr>
        <w:widowControl/>
      </w:pPr>
      <w:r>
        <w:t>Test ad URLs through HTTP-to-HTTPS, canonical-host, locale, legacy-route, campaign-short-link, and split-test redirects. Preserve eligible approved acquisition parameters to the final landing destination without leaking them to unrelated domains. Do not strip parameters before the permitted measurement stack can consume the sanitized current context. Canonical URLs and sitemaps should not contain acquisition identifiers.</w:t>
      </w:r>
    </w:p>
    <w:p>
      <w:pPr>
        <w:widowControl/>
      </w:pPr>
      <w:r>
        <w:t xml:space="preserve">Google's auto-tagging documentation describes GCLID and the need to preserve it through redirects; it also says GA4 prioritizes auto-tagging over manual tagging. The internal warehouse model is separately versioned and must not silently overwrite the platform's interpretation. Confirm current Google/Meta identifier and conversion support in the actual accounts. </w:t>
      </w:r>
      <w:hyperlink w:anchor="ref_R49">
        <w:r>
          <w:rPr>
            <w:color w:val="087F83"/>
            <w:b/>
          </w:rPr>
          <w:t>[R49]</w:t>
        </w:r>
      </w:hyperlink>
    </w:p>
    <w:p>
      <w:pPr>
        <w:widowControl/>
      </w:pPr>
      <w:r>
        <w:t>For approved cross-domain journeys, use the provider's supported linker or a short-lived, destination-allowlisted, session-bound transfer reference. Do not append email, raw IP, precise coordinates, chat transcripts, or long-lived identity tokens to links. Do not rewrite every outbound URL. Payment/support-provider returns should not become acquisition sources when the documented unwanted-referral policy excludes them. Test Safari, mobile/in-app browsers, blocked storage, and visitors who decline optional tracking.</w:t>
      </w:r>
    </w:p>
    <w:p>
      <w:pPr>
        <w:widowControl/>
      </w:pPr>
      <w:r>
        <w:t>Use approved Google and Meta dynamic ad parameters only after validating their exact current macros in the campaign account. Preserve stable campaign/ad identifiers where available; renamed labels may not behave like IDs. The builder must flag unresolved placeholders rather than launch a URL containing literal macro braces. UTMs label a link; they do not reveal an individual ad impression or prove which person saw an ad.</w:t>
      </w:r>
    </w:p>
    <w:p>
      <w:pPr>
        <w:pStyle w:val="Heading2"/>
        <w:keepNext/>
        <w:widowControl/>
      </w:pPr>
      <w:r>
        <w:t>35.5 Reporting, confidence, and operating controls</w:t>
      </w:r>
    </w:p>
    <w:p>
      <w:pPr>
        <w:widowControl/>
      </w:pPr>
      <w:r>
        <w:t>Join eligible leads, qualified outcomes, and revenue to campaign spending using the stated internal attribution rule, account IDs, currency, and timezone. Show source coverage, unknown/not-collected counts, click-ID availability, and delayed CRM outcomes. Do not claim unknown traffic is direct when collection was refused or blocked. Report observed, declared, inferred, and platform-attributed fields separately.</w:t>
      </w:r>
    </w:p>
    <w:p>
      <w:pPr>
        <w:widowControl/>
      </w:pPr>
      <w:r>
        <w:t>Add an Attribution Inspector for authorized staff: safe landing route, source/medium/campaign IDs, acquisition and conversion timestamps, consent policy version, assignment references, and destination delivery state. Raw click IDs are restricted; generic analyst exports use safe references. Diagnostics must distinguish missing parameters, rejected input, permission-denied collection, expired lookback, wrong domain, and connector failures.</w:t>
      </w:r>
    </w:p>
    <w:p>
      <w:pPr>
        <w:widowControl/>
      </w:pPr>
      <w:r>
        <w:t>Test a synthetic tagged visit across multiple pages, a download, a form and a chatbot; then qualify the resulting lead and confirm the same eligible acquisition snapshot remains attached. Test direct returns, multiple external campaigns, malformed/PII-bearing UTMs, campaign renames, revoked consent, duplicate submissions, and CRM correction. Use a designated test campaign and suppress test conversions from production optimization.</w:t>
      </w:r>
    </w:p>
    <w:p>
      <w:pPr>
        <w:pStyle w:val="Heading1"/>
        <w:keepNext/>
        <w:pageBreakBefore/>
        <w:widowControl/>
        <w:spacing w:before="240"/>
        <w:pBdr>
          <w:bottom w:val="single" w:sz="8" w:color="087F83" w:space="8"/>
        </w:pBdr>
      </w:pPr>
      <w:bookmarkStart w:id="295" w:name="v12_ch36"/>
      <w:bookmarkStart w:id="90" w:name="extension_36"/>
      <w:r>
        <w:t>36 | IP addresses, location and visitor context</w:t>
      </w:r>
      <w:bookmarkEnd w:id="90"/>
      <w:bookmarkEnd w:id="295"/>
      <w:bookmarkStart w:id="586" w:name="tocfinal_ch_36"/>
      <w:bookmarkEnd w:id="586"/>
    </w:p>
    <w:p>
      <w:pPr>
        <w:pStyle w:val="Callout"/>
        <w:widowControl/>
      </w:pPr>
      <w:r>
        <w:t>Required capability in v1.1, with field-level access and purpose controls. A network address, an approximate IP-derived region, a browser-provided position, and a voluntarily entered service address are different data types. Never label one as another.</w:t>
      </w:r>
    </w:p>
    <w:p>
      <w:pPr>
        <w:pStyle w:val="Heading2"/>
        <w:keepNext/>
        <w:widowControl/>
      </w:pPr>
      <w:r>
        <w:t>36.1 What can be collected and what cannot be inferred</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872"/>
        <w:gridCol w:w="3528"/>
        <w:gridCol w:w="4431"/>
      </w:tblGrid>
      <w:tr>
        <w:trPr>
          <w:cantSplit/>
          <w:tblHeader w:val="true"/>
        </w:trPr>
        <w:tc>
          <w:tcPr>
            <w:tcW w:type="dxa" w:w="1872"/>
            <w:vAlign w:val="center"/>
            <w:shd w:fill="163349"/>
            <w:tcMar>
              <w:top w:w="80" w:type="dxa"/>
              <w:bottom w:w="70" w:type="dxa"/>
              <w:left w:w="90" w:type="dxa"/>
              <w:right w:w="90" w:type="dxa"/>
            </w:tcMar>
          </w:tcPr>
          <w:p>
            <w:pPr>
              <w:pStyle w:val="TableText"/>
              <w:keepNext/>
              <w:widowControl/>
              <w:spacing w:after="40"/>
            </w:pPr>
            <w:r>
              <w:rPr>
                <w:b/>
                <w:color w:val="FFFFFF"/>
                <w:sz w:val="18"/>
              </w:rPr>
              <w:t>Data</w:t>
            </w:r>
          </w:p>
        </w:tc>
        <w:tc>
          <w:tcPr>
            <w:tcW w:type="dxa" w:w="3528"/>
            <w:vAlign w:val="center"/>
            <w:shd w:fill="163349"/>
            <w:tcMar>
              <w:top w:w="80" w:type="dxa"/>
              <w:bottom w:w="70" w:type="dxa"/>
              <w:left w:w="90" w:type="dxa"/>
              <w:right w:w="90" w:type="dxa"/>
            </w:tcMar>
          </w:tcPr>
          <w:p>
            <w:pPr>
              <w:pStyle w:val="TableText"/>
              <w:keepNext/>
              <w:widowControl/>
              <w:spacing w:after="40"/>
            </w:pPr>
            <w:r>
              <w:rPr>
                <w:b/>
                <w:color w:val="FFFFFF"/>
                <w:sz w:val="18"/>
              </w:rPr>
              <w:t>Source and confidence</w:t>
            </w:r>
          </w:p>
        </w:tc>
        <w:tc>
          <w:tcPr>
            <w:tcW w:type="dxa" w:w="4431"/>
            <w:vAlign w:val="center"/>
            <w:shd w:fill="163349"/>
            <w:tcMar>
              <w:top w:w="80" w:type="dxa"/>
              <w:bottom w:w="70" w:type="dxa"/>
              <w:left w:w="90" w:type="dxa"/>
              <w:right w:w="90" w:type="dxa"/>
            </w:tcMar>
          </w:tcPr>
          <w:p>
            <w:pPr>
              <w:pStyle w:val="TableText"/>
              <w:keepNext/>
              <w:widowControl/>
              <w:spacing w:after="40"/>
            </w:pPr>
            <w:r>
              <w:rPr>
                <w:b/>
                <w:color w:val="FFFFFF"/>
                <w:sz w:val="18"/>
              </w:rPr>
              <w:t>Required boundary</w:t>
            </w:r>
          </w:p>
        </w:tc>
      </w:tr>
      <w:tr>
        <w:trPr>
          <w:cantSplit/>
        </w:trPr>
        <w:tc>
          <w:tcPr>
            <w:tcW w:type="dxa" w:w="1872"/>
            <w:vAlign w:val="center"/>
            <w:shd w:fill="F2F7F9"/>
            <w:tcMar>
              <w:top w:w="80" w:type="dxa"/>
              <w:bottom w:w="70" w:type="dxa"/>
              <w:left w:w="90" w:type="dxa"/>
              <w:right w:w="90" w:type="dxa"/>
            </w:tcMar>
          </w:tcPr>
          <w:p>
            <w:pPr>
              <w:pStyle w:val="TableText"/>
              <w:keepNext w:val="0"/>
              <w:widowControl/>
              <w:spacing w:after="40"/>
            </w:pPr>
            <w:r>
              <w:rPr>
                <w:b/>
                <w:sz w:val="18"/>
              </w:rPr>
              <w:t>Connection IP</w:t>
            </w:r>
          </w:p>
        </w:tc>
        <w:tc>
          <w:tcPr>
            <w:tcW w:type="dxa" w:w="3528"/>
            <w:vAlign w:val="center"/>
            <w:shd w:fill="F2F7F9"/>
            <w:tcMar>
              <w:top w:w="80" w:type="dxa"/>
              <w:bottom w:w="70" w:type="dxa"/>
              <w:left w:w="90" w:type="dxa"/>
              <w:right w:w="90" w:type="dxa"/>
            </w:tcMar>
          </w:tcPr>
          <w:p>
            <w:pPr>
              <w:pStyle w:val="TableText"/>
              <w:keepNext w:val="0"/>
              <w:widowControl/>
              <w:spacing w:after="40"/>
            </w:pPr>
            <w:r>
              <w:rPr>
                <w:sz w:val="18"/>
              </w:rPr>
              <w:t>Server/reverse-proxy observation; may be a VPN, mobile gateway, corporate proxy, or shared connection.</w:t>
            </w:r>
          </w:p>
        </w:tc>
        <w:tc>
          <w:tcPr>
            <w:tcW w:type="dxa" w:w="4431"/>
            <w:vAlign w:val="center"/>
            <w:shd w:fill="F2F7F9"/>
            <w:tcMar>
              <w:top w:w="80" w:type="dxa"/>
              <w:bottom w:w="70" w:type="dxa"/>
              <w:left w:w="90" w:type="dxa"/>
              <w:right w:w="90" w:type="dxa"/>
            </w:tcMar>
          </w:tcPr>
          <w:p>
            <w:pPr>
              <w:pStyle w:val="TableText"/>
              <w:keepNext w:val="0"/>
              <w:widowControl/>
              <w:spacing w:after="40"/>
            </w:pPr>
            <w:r>
              <w:rPr>
                <w:sz w:val="18"/>
              </w:rPr>
              <w:t>Restricted security/approved matching use; not a person's identity or exact address.</w:t>
            </w:r>
          </w:p>
        </w:tc>
      </w:tr>
      <w:tr>
        <w:trPr>
          <w:cantSplit/>
        </w:trPr>
        <w:tc>
          <w:tcPr>
            <w:tcW w:type="dxa" w:w="1872"/>
            <w:vAlign w:val="center"/>
            <w:shd w:fill="FFFFFF"/>
            <w:tcMar>
              <w:top w:w="80" w:type="dxa"/>
              <w:bottom w:w="70" w:type="dxa"/>
              <w:left w:w="90" w:type="dxa"/>
              <w:right w:w="90" w:type="dxa"/>
            </w:tcMar>
          </w:tcPr>
          <w:p>
            <w:pPr>
              <w:pStyle w:val="TableText"/>
              <w:keepNext w:val="0"/>
              <w:widowControl/>
              <w:spacing w:after="40"/>
            </w:pPr>
            <w:r>
              <w:rPr>
                <w:b/>
                <w:sz w:val="18"/>
              </w:rPr>
              <w:t>Approximate country/region/city</w:t>
            </w:r>
          </w:p>
        </w:tc>
        <w:tc>
          <w:tcPr>
            <w:tcW w:type="dxa" w:w="3528"/>
            <w:vAlign w:val="center"/>
            <w:shd w:fill="FFFFFF"/>
            <w:tcMar>
              <w:top w:w="80" w:type="dxa"/>
              <w:bottom w:w="70" w:type="dxa"/>
              <w:left w:w="90" w:type="dxa"/>
              <w:right w:w="90" w:type="dxa"/>
            </w:tcMar>
          </w:tcPr>
          <w:p>
            <w:pPr>
              <w:pStyle w:val="TableText"/>
              <w:keepNext w:val="0"/>
              <w:widowControl/>
              <w:spacing w:after="40"/>
            </w:pPr>
            <w:r>
              <w:rPr>
                <w:sz w:val="18"/>
              </w:rPr>
              <w:t>Approved IP-geolocation lookup; accuracy varies and results may be absent.</w:t>
            </w:r>
          </w:p>
        </w:tc>
        <w:tc>
          <w:tcPr>
            <w:tcW w:type="dxa" w:w="4431"/>
            <w:vAlign w:val="center"/>
            <w:shd w:fill="FFFFFF"/>
            <w:tcMar>
              <w:top w:w="80" w:type="dxa"/>
              <w:bottom w:w="70" w:type="dxa"/>
              <w:left w:w="90" w:type="dxa"/>
              <w:right w:w="90" w:type="dxa"/>
            </w:tcMar>
          </w:tcPr>
          <w:p>
            <w:pPr>
              <w:pStyle w:val="TableText"/>
              <w:keepNext w:val="0"/>
              <w:widowControl/>
              <w:spacing w:after="40"/>
            </w:pPr>
            <w:r>
              <w:rPr>
                <w:sz w:val="18"/>
              </w:rPr>
              <w:t>Display source and accuracy radius where available; default coarse output, no street-level claim.</w:t>
            </w:r>
          </w:p>
        </w:tc>
      </w:tr>
      <w:tr>
        <w:trPr>
          <w:cantSplit/>
        </w:trPr>
        <w:tc>
          <w:tcPr>
            <w:tcW w:type="dxa" w:w="1872"/>
            <w:vAlign w:val="center"/>
            <w:shd w:fill="F2F7F9"/>
            <w:tcMar>
              <w:top w:w="80" w:type="dxa"/>
              <w:bottom w:w="70" w:type="dxa"/>
              <w:left w:w="90" w:type="dxa"/>
              <w:right w:w="90" w:type="dxa"/>
            </w:tcMar>
          </w:tcPr>
          <w:p>
            <w:pPr>
              <w:pStyle w:val="TableText"/>
              <w:keepNext w:val="0"/>
              <w:widowControl/>
              <w:spacing w:after="40"/>
            </w:pPr>
            <w:r>
              <w:rPr>
                <w:b/>
                <w:sz w:val="18"/>
              </w:rPr>
              <w:t>Device/browser context</w:t>
            </w:r>
          </w:p>
        </w:tc>
        <w:tc>
          <w:tcPr>
            <w:tcW w:type="dxa" w:w="3528"/>
            <w:vAlign w:val="center"/>
            <w:shd w:fill="F2F7F9"/>
            <w:tcMar>
              <w:top w:w="80" w:type="dxa"/>
              <w:bottom w:w="70" w:type="dxa"/>
              <w:left w:w="90" w:type="dxa"/>
              <w:right w:w="90" w:type="dxa"/>
            </w:tcMar>
          </w:tcPr>
          <w:p>
            <w:pPr>
              <w:pStyle w:val="TableText"/>
              <w:keepNext w:val="0"/>
              <w:widowControl/>
              <w:spacing w:after="40"/>
            </w:pPr>
            <w:r>
              <w:rPr>
                <w:sz w:val="18"/>
              </w:rPr>
              <w:t>Basic request information and approved browser APIs.</w:t>
            </w:r>
          </w:p>
        </w:tc>
        <w:tc>
          <w:tcPr>
            <w:tcW w:type="dxa" w:w="4431"/>
            <w:vAlign w:val="center"/>
            <w:shd w:fill="F2F7F9"/>
            <w:tcMar>
              <w:top w:w="80" w:type="dxa"/>
              <w:bottom w:w="70" w:type="dxa"/>
              <w:left w:w="90" w:type="dxa"/>
              <w:right w:w="90" w:type="dxa"/>
            </w:tcMar>
          </w:tcPr>
          <w:p>
            <w:pPr>
              <w:pStyle w:val="TableText"/>
              <w:keepNext w:val="0"/>
              <w:widowControl/>
              <w:spacing w:after="40"/>
            </w:pPr>
            <w:r>
              <w:rPr>
                <w:sz w:val="18"/>
              </w:rPr>
              <w:t>Coarse classes and declared purpose; no fingerprint, installed-font inventory, canvas hash, or hardware identity.</w:t>
            </w:r>
          </w:p>
        </w:tc>
      </w:tr>
      <w:tr>
        <w:trPr>
          <w:cantSplit/>
        </w:trPr>
        <w:tc>
          <w:tcPr>
            <w:tcW w:type="dxa" w:w="1872"/>
            <w:vAlign w:val="center"/>
            <w:shd w:fill="FFFFFF"/>
            <w:tcMar>
              <w:top w:w="80" w:type="dxa"/>
              <w:bottom w:w="70" w:type="dxa"/>
              <w:left w:w="90" w:type="dxa"/>
              <w:right w:w="90" w:type="dxa"/>
            </w:tcMar>
          </w:tcPr>
          <w:p>
            <w:pPr>
              <w:pStyle w:val="TableText"/>
              <w:keepNext w:val="0"/>
              <w:widowControl/>
              <w:spacing w:after="40"/>
            </w:pPr>
            <w:r>
              <w:rPr>
                <w:b/>
                <w:sz w:val="18"/>
              </w:rPr>
              <w:t>Language/timezone</w:t>
            </w:r>
          </w:p>
        </w:tc>
        <w:tc>
          <w:tcPr>
            <w:tcW w:type="dxa" w:w="3528"/>
            <w:vAlign w:val="center"/>
            <w:shd w:fill="FFFFFF"/>
            <w:tcMar>
              <w:top w:w="80" w:type="dxa"/>
              <w:bottom w:w="70" w:type="dxa"/>
              <w:left w:w="90" w:type="dxa"/>
              <w:right w:w="90" w:type="dxa"/>
            </w:tcMar>
          </w:tcPr>
          <w:p>
            <w:pPr>
              <w:pStyle w:val="TableText"/>
              <w:keepNext w:val="0"/>
              <w:widowControl/>
              <w:spacing w:after="40"/>
            </w:pPr>
            <w:r>
              <w:rPr>
                <w:sz w:val="18"/>
              </w:rPr>
              <w:t>Browser preference, selected locale, or voluntarily supplied value.</w:t>
            </w:r>
          </w:p>
        </w:tc>
        <w:tc>
          <w:tcPr>
            <w:tcW w:type="dxa" w:w="4431"/>
            <w:vAlign w:val="center"/>
            <w:shd w:fill="FFFFFF"/>
            <w:tcMar>
              <w:top w:w="80" w:type="dxa"/>
              <w:bottom w:w="70" w:type="dxa"/>
              <w:left w:w="90" w:type="dxa"/>
              <w:right w:w="90" w:type="dxa"/>
            </w:tcMar>
          </w:tcPr>
          <w:p>
            <w:pPr>
              <w:pStyle w:val="TableText"/>
              <w:keepNext w:val="0"/>
              <w:widowControl/>
              <w:spacing w:after="40"/>
            </w:pPr>
            <w:r>
              <w:rPr>
                <w:sz w:val="18"/>
              </w:rPr>
              <w:t>A hint, not proof of nationality, residence, location, or applicable law.</w:t>
            </w:r>
          </w:p>
        </w:tc>
      </w:tr>
      <w:tr>
        <w:trPr>
          <w:cantSplit/>
        </w:trPr>
        <w:tc>
          <w:tcPr>
            <w:tcW w:type="dxa" w:w="1872"/>
            <w:vAlign w:val="center"/>
            <w:shd w:fill="F2F7F9"/>
            <w:tcMar>
              <w:top w:w="80" w:type="dxa"/>
              <w:bottom w:w="70" w:type="dxa"/>
              <w:left w:w="90" w:type="dxa"/>
              <w:right w:w="90" w:type="dxa"/>
            </w:tcMar>
          </w:tcPr>
          <w:p>
            <w:pPr>
              <w:pStyle w:val="TableText"/>
              <w:keepNext w:val="0"/>
              <w:widowControl/>
              <w:spacing w:after="40"/>
            </w:pPr>
            <w:r>
              <w:rPr>
                <w:b/>
                <w:sz w:val="18"/>
              </w:rPr>
              <w:t>Browser coordinates</w:t>
            </w:r>
          </w:p>
        </w:tc>
        <w:tc>
          <w:tcPr>
            <w:tcW w:type="dxa" w:w="3528"/>
            <w:vAlign w:val="center"/>
            <w:shd w:fill="F2F7F9"/>
            <w:tcMar>
              <w:top w:w="80" w:type="dxa"/>
              <w:bottom w:w="70" w:type="dxa"/>
              <w:left w:w="90" w:type="dxa"/>
              <w:right w:w="90" w:type="dxa"/>
            </w:tcMar>
          </w:tcPr>
          <w:p>
            <w:pPr>
              <w:pStyle w:val="TableText"/>
              <w:keepNext w:val="0"/>
              <w:widowControl/>
              <w:spacing w:after="40"/>
            </w:pPr>
            <w:r>
              <w:rPr>
                <w:sz w:val="18"/>
              </w:rPr>
              <w:t>Geolocation API after the required browser permission and contextual request.</w:t>
            </w:r>
          </w:p>
        </w:tc>
        <w:tc>
          <w:tcPr>
            <w:tcW w:type="dxa" w:w="4431"/>
            <w:vAlign w:val="center"/>
            <w:shd w:fill="F2F7F9"/>
            <w:tcMar>
              <w:top w:w="80" w:type="dxa"/>
              <w:bottom w:w="70" w:type="dxa"/>
              <w:left w:w="90" w:type="dxa"/>
              <w:right w:w="90" w:type="dxa"/>
            </w:tcMar>
          </w:tcPr>
          <w:p>
            <w:pPr>
              <w:pStyle w:val="TableText"/>
              <w:keepNext w:val="0"/>
              <w:widowControl/>
              <w:spacing w:after="40"/>
            </w:pPr>
            <w:r>
              <w:rPr>
                <w:sz w:val="18"/>
              </w:rPr>
              <w:t>Store accuracy, timestamp, purpose and provenance; location is not necessarily GPS-derived or exact.</w:t>
            </w:r>
          </w:p>
        </w:tc>
      </w:tr>
      <w:tr>
        <w:trPr>
          <w:cantSplit/>
        </w:trPr>
        <w:tc>
          <w:tcPr>
            <w:tcW w:type="dxa" w:w="1872"/>
            <w:vAlign w:val="center"/>
            <w:shd w:fill="FFFFFF"/>
            <w:tcMar>
              <w:top w:w="80" w:type="dxa"/>
              <w:bottom w:w="70" w:type="dxa"/>
              <w:left w:w="90" w:type="dxa"/>
              <w:right w:w="90" w:type="dxa"/>
            </w:tcMar>
          </w:tcPr>
          <w:p>
            <w:pPr>
              <w:pStyle w:val="TableText"/>
              <w:keepNext w:val="0"/>
              <w:widowControl/>
              <w:spacing w:after="40"/>
            </w:pPr>
            <w:r>
              <w:rPr>
                <w:b/>
                <w:sz w:val="18"/>
              </w:rPr>
              <w:t>Entered location/contact</w:t>
            </w:r>
          </w:p>
        </w:tc>
        <w:tc>
          <w:tcPr>
            <w:tcW w:type="dxa" w:w="3528"/>
            <w:vAlign w:val="center"/>
            <w:shd w:fill="FFFFFF"/>
            <w:tcMar>
              <w:top w:w="80" w:type="dxa"/>
              <w:bottom w:w="70" w:type="dxa"/>
              <w:left w:w="90" w:type="dxa"/>
              <w:right w:w="90" w:type="dxa"/>
            </w:tcMar>
          </w:tcPr>
          <w:p>
            <w:pPr>
              <w:pStyle w:val="TableText"/>
              <w:keepNext w:val="0"/>
              <w:widowControl/>
              <w:spacing w:after="40"/>
            </w:pPr>
            <w:r>
              <w:rPr>
                <w:sz w:val="18"/>
              </w:rPr>
              <w:t>The visitor deliberately enters city/postal code, address, name, email, or phone.</w:t>
            </w:r>
          </w:p>
        </w:tc>
        <w:tc>
          <w:tcPr>
            <w:tcW w:type="dxa" w:w="4431"/>
            <w:vAlign w:val="center"/>
            <w:shd w:fill="FFFFFF"/>
            <w:tcMar>
              <w:top w:w="80" w:type="dxa"/>
              <w:bottom w:w="70" w:type="dxa"/>
              <w:left w:w="90" w:type="dxa"/>
              <w:right w:w="90" w:type="dxa"/>
            </w:tcMar>
          </w:tcPr>
          <w:p>
            <w:pPr>
              <w:pStyle w:val="TableText"/>
              <w:keepNext w:val="0"/>
              <w:widowControl/>
              <w:spacing w:after="40"/>
            </w:pPr>
            <w:r>
              <w:rPr>
                <w:sz w:val="18"/>
              </w:rPr>
              <w:t>Treat as declared until appropriately verified; keep in protected business records.</w:t>
            </w:r>
          </w:p>
        </w:tc>
      </w:tr>
    </w:tbl>
    <w:p>
      <w:pPr>
        <w:widowControl/>
      </w:pPr>
      <w:r>
        <w:t xml:space="preserve">MaxMind states that its IP-geolocation data is not precise enough to locate an individual, household, or street address; a VPN may locate the exit server rather than the visitor. Approximate coordinates returned by an IP database are not GPS evidence. </w:t>
      </w:r>
      <w:hyperlink w:anchor="ref_R51">
        <w:r>
          <w:rPr>
            <w:color w:val="087F83"/>
            <w:b/>
          </w:rPr>
          <w:t>[R51]</w:t>
        </w:r>
      </w:hyperlink>
    </w:p>
    <w:p>
      <w:pPr>
        <w:pStyle w:val="Heading2"/>
        <w:keepNext/>
        <w:widowControl/>
      </w:pPr>
      <w:r>
        <w:t>36.2 Trusted IP extraction at the edge</w:t>
      </w:r>
    </w:p>
    <w:p>
      <w:pPr>
        <w:widowControl/>
      </w:pPr>
      <w:r>
        <w:t xml:space="preserve">Resolve client IP only on the trusted server side. Lock down origin access behind the intended proxy/CDN, document the exact hop topology, and make the trusted edge remove or overwrite spoofable forwarding headers. In NestJS using the Express adapter, configure trust proxy for the actual approved proxies/subnets rather than blindly enabling trust for all incoming values. Express documents how incorrect trust configuration can allow client-supplied values to be trusted. </w:t>
      </w:r>
      <w:hyperlink w:anchor="ref_R52">
        <w:r>
          <w:rPr>
            <w:color w:val="087F83"/>
            <w:b/>
          </w:rPr>
          <w:t>[R52]</w:t>
        </w:r>
      </w:hyperlink>
    </w:p>
    <w:p>
      <w:pPr>
        <w:widowControl/>
      </w:pPr>
      <w:r>
        <w:t>Support validated IPv4 and IPv6 and normalize IPv4-mapped IPv6 consistently. Record ip_source and trusted_proxy_config_version. Test direct-to-origin requests, forged X-Forwarded-For, multiple proxy hops, variable hop paths, and missing edge headers. Never use a browser-submitted ip_address or a third-party public “what is my IP” JavaScript call as the authority. A chatbot backend sees the chat provider's server IP unless a separately authenticated, reviewed source-context contract exists.</w:t>
      </w:r>
    </w:p>
    <w:p>
      <w:pPr>
        <w:widowControl/>
      </w:pPr>
      <w:r>
        <w:t>Keep raw IP in a separate encrypted/restricted evidence record only when necessary under the approved schedule. Generic events store a request-context reference or coarse region, not the address. For short-window abuse correlation, a keyed rotating HMAC may reduce exposure but remains pseudonymous and must not become a permanent visitor fingerprint. Rate limits combine appropriate service/session budgets with network signals to avoid blocking an entire shared network unnecessarily.</w:t>
      </w:r>
    </w:p>
    <w:p>
      <w:pPr>
        <w:pStyle w:val="Heading2"/>
        <w:keepNext/>
        <w:widowControl/>
      </w:pPr>
      <w:r>
        <w:t>36.3 IP-derived geography and service eligibility</w:t>
      </w:r>
    </w:p>
    <w:p>
      <w:pPr>
        <w:widowControl/>
      </w:pPr>
      <w:r>
        <w:t>Use a replaceable server-side geolocation adapter: local licensed database or approved provider API. A local database avoids sending each lookup to another provider but still requires updates, licensing, and processing review. Record provider/dataset version, lookup time, country/region/city when available, accuracy_radius_km, and fallback reason. If confidence is absent, store unknown—not an invented confidence score.</w:t>
      </w:r>
    </w:p>
    <w:p>
      <w:pPr>
        <w:widowControl/>
      </w:pPr>
      <w:r>
        <w:t>Default public behavior may suggest a country or nearby service region under the approved purpose, with a visible correction control. Never use IP-only location as the final authority for delivery eligibility, tax, residency, pricing entitlement, age, or legal compliance. For service routing, prefer a user-selected city/postal area and confirm an actual service address only when needed. Keep precise location out of broad dashboards; aggregate geographic reports and suppress small cohorts.</w:t>
      </w:r>
    </w:p>
    <w:p>
      <w:pPr>
        <w:widowControl/>
      </w:pPr>
      <w:r>
        <w:t>Location-provider failure must produce unknown or a manual selector, not block the website, lead form or chat. Cache only approved non-sensitive lookup results with bounded freshness. Do not create a long-lived database mapping each IP to a named customer's full browsing history.</w:t>
      </w:r>
    </w:p>
    <w:p>
      <w:pPr>
        <w:pStyle w:val="Heading2"/>
        <w:keepNext/>
        <w:widowControl/>
      </w:pPr>
      <w:r>
        <w:t>36.4 Browser coordinate permission workflow</w:t>
      </w:r>
    </w:p>
    <w:p>
      <w:pPr>
        <w:widowControl/>
      </w:pPr>
      <w:r>
        <w:t>Provide an explicit “Use my location” action next to a real task such as finding a branch or checking service coverage. Explain why the location is needed and offer city/postal-code entry. Do not request coordinates automatically on page load, simply because the chat opened, or because analytics consent was accepted. An old browser grant does not authorize a new undisclosed purpose.</w:t>
      </w:r>
    </w:p>
    <w:p>
      <w:pPr>
        <w:widowControl/>
      </w:pPr>
      <w:r>
        <w:t xml:space="preserve">The Geolocation API requires express browser permission and a secure context. Its permissions policy also affects access from frames. Implement the request on the first-party page where possible; a chatbot can ask the page to show the same location control, but cannot bypass the browser permission model. </w:t>
      </w:r>
      <w:hyperlink w:anchor="ref_R50">
        <w:r>
          <w:rPr>
            <w:color w:val="087F83"/>
            <w:b/>
          </w:rPr>
          <w:t>[R50]</w:t>
        </w:r>
      </w:hyperlink>
    </w:p>
    <w:p>
      <w:pPr>
        <w:widowControl/>
      </w:pPr>
      <w:r>
        <w:t>Use getCurrentPosition for a one-time request. Enable high accuracy only when the business task needs it; it does not guarantee a precise result. Choose and test maximumAge and timeout deliberately. Browser permission prompts can outlive the API acquisition timeout, so provide a cancellable UI and ignore late callbacks after cancellation, navigation, or revoked application-purpose permission. Continuous watchPosition is off by default and needs a distinct approved use case and visible stop control.</w:t>
      </w:r>
    </w:p>
    <w:p>
      <w:pPr>
        <w:widowControl/>
      </w:pPr>
      <w:r>
        <w:t>Store WGS84 latitude/longitude only in the protected location context, with accuracy_m, obtained_at, source=browser_geolocation, purpose, consent/notice reference and expires_at. Validate numeric finiteness, latitude −90..90, longitude −180..180, and positive/valid accuracy; reject stale or malformed data. Do not treat (0,0) as a universal missing-value marker. Browser locations can be simulated or spoofed and are not identity verification.</w:t>
      </w:r>
    </w:p>
    <w:p>
      <w:pPr>
        <w:widowControl/>
      </w:pPr>
      <w:r>
        <w:t>Handle prompt/not_requested, granted, denied, unavailable, timed_out, cancelled, stale and unsupported states. Do not repeatedly prompt after refusal. Allow the person to continue with a manually selected location or no location when the task allows it. Prefer retaining the derived service-area result rather than coordinates once the task is completed. Reverse geocoding is a separate, approved data disclosure and should happen only when needed.</w:t>
      </w:r>
    </w:p>
    <w:p>
      <w:pPr>
        <w:pStyle w:val="Heading2"/>
        <w:keepNext/>
        <w:widowControl/>
      </w:pPr>
      <w:r>
        <w:t>36.5 Visitor profile and staff visibility</w:t>
      </w:r>
    </w:p>
    <w:p>
      <w:pPr>
        <w:widowControl/>
      </w:pPr>
      <w:r>
        <w:t>Show an authorized Visitor Context panel with consent scope, first/last eligible visit, current safe page, eligible acquisition, observed journey milestones, experiment arm, device category and approximate location. Mark each value as observed, inferred, declared, verified, expired, unknown or not collected. A profile with anonymous activity must not be labeled an identified customer.</w:t>
      </w:r>
    </w:p>
    <w:p>
      <w:pPr>
        <w:widowControl/>
      </w:pPr>
      <w:r>
        <w:t xml:space="preserve">Precise location, raw IP and contact details each require separate permissions and an access log. Mark an authorized reveal/export with actor, purpose and outcome; redact them in ordinary dashboards. Do not put these fields in dataLayer, session-replay recordings, generic error logs, or public JSON. Google documents regional IP and location processing rules; GA4 is not the site's protected raw-IP or precise-location database. </w:t>
      </w:r>
      <w:hyperlink w:anchor="ref_R58">
        <w:r>
          <w:rPr>
            <w:color w:val="087F83"/>
            <w:b/>
          </w:rPr>
          <w:t>[R58]</w:t>
        </w:r>
      </w:hyperlink>
    </w:p>
    <w:p>
      <w:pPr>
        <w:widowControl/>
      </w:pPr>
      <w:r>
        <w:t>A name/email/phone is collected through a submitted form, explicit chatbot capture, or an authenticated verified profile—not “fetched” from an IP address. Connecting an earlier eligible journey to a lead requires the approved purpose and evidence. No hidden contact enrichment, account lookup by guessed email, or cross-device inference is part of this standard.</w:t>
      </w:r>
    </w:p>
    <w:p>
      <w:pPr>
        <w:pStyle w:val="Heading1"/>
        <w:keepNext/>
        <w:pageBreakBefore/>
        <w:widowControl/>
        <w:spacing w:before="240"/>
        <w:pBdr>
          <w:bottom w:val="single" w:sz="8" w:color="087F83" w:space="8"/>
        </w:pBdr>
      </w:pPr>
      <w:bookmarkStart w:id="296" w:name="v12_ch37"/>
      <w:bookmarkStart w:id="91" w:name="extension_37"/>
      <w:r>
        <w:t>37 | Chatbot and shared visitor-context services</w:t>
      </w:r>
      <w:bookmarkEnd w:id="91"/>
      <w:bookmarkEnd w:id="296"/>
      <w:bookmarkStart w:id="587" w:name="tocfinal_ch_37"/>
      <w:bookmarkEnd w:id="587"/>
    </w:p>
    <w:p>
      <w:pPr>
        <w:pStyle w:val="Callout"/>
        <w:widowControl/>
      </w:pPr>
      <w:r>
        <w:t>Required chatbot capability in v1.1. The website and chat must use one controlled context system, not two competing trackers. Sharing context means consistent provenance and permission enforcement—not copying all visitor data into the language model or a third-party widget.</w:t>
      </w:r>
    </w:p>
    <w:p>
      <w:pPr>
        <w:pStyle w:val="Heading2"/>
        <w:keepNext/>
        <w:widowControl/>
      </w:pPr>
      <w:r>
        <w:t>37.1 Functional scope and resilient experience</w:t>
      </w:r>
    </w:p>
    <w:p>
      <w:pPr>
        <w:widowControl/>
      </w:pPr>
      <w:r>
        <w:t>Provide a deferred accessible chat launcher, approved welcome messages, FAQ/knowledge answers, program/product selection, lead capture, resource delivery, appointment requests where activated, human handoff, operating hours, and a useful offline fallback. The main site, pricing, forms and contact details must work without chat. A deterministic FAQ/form flow is the resilience path when the AI model or provider is unavailable.</w:t>
      </w:r>
    </w:p>
    <w:p>
      <w:pPr>
        <w:widowControl/>
      </w:pPr>
      <w:r>
        <w:t>The owner console must support conversation inbox, assignments, status, tags, approved capture fields, qualification flows, resource links, notification routing, human handoff, multilingual copy, knowledge-source approval, model/provider settings under restricted permissions, token/cost budgets, and test mode. Distinguish saving configuration, publishing a new bot version, and applying that version to new or existing conversations.</w:t>
      </w:r>
    </w:p>
    <w:p>
      <w:pPr>
        <w:widowControl/>
      </w:pPr>
      <w:r>
        <w:t>Chat states include opened → active → awaiting_customer/awaiting_agent → resolved/closed, with failed and expired states. Messages have stable client/server IDs, sender type, sequence, timestamps and delivery states. WebSocket/SSE reconnection must not duplicate a lead or resend a staff action. Do not expose transcript content in URLs, push-notification previews, or unrestricted monitoring.</w:t>
      </w:r>
    </w:p>
    <w:p>
      <w:pPr>
        <w:pStyle w:val="Heading2"/>
        <w:keepNext/>
        <w:widowControl/>
      </w:pPr>
      <w:r>
        <w:t>37.2 One context service with separate projections</w:t>
      </w:r>
    </w:p>
    <w:p>
      <w:pPr>
        <w:widowControl/>
      </w:pPr>
      <w:r>
        <w:t>Create a VisitorContextService in NestJS backed by approved session, acquisition, consent and business records. Browser forms and the chat gateway call this service through authenticated/scoped APIs. The service returns a purpose-specific projection and policy_version, not the complete database record. Public configuration must never reveal internal lead IDs or another person's conversation.</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160"/>
        <w:gridCol w:w="3024"/>
        <w:gridCol w:w="4647"/>
      </w:tblGrid>
      <w:tr>
        <w:trPr>
          <w:cantSplit/>
          <w:tblHeader w:val="true"/>
        </w:trPr>
        <w:tc>
          <w:tcPr>
            <w:tcW w:type="dxa" w:w="2160"/>
            <w:vAlign w:val="center"/>
            <w:shd w:fill="163349"/>
            <w:tcMar>
              <w:top w:w="80" w:type="dxa"/>
              <w:bottom w:w="70" w:type="dxa"/>
              <w:left w:w="90" w:type="dxa"/>
              <w:right w:w="90" w:type="dxa"/>
            </w:tcMar>
          </w:tcPr>
          <w:p>
            <w:pPr>
              <w:pStyle w:val="TableText"/>
              <w:keepNext/>
              <w:widowControl/>
              <w:spacing w:after="40"/>
            </w:pPr>
            <w:r>
              <w:rPr>
                <w:b/>
                <w:color w:val="FFFFFF"/>
                <w:sz w:val="18"/>
              </w:rPr>
              <w:t>Context projection</w:t>
            </w:r>
          </w:p>
        </w:tc>
        <w:tc>
          <w:tcPr>
            <w:tcW w:type="dxa" w:w="3024"/>
            <w:vAlign w:val="center"/>
            <w:shd w:fill="163349"/>
            <w:tcMar>
              <w:top w:w="80" w:type="dxa"/>
              <w:bottom w:w="70" w:type="dxa"/>
              <w:left w:w="90" w:type="dxa"/>
              <w:right w:w="90" w:type="dxa"/>
            </w:tcMar>
          </w:tcPr>
          <w:p>
            <w:pPr>
              <w:pStyle w:val="TableText"/>
              <w:keepNext/>
              <w:widowControl/>
              <w:spacing w:after="40"/>
            </w:pPr>
            <w:r>
              <w:rPr>
                <w:b/>
                <w:color w:val="FFFFFF"/>
                <w:sz w:val="18"/>
              </w:rPr>
              <w:t>Permitted contents by default</w:t>
            </w:r>
          </w:p>
        </w:tc>
        <w:tc>
          <w:tcPr>
            <w:tcW w:type="dxa" w:w="4647"/>
            <w:vAlign w:val="center"/>
            <w:shd w:fill="163349"/>
            <w:tcMar>
              <w:top w:w="80" w:type="dxa"/>
              <w:bottom w:w="70" w:type="dxa"/>
              <w:left w:w="90" w:type="dxa"/>
              <w:right w:w="90" w:type="dxa"/>
            </w:tcMar>
          </w:tcPr>
          <w:p>
            <w:pPr>
              <w:pStyle w:val="TableText"/>
              <w:keepNext/>
              <w:widowControl/>
              <w:spacing w:after="40"/>
            </w:pPr>
            <w:r>
              <w:rPr>
                <w:b/>
                <w:color w:val="FFFFFF"/>
                <w:sz w:val="18"/>
              </w:rPr>
              <w:t>Excluded by default</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Website SDK</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Safe page/block IDs, approved event schema, permitted assignment, consent state needed by the client.</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Raw IP, contact details, privileged notes, precise coordinates outside the explicit location control.</w:t>
            </w:r>
          </w:p>
        </w:tc>
      </w:tr>
      <w:tr>
        <w:trPr>
          <w:cantSplit/>
        </w:trPr>
        <w:tc>
          <w:tcPr>
            <w:tcW w:type="dxa" w:w="2160"/>
            <w:vAlign w:val="center"/>
            <w:shd w:fill="FFFFFF"/>
            <w:tcMar>
              <w:top w:w="80" w:type="dxa"/>
              <w:bottom w:w="70" w:type="dxa"/>
              <w:left w:w="90" w:type="dxa"/>
              <w:right w:w="90" w:type="dxa"/>
            </w:tcMar>
          </w:tcPr>
          <w:p>
            <w:pPr>
              <w:pStyle w:val="TableText"/>
              <w:keepNext w:val="0"/>
              <w:widowControl/>
              <w:spacing w:after="40"/>
            </w:pPr>
            <w:r>
              <w:rPr>
                <w:b/>
                <w:sz w:val="18"/>
              </w:rPr>
              <w:t>Chat response context</w:t>
            </w:r>
          </w:p>
        </w:tc>
        <w:tc>
          <w:tcPr>
            <w:tcW w:type="dxa" w:w="3024"/>
            <w:vAlign w:val="center"/>
            <w:shd w:fill="FFFFFF"/>
            <w:tcMar>
              <w:top w:w="80" w:type="dxa"/>
              <w:bottom w:w="70" w:type="dxa"/>
              <w:left w:w="90" w:type="dxa"/>
              <w:right w:w="90" w:type="dxa"/>
            </w:tcMar>
          </w:tcPr>
          <w:p>
            <w:pPr>
              <w:pStyle w:val="TableText"/>
              <w:keepNext w:val="0"/>
              <w:widowControl/>
              <w:spacing w:after="40"/>
            </w:pPr>
            <w:r>
              <w:rPr>
                <w:sz w:val="18"/>
              </w:rPr>
              <w:t>Current approved page/offer, selected language, visitor-selected topic, approved coarse service area, necessary conversation turns.</w:t>
            </w:r>
          </w:p>
        </w:tc>
        <w:tc>
          <w:tcPr>
            <w:tcW w:type="dxa" w:w="4647"/>
            <w:vAlign w:val="center"/>
            <w:shd w:fill="FFFFFF"/>
            <w:tcMar>
              <w:top w:w="80" w:type="dxa"/>
              <w:bottom w:w="70" w:type="dxa"/>
              <w:left w:w="90" w:type="dxa"/>
              <w:right w:w="90" w:type="dxa"/>
            </w:tcMar>
          </w:tcPr>
          <w:p>
            <w:pPr>
              <w:pStyle w:val="TableText"/>
              <w:keepNext w:val="0"/>
              <w:widowControl/>
              <w:spacing w:after="40"/>
            </w:pPr>
            <w:r>
              <w:rPr>
                <w:sz w:val="18"/>
              </w:rPr>
              <w:t>Full browsing history, raw IP, advertising click IDs, precise coordinates, unrelated CRM/customer data.</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Lead-capture service</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Explicitly submitted contacts, field provenance, permitted acquisition/assignment/location references, consent evidence.</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Arbitrary hidden-field identity claims or inferred personal attributes.</w:t>
            </w:r>
          </w:p>
        </w:tc>
      </w:tr>
      <w:tr>
        <w:trPr>
          <w:cantSplit/>
        </w:trPr>
        <w:tc>
          <w:tcPr>
            <w:tcW w:type="dxa" w:w="2160"/>
            <w:vAlign w:val="center"/>
            <w:shd w:fill="FFFFFF"/>
            <w:tcMar>
              <w:top w:w="80" w:type="dxa"/>
              <w:bottom w:w="70" w:type="dxa"/>
              <w:left w:w="90" w:type="dxa"/>
              <w:right w:w="90" w:type="dxa"/>
            </w:tcMar>
          </w:tcPr>
          <w:p>
            <w:pPr>
              <w:pStyle w:val="TableText"/>
              <w:keepNext w:val="0"/>
              <w:widowControl/>
              <w:spacing w:after="40"/>
            </w:pPr>
            <w:r>
              <w:rPr>
                <w:b/>
                <w:sz w:val="18"/>
              </w:rPr>
              <w:t>Authorized human agent</w:t>
            </w:r>
          </w:p>
        </w:tc>
        <w:tc>
          <w:tcPr>
            <w:tcW w:type="dxa" w:w="3024"/>
            <w:vAlign w:val="center"/>
            <w:shd w:fill="FFFFFF"/>
            <w:tcMar>
              <w:top w:w="80" w:type="dxa"/>
              <w:bottom w:w="70" w:type="dxa"/>
              <w:left w:w="90" w:type="dxa"/>
              <w:right w:w="90" w:type="dxa"/>
            </w:tcMar>
          </w:tcPr>
          <w:p>
            <w:pPr>
              <w:pStyle w:val="TableText"/>
              <w:keepNext w:val="0"/>
              <w:widowControl/>
              <w:spacing w:after="40"/>
            </w:pPr>
            <w:r>
              <w:rPr>
                <w:sz w:val="18"/>
              </w:rPr>
              <w:t>Assigned conversation, relevant accepted contact details, eligible journey summary and service-area result.</w:t>
            </w:r>
          </w:p>
        </w:tc>
        <w:tc>
          <w:tcPr>
            <w:tcW w:type="dxa" w:w="4647"/>
            <w:vAlign w:val="center"/>
            <w:shd w:fill="FFFFFF"/>
            <w:tcMar>
              <w:top w:w="80" w:type="dxa"/>
              <w:bottom w:w="70" w:type="dxa"/>
              <w:left w:w="90" w:type="dxa"/>
              <w:right w:w="90" w:type="dxa"/>
            </w:tcMar>
          </w:tcPr>
          <w:p>
            <w:pPr>
              <w:pStyle w:val="TableText"/>
              <w:keepNext w:val="0"/>
              <w:widowControl/>
              <w:spacing w:after="40"/>
            </w:pPr>
            <w:r>
              <w:rPr>
                <w:sz w:val="18"/>
              </w:rPr>
              <w:t>Unrelated visitors; raw-IP or precise-location access unless separately authorized.</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Analytics/ad adapter</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Approved event names and safe identifiers; eligible destination-specific matching fields only.</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Transcript text, answers, exact location, private notes and unrestricted URL parameters.</w:t>
            </w:r>
          </w:p>
        </w:tc>
      </w:tr>
    </w:tbl>
    <w:p>
      <w:pPr>
        <w:widowControl/>
      </w:pPr>
      <w:r>
        <w:t>A typed context envelope should use context_id, site_id, conversation_id, policy_version, created_at/expires_at and scope. Server lookup must verify the conversation/session binding on every use. References are not credentials; authorization remains necessary. Keep operational chat-session state distinct from analytics identity. A visitor can use support with optional analytics/ads refused; do not retrofit their essential chat session into an undisclosed cross-page tracker.</w:t>
      </w:r>
    </w:p>
    <w:p>
      <w:pPr>
        <w:pStyle w:val="Heading2"/>
        <w:keepNext/>
        <w:widowControl/>
      </w:pPr>
      <w:r>
        <w:t>37.3 Shared capture techniques, without bypassing permission</w:t>
      </w:r>
    </w:p>
    <w:p>
      <w:pPr>
        <w:widowControl/>
      </w:pPr>
      <w:r>
        <w:t>On permitted chat start, associate the current eligible attribution touch and experiment assignment through server-validated references. Eligible pricing exposure and resource actions can be summarized for an authorized purpose; unknown or unconsented earlier activity remains absent. The chatbot must not claim “I saw you read every price” because a marker appeared on screen.</w:t>
      </w:r>
    </w:p>
    <w:p>
      <w:pPr>
        <w:widowControl/>
      </w:pPr>
      <w:r>
        <w:t>For location, show the same first-party “Use my location” control used elsewhere. The browser obtains permission, the location service validates and resolves the task, and the bot receives the minimal useful result such as service_area_id or branch options. A denial produces a city/postal-code prompt. Never substitute IP-estimated coordinates and report that browser location permission succeeded.</w:t>
      </w:r>
    </w:p>
    <w:p>
      <w:pPr>
        <w:widowControl/>
      </w:pPr>
      <w:r>
        <w:t>For names, email and phone, use explicit structured capture fields inside chat. Explain the follow-up purpose and separate marketing permission. Distinguish declared from verified details; use verification only when the business action requires it. Typing an email in free text is not permission to load that email's existing account, order history or earlier conversations. Verify account ownership before accessing private records.</w:t>
      </w:r>
    </w:p>
    <w:p>
      <w:pPr>
        <w:widowControl/>
      </w:pPr>
      <w:r>
        <w:t>Capture field provenance as source=form/chat/authenticated_profile, collected_at, notice/consent reference, verification_state, and actor/channel. An AI-extracted candidate is a draft until the visitor confirms it or an approved deterministic capture workflow validates it. Do not record every keystroke, autofill value or abandoned draft as a submitted lead.</w:t>
      </w:r>
    </w:p>
    <w:p>
      <w:pPr>
        <w:pStyle w:val="Heading2"/>
        <w:keepNext/>
        <w:widowControl/>
      </w:pPr>
      <w:r>
        <w:t>37.4 Embedded and third-party chat</w:t>
      </w:r>
    </w:p>
    <w:p>
      <w:pPr>
        <w:widowControl/>
      </w:pPr>
      <w:r>
        <w:t xml:space="preserve">Prefer same-origin integration or a controlled first-party gateway. For an external iframe, initialize using a short-lived, scoped handshake and a fixed allowlisted origin. Verify message origin, source window, message type and schema; never use wildcard targetOrigin for sensitive communication. MDN documents these postMessage security requirements. </w:t>
      </w:r>
      <w:hyperlink w:anchor="ref_R57">
        <w:r>
          <w:rPr>
            <w:color w:val="087F83"/>
            <w:b/>
          </w:rPr>
          <w:t>[R57]</w:t>
        </w:r>
      </w:hyperlink>
    </w:p>
    <w:p>
      <w:pPr>
        <w:widowControl/>
      </w:pPr>
      <w:r>
        <w:t>Do not send long-lived authentication tokens or reusable contact data through URL query parameters. A client-delivered integration token must have narrow scope, short expiry and appropriate binding; exchange it securely and redact it from logs. Gate nonessential third-party widget scripts on the applicable permission. A provider that cannot support the required masking, deletion, consent or export controls fails acceptance.</w:t>
      </w:r>
    </w:p>
    <w:p>
      <w:pPr>
        <w:widowControl/>
      </w:pPr>
      <w:r>
        <w:t>The chat provider's webhook IP is not the visitor's IP. Provider metadata is accepted only from a verified integration with documented provenance; otherwise use the first-party request context or unknown. Cross-channel handoff to WhatsApp/Telegram is a new channel with its own permissions and identity. Do not place transcripts or precise coordinates into prefilled public links. Signed handoff references expire and do not automatically grant account access.</w:t>
      </w:r>
    </w:p>
    <w:p>
      <w:pPr>
        <w:pStyle w:val="Heading2"/>
        <w:keepNext/>
        <w:widowControl/>
      </w:pPr>
      <w:r>
        <w:t>37.5 Lead capture and conversion correctness</w:t>
      </w:r>
    </w:p>
    <w:p>
      <w:pPr>
        <w:widowControl/>
      </w:pPr>
      <w:r>
        <w:t>The lead-capture tool validates the explicit submitted fields, idempotency key, conversation ownership, current consent and eligible context references. In one database transaction, it creates the accepted lead, submission/conversation link, safe audit metadata and outbox event. The chatbot says the enquiry was received only after commit. A model-generated phrase such as “lead captured” is not an authoritative event.</w:t>
      </w:r>
    </w:p>
    <w:p>
      <w:pPr>
        <w:widowControl/>
      </w:pPr>
      <w:r>
        <w:t>Return the stored conversion_event_id to any permitted browser representation. Browser and server destinations reuse the same agreed identity for the same action; a retry must not create a second lead. Distinguish a repeated attempt from a genuinely new enquiry. Link a later form submission to the same case only through explicit workflow evidence—not simply because the contacts match. Qualification and sale remain trusted CRM/business transitions.</w:t>
      </w:r>
    </w:p>
    <w:p>
      <w:pPr>
        <w:widowControl/>
      </w:pPr>
      <w:r>
        <w:t>Chat opens, messages and suggested-resource clicks are secondary engagement signals. Do not optimize Ads/Meta to every chat message as a lead. Track handoff requested versus an agent actually joined, capture started versus lead committed, and resource suggested versus download clicked/authorized.</w:t>
      </w:r>
    </w:p>
    <w:p>
      <w:pPr>
        <w:pStyle w:val="Heading2"/>
        <w:keepNext/>
        <w:widowControl/>
      </w:pPr>
      <w:r>
        <w:t>37.6 Knowledge freshness and model security</w:t>
      </w:r>
    </w:p>
    <w:p>
      <w:pPr>
        <w:widowControl/>
      </w:pPr>
      <w:r>
        <w:t>Build the bot knowledge set from approved, published content with site, locale, revision, validity dates and access labels. Query current server-owned pricing/availability where required; do not rely on an old embedding for a live price. Cite public source pages where useful and admit when evidence is missing. Manual unpublishing, trashing or deleting content must invalidate bot retrieval, caches and source links; filter against authoritative current publication state while asynchronous indexes catch up.</w:t>
      </w:r>
    </w:p>
    <w:p>
      <w:pPr>
        <w:widowControl/>
      </w:pPr>
      <w:r>
        <w:t xml:space="preserve">Treat website text, uploaded resources, UTM values, user messages and retrieved passages as untrusted data, not instructions to call tools or reveal secrets. Enforce allowed tools, object authorization, bounded arguments, rate limits, confirmation for consequential actions and output validation outside the model. OWASP's prompt-injection guidance supports defense in depth; a prompt alone is not an access-control system. </w:t>
      </w:r>
      <w:hyperlink w:anchor="ref_R56">
        <w:r>
          <w:rPr>
            <w:color w:val="087F83"/>
            <w:b/>
          </w:rPr>
          <w:t>[R56]</w:t>
        </w:r>
      </w:hyperlink>
    </w:p>
    <w:p>
      <w:pPr>
        <w:widowControl/>
      </w:pPr>
      <w:r>
        <w:t>Do not give the model raw SQL access, unrestricted URL fetching, production secrets, blog-purge permissions or a tool that disables audit. Log model/prompt/knowledge versions, tool name, safe argument summary, authorization decision, timing, token usage and outcome—not secret-bearing full traces. Provider training/retention and processing-region settings must be reviewed and documented; never promise that a vendor stores nothing without verifying the contract/configuration.</w:t>
      </w:r>
    </w:p>
    <w:p>
      <w:pPr>
        <w:pStyle w:val="Heading2"/>
        <w:keepNext/>
        <w:widowControl/>
      </w:pPr>
      <w:r>
        <w:t>37.7 Privacy, safety and operator evidence</w:t>
      </w:r>
    </w:p>
    <w:p>
      <w:pPr>
        <w:widowControl/>
      </w:pPr>
      <w:r>
        <w:t>Make AI/human identity clear, provide human contact, and warn against sending unnecessary sensitive details. Mask the entire transcript and chat capture region in session replay. Restrict attachments, validate file types, scan where applicable, and use signed private storage. Conversation exports need authorization, expiry and audit. Privacy requests must cover transcripts, extracted contacts, summaries, attachments, search indexes and provider copies under the approved policy.</w:t>
      </w:r>
    </w:p>
    <w:p>
      <w:pPr>
        <w:widowControl/>
      </w:pPr>
      <w:r>
        <w:t>Test cross-visitor leakage, guessed conversation IDs, shared-device logout/reset, expired context, consent withdrawal during a conversation, location refusal, incorrect AI extraction, tool denial, provider outage, reconnection and duplicate lead retries. Evidence must show that forms and chat use the same acquisition and conversion rules while keeping prohibited data out of analytics and model context.</w:t>
      </w:r>
    </w:p>
    <w:p>
      <w:pPr>
        <w:pStyle w:val="Heading1"/>
        <w:keepNext/>
        <w:pageBreakBefore/>
        <w:widowControl/>
        <w:spacing w:before="240"/>
        <w:pBdr>
          <w:bottom w:val="single" w:sz="8" w:color="087F83" w:space="8"/>
        </w:pBdr>
      </w:pPr>
      <w:bookmarkStart w:id="297" w:name="v12_ch38"/>
      <w:bookmarkStart w:id="92" w:name="extension_38"/>
      <w:r>
        <w:t>38 | Manual-only blog deletion and content preservation</w:t>
      </w:r>
      <w:bookmarkEnd w:id="92"/>
      <w:bookmarkEnd w:id="297"/>
      <w:bookmarkStart w:id="588" w:name="tocfinal_ch_38"/>
      <w:bookmarkEnd w:id="588"/>
    </w:p>
    <w:p>
      <w:pPr>
        <w:pStyle w:val="Callout"/>
        <w:widowControl/>
      </w:pPr>
      <w:r>
        <w:t>Mandatory invariant: blog posts, drafts, published revisions, editorial history and content-owned assets must not be automatically deleted because of age, inactivity, low traffic, storage thresholds, AI recommendations, a yearly schedule, or time spent in trash. Only an authorized, attributable human deletion workflow can approve removal of source content, subject to legal obligations.</w:t>
      </w:r>
    </w:p>
    <w:p>
      <w:pPr>
        <w:pStyle w:val="Heading2"/>
        <w:keepNext/>
        <w:widowControl/>
      </w:pPr>
      <w:r>
        <w:t>38.1 Interpretation and lifecycle separation</w:t>
      </w:r>
    </w:p>
    <w:p>
      <w:pPr>
        <w:widowControl/>
      </w:pPr>
      <w:r>
        <w:t>The request's “anually” is interpreted as “manually,” not automatic annual deletion. Annual review can create reminders and a candidate list, but cannot change publication state or delete content on its own. An annual-only human deletion window may be configured only after the owner explicitly confirms that separate scheduling requirement; it must not obstruct legally required action. No yearly purge is enabled in this standard.</w:t>
      </w:r>
    </w:p>
    <w:p>
      <w:pPr>
        <w:widowControl/>
      </w:pPr>
      <w:r>
        <w:t>Separate three concepts: editorial workflow state (draft/in_review/approved), publication state (unpublished/published/archived), and deletion state (active/trashed/purge_pending/purged). Unpublishing removes public availability; archiving retains the source; moving to trash is a reversible manual action; hard purge is a separately authorized permanent removal. A review_due_at date is not expires_at. A scheduled publication is not scheduled deletion.</w:t>
      </w:r>
    </w:p>
    <w:p>
      <w:pPr>
        <w:widowControl/>
      </w:pPr>
      <w:r>
        <w:t>An automated expiry rule for a dated offer may be separately approved to stop displaying an invalid claim, but it must retain the post and audit the rule execution. Ordinary posts do not auto-unpublish on age. Search/retrieval indexes and cached renderings are derived copies: they may be rebuilt or invalidated without deleting the source post.</w:t>
      </w:r>
    </w:p>
    <w:p>
      <w:pPr>
        <w:pStyle w:val="Heading2"/>
        <w:keepNext/>
        <w:widowControl/>
      </w:pPr>
      <w:r>
        <w:t>38.2 Owner permissions and manual trash action</w:t>
      </w:r>
    </w:p>
    <w:p>
      <w:pPr>
        <w:widowControl/>
      </w:pPr>
      <w:r>
        <w:t>Separate content.edit, content.publish, content.unpublish, content.trash, content.restore, content.purge_request, content.purge_approve, content.purge_execute and audit.read. Roles are explicit; an author cannot gain purge rights by owning a post. General integrations, retention jobs and chatbot/AI service accounts receive no source-content deletion authority.</w:t>
      </w:r>
    </w:p>
    <w:p>
      <w:pPr>
        <w:widowControl/>
      </w:pPr>
      <w:r>
        <w:t>For manual trash, require authenticated staff identity, site/object permission, expected record version, a human-readable reason or approved reason code, impact preview and explicit confirmation. Show affected routes, translations, active experiments, linked resources, menus, campaigns and bot knowledge. Confirm active campaigns and customer obligations before removing destinations. Commit the state change, deletion metadata, audit and invalidation outbox together.</w:t>
      </w:r>
    </w:p>
    <w:p>
      <w:pPr>
        <w:widowControl/>
      </w:pPr>
      <w:r>
        <w:t>Store deleted_at, deleted_by_actor_id, deletion_reason, previous_publication_state, expected_revision/version, request_id and operation_id. The trusted backend derives the actor from authentication; it never trusts a submitted deleted_by field. A failed attempt records failure without pretending a deletion occurred. The owner receives a safe notification and can inspect who did what and why.</w:t>
      </w:r>
    </w:p>
    <w:p>
      <w:pPr>
        <w:pStyle w:val="Heading2"/>
        <w:keepNext/>
        <w:widowControl/>
      </w:pPr>
      <w:r>
        <w:t>38.3 Trash has no automatic expiry</w:t>
      </w:r>
    </w:p>
    <w:p>
      <w:pPr>
        <w:widowControl/>
      </w:pPr>
      <w:r>
        <w:t>The trash screen supports search, filters, deletion reason, actor, timestamps, dependency view, restore preview and authorized restore. There is no “empty trash after 30 days” default, hidden CMS cron, database TTL, cloud lifecycle rule or generic cleanup service that removes retained posts or their source revisions. Disable or replace such CMS/plugin behavior before acceptance.</w:t>
      </w:r>
    </w:p>
    <w:p>
      <w:pPr>
        <w:widowControl/>
      </w:pPr>
      <w:r>
        <w:t>A manual restore validates permissions, legal holds, slug conflicts, schema compatibility and content dependencies. Restore to a safe unpublished state by default; republication is a separate approved action. Record restored_by, restored_at, source deletion operation and revision. Remove/reconcile old redirects and invalidate the necessary caches before showing restored content as live.</w:t>
      </w:r>
    </w:p>
    <w:p>
      <w:pPr>
        <w:widowControl/>
      </w:pPr>
      <w:r>
        <w:t>Slugs remain reserved while a post is in trash unless an explicit, audited reassignment is approved. A deleted author's account, category or media folder must not cascade-delete articles. Use restrictive foreign keys and controlled detachment/reassignment where needed. Shared assets are retained while referenced by active, trashed or recoverable source revisions according to this preservation policy.</w:t>
      </w:r>
    </w:p>
    <w:p>
      <w:pPr>
        <w:pStyle w:val="Heading2"/>
        <w:keepNext/>
        <w:widowControl/>
      </w:pPr>
      <w:r>
        <w:t>38.4 Exceptional permanent purge</w:t>
      </w:r>
    </w:p>
    <w:p>
      <w:pPr>
        <w:widowControl/>
      </w:pPr>
      <w:r>
        <w:t>Hard purge is disabled for ordinary editors and absent from public APIs. The default is a two-person workflow: request → impact/hold check → independent approval → fresh privileged confirmation → execution → verification. Requester and approver must differ. A genuinely single-owner organization needs an explicitly approved exception with step-up authentication, clear irreversible warning and independent audit storage; do not silently weaken the default.</w:t>
      </w:r>
    </w:p>
    <w:p>
      <w:pPr>
        <w:widowControl/>
      </w:pPr>
      <w:r>
        <w:t>Approval binds to site, exact post/revision manifest, reason, permitted action and expiry. Any changed manifest, restored post, new hold, changed permission or expired approval invalidates it. An execution worker may carry out an already human-authorized bounded operation with an auditable service identity; it cannot decide which posts to delete. Recheck authorization, hold and manifest at execution. Retries reuse operation_id and never expand the deletion set.</w:t>
      </w:r>
    </w:p>
    <w:p>
      <w:pPr>
        <w:widowControl/>
      </w:pPr>
      <w:r>
        <w:t>A purge transaction first records the approved destructive action and a minimal tombstone/manifest; it then deletes the allowed source records and records outcomes through durable state. External storage deletion and index/CDN invalidation use resumable child jobs. Track requested, database_removed, assets_removed, derived_copies_removed, backup_expiry_pending, completed or failed distinctly. Do not claim instantaneous deletion from every backup or third-party copy.</w:t>
      </w:r>
    </w:p>
    <w:p>
      <w:pPr>
        <w:pStyle w:val="Heading2"/>
        <w:keepNext/>
        <w:widowControl/>
      </w:pPr>
      <w:r>
        <w:t>38.5 Database, storage, SEO and backup controls</w:t>
      </w:r>
    </w:p>
    <w:p>
      <w:pPr>
        <w:widowControl/>
      </w:pPr>
      <w:r>
        <w:t xml:space="preserve">The normal application database role must not have DELETE or TRUNCATE authority over protected source-content tables. Use narrow update rights and reviewed transition procedures/guards so an arbitrary content.edit request cannot set deleted_at or purge state. Only a separated, short-lived, audited purge execution path can remove the approved manifest. Database privileges are an enforcement layer, but database owners and elevated roles need independent governance and monitoring. </w:t>
      </w:r>
      <w:hyperlink w:anchor="ref_R59">
        <w:r>
          <w:rPr>
            <w:color w:val="087F83"/>
            <w:b/>
          </w:rPr>
          <w:t>[R59]</w:t>
        </w:r>
      </w:hyperlink>
    </w:p>
    <w:p>
      <w:pPr>
        <w:widowControl/>
      </w:pPr>
      <w:r>
        <w:t>Protect content/media buckets from indiscriminate lifecycle expiration. Inventory CMS plugins, scheduled tasks, ORM cascade rules, storage lifecycle policies, admin APIs, migration scripts and infrastructure destroy operations. Destructive deployments/imports must never reset content to demo data. Monitor unexpected reductions in post/revision counts and periodically test restore from a real backup copy.</w:t>
      </w:r>
    </w:p>
    <w:p>
      <w:pPr>
        <w:widowControl/>
      </w:pPr>
      <w:r>
        <w:t>When a URL is deliberately removed, choose a relevant redirect only when there is a genuine replacement; otherwise use a deliberate 404/410 policy and remove the URL from sitemap/navigation/search. Do not redirect all deleted posts to the homepage. Remove obsolete content from chatbot retrieval, summaries/caches, and public feeds. Content revisions retained privately must remain inaccessible to public APIs.</w:t>
      </w:r>
    </w:p>
    <w:p>
      <w:pPr>
        <w:widowControl/>
      </w:pPr>
      <w:r>
        <w:t>Backups retain their approved rolling schedule; “never auto-delete blogs” does not mean retain every backup forever. Source content remains until manual action. After a lawful purge, a retained backup must not reintroduce the removed content on restore: replay the independent deletion/suppression ledger before reopening access. Document when expired backups cease to contain the data.</w:t>
      </w:r>
    </w:p>
    <w:p>
      <w:pPr>
        <w:pStyle w:val="Heading2"/>
        <w:keepNext/>
        <w:widowControl/>
      </w:pPr>
      <w:r>
        <w:t>38.6 Legal exceptions and proof</w:t>
      </w:r>
    </w:p>
    <w:p>
      <w:pPr>
        <w:widowControl/>
      </w:pPr>
      <w:r>
        <w:t>Manual editorial retention does not override a valid legal removal obligation, privacy request, security containment, licensed-content takedown or litigation hold. Route those through an authorized exception workflow with accountable review, scope, deadline and minimal audit evidence. Do not retain sensitive deleted text inside an immutable audit record merely to prove it was removed. Maintain content version hashes and safe metadata only as justified; even hashes/identifiers require privacy review.</w:t>
      </w:r>
    </w:p>
    <w:p>
      <w:pPr>
        <w:widowControl/>
      </w:pPr>
      <w:r>
        <w:t>Acceptance must advance the application clock beyond one year and run all cleanup/retention jobs: active and trashed posts remain intact. Test unauthorized DELETE/TRUNCATE, bulk-delete preview, approval expiry, requester=approver denial, concurrent edits, legal holds, shared assets, actor deactivation, interrupted purge retries, restore conflicts and backup resurrection prevention. A note in the owner handbook alone is not enforcement.</w:t>
      </w:r>
    </w:p>
    <w:p>
      <w:pPr>
        <w:pStyle w:val="Heading1"/>
        <w:keepNext/>
        <w:pageBreakBefore/>
        <w:widowControl/>
        <w:spacing w:before="240"/>
        <w:pBdr>
          <w:bottom w:val="single" w:sz="8" w:color="087F83" w:space="8"/>
        </w:pBdr>
      </w:pPr>
      <w:bookmarkStart w:id="298" w:name="v12_ch39"/>
      <w:bookmarkStart w:id="93" w:name="extension_39"/>
      <w:r>
        <w:t>39 | Audit trails and comprehensive system logging</w:t>
      </w:r>
      <w:bookmarkEnd w:id="93"/>
      <w:bookmarkEnd w:id="298"/>
      <w:bookmarkStart w:id="589" w:name="tocfinal_ch_39"/>
      <w:bookmarkEnd w:id="589"/>
    </w:p>
    <w:p>
      <w:pPr>
        <w:pStyle w:val="Callout"/>
        <w:widowControl/>
      </w:pPr>
      <w:r>
        <w:t>“Everything logged” means complete coverage of defined administrative actions, trusted business transitions, security events and permitted visitor behavior. It does not mean recording passwords, payment secrets, raw form answers, private transcripts or precise coordinates into unrestricted logs.</w:t>
      </w:r>
    </w:p>
    <w:p>
      <w:pPr>
        <w:pStyle w:val="Heading2"/>
        <w:keepNext/>
        <w:widowControl/>
      </w:pPr>
      <w:r>
        <w:t>39.1 Separate log streams and their purposes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160"/>
        <w:gridCol w:w="3024"/>
        <w:gridCol w:w="4647"/>
      </w:tblGrid>
      <w:tr>
        <w:trPr>
          <w:cantSplit/>
          <w:tblHeader w:val="true"/>
        </w:trPr>
        <w:tc>
          <w:tcPr>
            <w:tcW w:type="dxa" w:w="2160"/>
            <w:vAlign w:val="center"/>
            <w:shd w:fill="163349"/>
            <w:tcMar>
              <w:top w:w="80" w:type="dxa"/>
              <w:bottom w:w="70" w:type="dxa"/>
              <w:left w:w="90" w:type="dxa"/>
              <w:right w:w="90" w:type="dxa"/>
            </w:tcMar>
          </w:tcPr>
          <w:p>
            <w:pPr>
              <w:pStyle w:val="TableText"/>
              <w:keepNext/>
              <w:widowControl/>
              <w:spacing w:after="40"/>
            </w:pPr>
            <w:r>
              <w:rPr>
                <w:b/>
                <w:color w:val="FFFFFF"/>
                <w:sz w:val="18"/>
              </w:rPr>
              <w:t>Stream</w:t>
            </w:r>
          </w:p>
        </w:tc>
        <w:tc>
          <w:tcPr>
            <w:tcW w:type="dxa" w:w="3024"/>
            <w:vAlign w:val="center"/>
            <w:shd w:fill="163349"/>
            <w:tcMar>
              <w:top w:w="80" w:type="dxa"/>
              <w:bottom w:w="70" w:type="dxa"/>
              <w:left w:w="90" w:type="dxa"/>
              <w:right w:w="90" w:type="dxa"/>
            </w:tcMar>
          </w:tcPr>
          <w:p>
            <w:pPr>
              <w:pStyle w:val="TableText"/>
              <w:keepNext/>
              <w:widowControl/>
              <w:spacing w:after="40"/>
            </w:pPr>
            <w:r>
              <w:rPr>
                <w:b/>
                <w:color w:val="FFFFFF"/>
                <w:sz w:val="18"/>
              </w:rPr>
              <w:t>What it records</w:t>
            </w:r>
          </w:p>
        </w:tc>
        <w:tc>
          <w:tcPr>
            <w:tcW w:type="dxa" w:w="4647"/>
            <w:vAlign w:val="center"/>
            <w:shd w:fill="163349"/>
            <w:tcMar>
              <w:top w:w="80" w:type="dxa"/>
              <w:bottom w:w="70" w:type="dxa"/>
              <w:left w:w="90" w:type="dxa"/>
              <w:right w:w="90" w:type="dxa"/>
            </w:tcMar>
          </w:tcPr>
          <w:p>
            <w:pPr>
              <w:pStyle w:val="TableText"/>
              <w:keepNext/>
              <w:widowControl/>
              <w:spacing w:after="40"/>
            </w:pPr>
            <w:r>
              <w:rPr>
                <w:b/>
                <w:color w:val="FFFFFF"/>
                <w:sz w:val="18"/>
              </w:rPr>
              <w:t>Storage/access and loss policy</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Administrative audit</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Content/config/role changes; deletion, approval, restore, export and privileged data access.</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Durable append-oriented records; no sampling of critical actions; protected reader/export roles.</w:t>
            </w:r>
          </w:p>
        </w:tc>
      </w:tr>
      <w:tr>
        <w:trPr>
          <w:cantSplit/>
        </w:trPr>
        <w:tc>
          <w:tcPr>
            <w:tcW w:type="dxa" w:w="2160"/>
            <w:vAlign w:val="center"/>
            <w:shd w:fill="FFFFFF"/>
            <w:tcMar>
              <w:top w:w="80" w:type="dxa"/>
              <w:bottom w:w="70" w:type="dxa"/>
              <w:left w:w="90" w:type="dxa"/>
              <w:right w:w="90" w:type="dxa"/>
            </w:tcMar>
          </w:tcPr>
          <w:p>
            <w:pPr>
              <w:pStyle w:val="TableText"/>
              <w:keepNext w:val="0"/>
              <w:widowControl/>
              <w:spacing w:after="40"/>
            </w:pPr>
            <w:r>
              <w:rPr>
                <w:b/>
                <w:sz w:val="18"/>
              </w:rPr>
              <w:t>Business ledger</w:t>
            </w:r>
          </w:p>
        </w:tc>
        <w:tc>
          <w:tcPr>
            <w:tcW w:type="dxa" w:w="3024"/>
            <w:vAlign w:val="center"/>
            <w:shd w:fill="FFFFFF"/>
            <w:tcMar>
              <w:top w:w="80" w:type="dxa"/>
              <w:bottom w:w="70" w:type="dxa"/>
              <w:left w:w="90" w:type="dxa"/>
              <w:right w:w="90" w:type="dxa"/>
            </w:tcMar>
          </w:tcPr>
          <w:p>
            <w:pPr>
              <w:pStyle w:val="TableText"/>
              <w:keepNext w:val="0"/>
              <w:widowControl/>
              <w:spacing w:after="40"/>
            </w:pPr>
            <w:r>
              <w:rPr>
                <w:sz w:val="18"/>
              </w:rPr>
              <w:t>Lead/order/booking transitions, communications, consent evidence, integration delivery and corrections.</w:t>
            </w:r>
          </w:p>
        </w:tc>
        <w:tc>
          <w:tcPr>
            <w:tcW w:type="dxa" w:w="4647"/>
            <w:vAlign w:val="center"/>
            <w:shd w:fill="FFFFFF"/>
            <w:tcMar>
              <w:top w:w="80" w:type="dxa"/>
              <w:bottom w:w="70" w:type="dxa"/>
              <w:left w:w="90" w:type="dxa"/>
              <w:right w:w="90" w:type="dxa"/>
            </w:tcMar>
          </w:tcPr>
          <w:p>
            <w:pPr>
              <w:pStyle w:val="TableText"/>
              <w:keepNext w:val="0"/>
              <w:widowControl/>
              <w:spacing w:after="40"/>
            </w:pPr>
            <w:r>
              <w:rPr>
                <w:sz w:val="18"/>
              </w:rPr>
              <w:t>Transactional records and outbox; authoritative facts are not replaced by analytics.</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Security telemetry</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Authentication, denied access, abuse controls, suspicious changes and relevant network evidence.</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Restricted security store; approved redaction, retention and alerting.</w:t>
            </w:r>
          </w:p>
        </w:tc>
      </w:tr>
      <w:tr>
        <w:trPr>
          <w:cantSplit/>
        </w:trPr>
        <w:tc>
          <w:tcPr>
            <w:tcW w:type="dxa" w:w="2160"/>
            <w:vAlign w:val="center"/>
            <w:shd w:fill="FFFFFF"/>
            <w:tcMar>
              <w:top w:w="80" w:type="dxa"/>
              <w:bottom w:w="70" w:type="dxa"/>
              <w:left w:w="90" w:type="dxa"/>
              <w:right w:w="90" w:type="dxa"/>
            </w:tcMar>
          </w:tcPr>
          <w:p>
            <w:pPr>
              <w:pStyle w:val="TableText"/>
              <w:keepNext w:val="0"/>
              <w:widowControl/>
              <w:spacing w:after="40"/>
            </w:pPr>
            <w:r>
              <w:rPr>
                <w:b/>
                <w:sz w:val="18"/>
              </w:rPr>
              <w:t>Operational telemetry</w:t>
            </w:r>
          </w:p>
        </w:tc>
        <w:tc>
          <w:tcPr>
            <w:tcW w:type="dxa" w:w="3024"/>
            <w:vAlign w:val="center"/>
            <w:shd w:fill="FFFFFF"/>
            <w:tcMar>
              <w:top w:w="80" w:type="dxa"/>
              <w:bottom w:w="70" w:type="dxa"/>
              <w:left w:w="90" w:type="dxa"/>
              <w:right w:w="90" w:type="dxa"/>
            </w:tcMar>
          </w:tcPr>
          <w:p>
            <w:pPr>
              <w:pStyle w:val="TableText"/>
              <w:keepNext w:val="0"/>
              <w:widowControl/>
              <w:spacing w:after="40"/>
            </w:pPr>
            <w:r>
              <w:rPr>
                <w:sz w:val="18"/>
              </w:rPr>
              <w:t>Request metadata, latency/errors, job health, database/cache behavior, deploys and recovery.</w:t>
            </w:r>
          </w:p>
        </w:tc>
        <w:tc>
          <w:tcPr>
            <w:tcW w:type="dxa" w:w="4647"/>
            <w:vAlign w:val="center"/>
            <w:shd w:fill="FFFFFF"/>
            <w:tcMar>
              <w:top w:w="80" w:type="dxa"/>
              <w:bottom w:w="70" w:type="dxa"/>
              <w:left w:w="90" w:type="dxa"/>
              <w:right w:w="90" w:type="dxa"/>
            </w:tcMar>
          </w:tcPr>
          <w:p>
            <w:pPr>
              <w:pStyle w:val="TableText"/>
              <w:keepNext w:val="0"/>
              <w:widowControl/>
              <w:spacing w:after="40"/>
            </w:pPr>
            <w:r>
              <w:rPr>
                <w:sz w:val="18"/>
              </w:rPr>
              <w:t>Structured logs/metrics/traces; bounded sampling/volume where justified.</w:t>
            </w:r>
          </w:p>
        </w:tc>
      </w:tr>
      <w:tr>
        <w:trPr>
          <w:cantSplit/>
        </w:trPr>
        <w:tc>
          <w:tcPr>
            <w:tcW w:type="dxa" w:w="2160"/>
            <w:vAlign w:val="center"/>
            <w:shd w:fill="F2F7F9"/>
            <w:tcMar>
              <w:top w:w="80" w:type="dxa"/>
              <w:bottom w:w="70" w:type="dxa"/>
              <w:left w:w="90" w:type="dxa"/>
              <w:right w:w="90" w:type="dxa"/>
            </w:tcMar>
          </w:tcPr>
          <w:p>
            <w:pPr>
              <w:pStyle w:val="TableText"/>
              <w:keepNext w:val="0"/>
              <w:widowControl/>
              <w:spacing w:after="40"/>
            </w:pPr>
            <w:r>
              <w:rPr>
                <w:b/>
                <w:sz w:val="18"/>
              </w:rPr>
              <w:t>Behavioral analytics</w:t>
            </w:r>
          </w:p>
        </w:tc>
        <w:tc>
          <w:tcPr>
            <w:tcW w:type="dxa" w:w="3024"/>
            <w:vAlign w:val="center"/>
            <w:shd w:fill="F2F7F9"/>
            <w:tcMar>
              <w:top w:w="80" w:type="dxa"/>
              <w:bottom w:w="70" w:type="dxa"/>
              <w:left w:w="90" w:type="dxa"/>
              <w:right w:w="90" w:type="dxa"/>
            </w:tcMar>
          </w:tcPr>
          <w:p>
            <w:pPr>
              <w:pStyle w:val="TableText"/>
              <w:keepNext w:val="0"/>
              <w:widowControl/>
              <w:spacing w:after="40"/>
            </w:pPr>
            <w:r>
              <w:rPr>
                <w:sz w:val="18"/>
              </w:rPr>
              <w:t>The consented event dictionary, experiment exposure and approved chat engagement.</w:t>
            </w:r>
          </w:p>
        </w:tc>
        <w:tc>
          <w:tcPr>
            <w:tcW w:type="dxa" w:w="4647"/>
            <w:vAlign w:val="center"/>
            <w:shd w:fill="F2F7F9"/>
            <w:tcMar>
              <w:top w:w="80" w:type="dxa"/>
              <w:bottom w:w="70" w:type="dxa"/>
              <w:left w:w="90" w:type="dxa"/>
              <w:right w:w="90" w:type="dxa"/>
            </w:tcMar>
          </w:tcPr>
          <w:p>
            <w:pPr>
              <w:pStyle w:val="TableText"/>
              <w:keepNext w:val="0"/>
              <w:widowControl/>
              <w:spacing w:after="40"/>
            </w:pPr>
            <w:r>
              <w:rPr>
                <w:sz w:val="18"/>
              </w:rPr>
              <w:t>Purpose-limited collector/warehouse; observation gaps and retention disclosed.</w:t>
            </w:r>
          </w:p>
        </w:tc>
      </w:tr>
      <w:tr>
        <w:trPr>
          <w:cantSplit/>
        </w:trPr>
        <w:tc>
          <w:tcPr>
            <w:tcW w:type="dxa" w:w="2160"/>
            <w:vAlign w:val="center"/>
            <w:shd w:fill="FFFFFF"/>
            <w:tcMar>
              <w:top w:w="80" w:type="dxa"/>
              <w:bottom w:w="70" w:type="dxa"/>
              <w:left w:w="90" w:type="dxa"/>
              <w:right w:w="90" w:type="dxa"/>
            </w:tcMar>
          </w:tcPr>
          <w:p>
            <w:pPr>
              <w:pStyle w:val="TableText"/>
              <w:keepNext w:val="0"/>
              <w:widowControl/>
              <w:spacing w:after="40"/>
            </w:pPr>
            <w:r>
              <w:rPr>
                <w:b/>
                <w:sz w:val="18"/>
              </w:rPr>
              <w:t>Conversation records</w:t>
            </w:r>
          </w:p>
        </w:tc>
        <w:tc>
          <w:tcPr>
            <w:tcW w:type="dxa" w:w="3024"/>
            <w:vAlign w:val="center"/>
            <w:shd w:fill="FFFFFF"/>
            <w:tcMar>
              <w:top w:w="80" w:type="dxa"/>
              <w:bottom w:w="70" w:type="dxa"/>
              <w:left w:w="90" w:type="dxa"/>
              <w:right w:w="90" w:type="dxa"/>
            </w:tcMar>
          </w:tcPr>
          <w:p>
            <w:pPr>
              <w:pStyle w:val="TableText"/>
              <w:keepNext w:val="0"/>
              <w:widowControl/>
              <w:spacing w:after="40"/>
            </w:pPr>
            <w:r>
              <w:rPr>
                <w:sz w:val="18"/>
              </w:rPr>
              <w:t>Actual messages and submitted chat fields needed for the support/lead purpose.</w:t>
            </w:r>
          </w:p>
        </w:tc>
        <w:tc>
          <w:tcPr>
            <w:tcW w:type="dxa" w:w="4647"/>
            <w:vAlign w:val="center"/>
            <w:shd w:fill="FFFFFF"/>
            <w:tcMar>
              <w:top w:w="80" w:type="dxa"/>
              <w:bottom w:w="70" w:type="dxa"/>
              <w:left w:w="90" w:type="dxa"/>
              <w:right w:w="90" w:type="dxa"/>
            </w:tcMar>
          </w:tcPr>
          <w:p>
            <w:pPr>
              <w:pStyle w:val="TableText"/>
              <w:keepNext w:val="0"/>
              <w:widowControl/>
              <w:spacing w:after="40"/>
            </w:pPr>
            <w:r>
              <w:rPr>
                <w:sz w:val="18"/>
              </w:rPr>
              <w:t>Protected conversation store, not a generic log sink or model-debug transcript archive.</w:t>
            </w:r>
          </w:p>
        </w:tc>
      </w:tr>
    </w:tbl>
    <w:p>
      <w:pPr>
        <w:widowControl/>
      </w:pPr>
      <w:r>
        <w:t xml:space="preserve">OWASP recommends deliberate event selection, protected logging, and excluding sensitive data. This blueprint's coverage catalogue and retention choices are project design requirements; “more logs” is not automatically safer or more useful. </w:t>
      </w:r>
      <w:hyperlink w:anchor="ref_R53">
        <w:r>
          <w:rPr>
            <w:color w:val="087F83"/>
            <w:b/>
          </w:rPr>
          <w:t>[R53]</w:t>
        </w:r>
      </w:hyperlink>
    </w:p>
    <w:p>
      <w:pPr>
        <w:pStyle w:val="Heading2"/>
        <w:keepNext/>
        <w:widowControl/>
      </w:pPr>
      <w:r>
        <w:t>39.2 Mandatory coverage catalogue</w:t>
      </w:r>
    </w:p>
    <w:p>
      <w:pPr>
        <w:widowControl/>
      </w:pPr>
      <w:r>
        <w:t>Audit content create/edit/revision/publish/unpublish/archive/trash/restore/purge; media replacement and access changes; menus/redirects/SEO edits; form-schema and validation changes; campaign-link changes; experiment draft/approval/start/ramp/pause/promotion; chatbot flow/knowledge/model configuration; integration credentials by reference; tag/CMP configuration publication; and feature activation/deactivation.</w:t>
      </w:r>
    </w:p>
    <w:p>
      <w:pPr>
        <w:widowControl/>
      </w:pPr>
      <w:r>
        <w:t>Also audit logins and important authentication failures, MFA/recovery changes, user invitations/removal, role grants/revocations, impersonation/support access, lead assignment/qualification/merge/unmerge, payment/refund actions, booking overrides, privacy requests, consent-policy changes, exports, protected IP/location/transcript reveals, audit-log searches/exports, backups/restores, migration approvals and emergency access.</w:t>
      </w:r>
    </w:p>
    <w:p>
      <w:pPr>
        <w:widowControl/>
      </w:pPr>
      <w:r>
        <w:t>For each action, define success, denial, failure and cancellation where meaningful. Public high-volume requests may use bounded operational logging; privileged state changes must never disappear into a sampling rule. Retention jobs log policy version, eligible counts, excluded legal holds, data class and outcome, but must not select protected blog source content for automatic deletion.</w:t>
      </w:r>
    </w:p>
    <w:p>
      <w:pPr>
        <w:pStyle w:val="Heading2"/>
        <w:keepNext/>
        <w:widowControl/>
      </w:pPr>
      <w:r>
        <w:t>39.3 Audit event schema and actor attribution</w:t>
      </w:r>
    </w:p>
    <w:p>
      <w:pPr>
        <w:widowControl/>
      </w:pPr>
      <w:r>
        <w:t>Every critical entry includes audit_id, site_id, occurred_at and recorded_at in UTC, action, resource_type/resource_id, resource_version, outcome, actor_type, actor_id, authenticated identity/session reference, request_id, operation_id, reason_code and safe change summary. Include initiator_actor_id, approver_actor_id and executor_service_id where a human-approved asynchronous action is executed by a worker. Capture permission_policy_version and application/config version.</w:t>
      </w:r>
    </w:p>
    <w:p>
      <w:pPr>
        <w:widowControl/>
      </w:pPr>
      <w:r>
        <w:t>Use a non-secret correlation reference for authenticated sessions, not a live bearer token or session cookie. A human identity remains attributable after staff deactivation through a restricted minimal actor registry; do not cascade-delete audit entries when removing a staff account. Preserve a justified actor display snapshot or recoverable mapping under its own retention policy. Site labels, resource titles and reasons can themselves contain sensitive data, so sanitize and minimize them.</w:t>
      </w:r>
    </w:p>
    <w:p>
      <w:pPr>
        <w:widowControl/>
      </w:pPr>
      <w:r>
        <w:t>Before/after values are allowed only for reviewed non-sensitive fields. For other fields record changed field keys, version references and protected evidence references. Never store a complete contact or transcript snapshot in every diff. IP and location, when justified, live in a separate restricted request-context record. UI readers see a redacted change history by default.</w:t>
      </w:r>
    </w:p>
    <w:p>
      <w:pPr>
        <w:pStyle w:val="Heading2"/>
        <w:keepNext/>
        <w:widowControl/>
      </w:pPr>
      <w:r>
        <w:t>39.4 Atomicity, availability and failed attempts</w:t>
      </w:r>
    </w:p>
    <w:p>
      <w:pPr>
        <w:widowControl/>
      </w:pPr>
      <w:r>
        <w:t>For content publication, role changes, deletion and other critical mutations, commit the domain change, local durable audit entry and outbox together. If local audit persistence fails, the protected mutation must fail rather than proceed invisibly. A remote log-export outage should not block a valid lead if the local transactional evidence was durably committed; queue and reconcile the export.</w:t>
      </w:r>
    </w:p>
    <w:p>
      <w:pPr>
        <w:widowControl/>
      </w:pPr>
      <w:r>
        <w:t>Denied/failed attempts cannot rely solely on a transaction that rolls back. Write their safe security/audit event through a separately committed path or independent sink. Record attempted action and failure reason without falsely recording state change. Correlate attempt and completion using operation_id. Do not claim exactly-once external logging; implement idempotent export and deduplicate retries.</w:t>
      </w:r>
    </w:p>
    <w:p>
      <w:pPr>
        <w:widowControl/>
      </w:pPr>
      <w:r>
        <w:t>Monitor local durability, export lag, sequence gaps, rejected log schemas, disk/storage pressure and reconciliation counts. Set bounded buffering and an escalation policy. Pause high-risk destructive administration when required audit guarantees are unavailable. Keep ordinary public reading and safe business capture available whenever their own integrity requirements can still be met.</w:t>
      </w:r>
    </w:p>
    <w:p>
      <w:pPr>
        <w:pStyle w:val="Heading2"/>
        <w:keepNext/>
        <w:widowControl/>
      </w:pPr>
      <w:r>
        <w:t>39.5 Tamper resistance and independent evidence</w:t>
      </w:r>
    </w:p>
    <w:p>
      <w:pPr>
        <w:widowControl/>
      </w:pPr>
      <w:r>
        <w:t>The application write path can append approved audit records but cannot edit/delete old ones. Separate read, append, retention and break-glass roles; ordinary owners/admins cannot erase their own history through the CMS. Record audit configuration changes and attempted log deletion in an independently protected stream. Use TLS, encryption, restricted keys and independent backup/export credentials.</w:t>
      </w:r>
    </w:p>
    <w:p>
      <w:pPr>
        <w:widowControl/>
      </w:pPr>
      <w:r>
        <w:t>Export audit batches with ordered manifests, sequence numbers, content digests and signed checkpoints to independent storage. A hash chain only detects some changes when a trusted checkpoint survives elsewhere; it does not stop a privileged attacker rewriting the whole database and chain. Serialize or otherwise define ordering per stream/site; do not invent a global transaction order from unsynchronized clocks. Verification jobs must detect gaps and altered manifests.</w:t>
      </w:r>
    </w:p>
    <w:p>
      <w:pPr>
        <w:widowControl/>
      </w:pPr>
      <w:r>
        <w:t xml:space="preserve">For higher assurance, use a reviewed WORM/object-lock backend with a justified retention period. AWS documents version-level Object Lock, governance/compliance differences and the fact that delete markers can still obscure a locked version. Therefore, monitor version manifests and access policy as well as a bucket's “Object Lock enabled” flag. Avoid unreviewed indefinite locks on personal data. Equivalent alternative storage must pass the same tamper/restore tests. </w:t>
      </w:r>
      <w:hyperlink w:anchor="ref_R54">
        <w:r>
          <w:rPr>
            <w:color w:val="087F83"/>
            <w:b/>
          </w:rPr>
          <w:t>[R54]</w:t>
        </w:r>
      </w:hyperlink>
    </w:p>
    <w:p>
      <w:pPr>
        <w:pStyle w:val="Heading2"/>
        <w:keepNext/>
        <w:widowControl/>
      </w:pPr>
      <w:r>
        <w:t>39.6 Redaction, investigation UI and alerts</w:t>
      </w:r>
    </w:p>
    <w:p>
      <w:pPr>
        <w:widowControl/>
      </w:pPr>
      <w:r>
        <w:t>Redact at the producer and collector: Authorization/Cookie headers, tokens, passwords, keys, payment fields, full URL queries, message bodies, form values and sensitive uploaded filenames. Use allowlisted route templates and error codes; sanitize line breaks/control characters to prevent log injection. Telemetry for third-party AI/tool calls must follow the same rule. Security investigators can use a controlled evidence store when raw data is necessary, not turn off redaction globally.</w:t>
      </w:r>
    </w:p>
    <w:p>
      <w:pPr>
        <w:widowControl/>
      </w:pPr>
      <w:r>
        <w:t>Provide an Audit Center with actor, action, object, site, time, outcome, operation and reason filters; version comparison; deletion/approval timeline; integrity status; and authorized export. Default search is paginated and redacted. Audit the act of viewing/exporting sensitive records, without generating recursive audit-of-audit loops. Exports use expiry, access checks and injection-safe CSV/document formats.</w:t>
      </w:r>
    </w:p>
    <w:p>
      <w:pPr>
        <w:widowControl/>
      </w:pPr>
      <w:r>
        <w:t>Alert on blog purge requests/completions, unexpected source-content loss, role escalation, bulk exports, tracking-policy changes, forbidden tags/fields, geo-context exposure, cross-visitor chat access, integration-secret changes, audit export lag and signature/checkpoint failures. Notifications contain safe metadata and an authenticated admin link, not the IP, coordinates, transcript or deleted article body.</w:t>
      </w:r>
    </w:p>
    <w:p>
      <w:pPr>
        <w:pStyle w:val="Heading2"/>
        <w:keepNext/>
        <w:widowControl/>
      </w:pPr>
      <w:r>
        <w:t>39.7 Retention, legal holds and log completeness</w:t>
      </w:r>
    </w:p>
    <w:p>
      <w:pPr>
        <w:widowControl/>
      </w:pPr>
      <w:r>
        <w:t>Define retention per stream and data field; raw IP, transcripts, behavioral events and minimal audit metadata need not share the same period. Retention expiry is policy-controlled and itself logged through a minimal durable disposal record. A business preference to preserve blog source content does not justify retaining personal visitor data forever. Apply legal holds with a named reviewer and documented release.</w:t>
      </w:r>
    </w:p>
    <w:p>
      <w:pPr>
        <w:widowControl/>
      </w:pPr>
      <w:r>
        <w:t>Publish a log-coverage register showing required action, emitter, storage, transaction boundary, retention, access roles, alert and test. Reconcile source business-operation counts with audit/outbox/export manifests. The dashboard reports healthy, delayed, incomplete, integrity_failed or unavailable—not a false promise that distributed logs can never be lost. Release requires evidence for each critical action and a recovery exercise.</w:t>
      </w:r>
    </w:p>
    <w:p>
      <w:pPr>
        <w:pStyle w:val="Heading1"/>
        <w:keepNext/>
        <w:pageBreakBefore/>
        <w:widowControl/>
        <w:spacing w:before="240"/>
        <w:pBdr>
          <w:bottom w:val="single" w:sz="8" w:color="087F83" w:space="8"/>
        </w:pBdr>
      </w:pPr>
      <w:bookmarkStart w:id="299" w:name="v12_ch40"/>
      <w:bookmarkStart w:id="94" w:name="extension_40"/>
      <w:r>
        <w:t>40 | Integrated implementation contracts: frontend, API and database</w:t>
      </w:r>
      <w:bookmarkEnd w:id="94"/>
      <w:bookmarkEnd w:id="299"/>
      <w:bookmarkStart w:id="590" w:name="tocfinal_ch_40"/>
      <w:bookmarkEnd w:id="590"/>
    </w:p>
    <w:p>
      <w:pPr>
        <w:pStyle w:val="Heading2"/>
        <w:keepNext/>
        <w:widowControl/>
      </w:pPr>
      <w:r>
        <w:t>40.1 Module and data-flow integration</w:t>
      </w:r>
    </w:p>
    <w:p>
      <w:pPr>
        <w:widowControl/>
      </w:pPr>
      <w:r>
        <w:t>Add experimentation, attribution, visitor-context, geolocation, chat, content-preservation and audit-integrity modules to the existing NestJS modular backend. They use the existing identity/privacy policy layer, not duplicated permission checks in each widget. Keep PostgreSQL as the durable source of truth, object storage for protected assets/evidence, and outbox workers for asynchronous effects. Redis remains optional for bounded caches/coordination; Python may run reviewed statistical jobs behind a versioned contract but is not mandatory for serving pages.</w:t>
      </w:r>
    </w:p>
    <w:p>
      <w:pPr>
        <w:widowControl/>
      </w:pPr>
      <w:r>
        <w:t>The allowed journey is: trusted edge request → purpose/consent decision → eligible acquisition/context → approved variant render → permitted behavior events → explicit form/chat submission → transactional lead/audit/outbox → CRM qualification → eligible Ads/Meta feedback. Precise location branches into a protected location service and returns a minimal service-area result. It does not join every outgoing event. Blog preservation and administrative audit are enforced regardless of analytics consent.</w:t>
      </w:r>
    </w:p>
    <w:p>
      <w:pPr>
        <w:pStyle w:val="Heading2"/>
        <w:keepNext/>
        <w:widowControl/>
      </w:pPr>
      <w:r>
        <w:t>40.2 Frontend and owner-console additions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448"/>
        <w:gridCol w:w="7383"/>
      </w:tblGrid>
      <w:tr>
        <w:trPr>
          <w:cantSplit/>
          <w:tblHeader w:val="true"/>
        </w:trPr>
        <w:tc>
          <w:tcPr>
            <w:tcW w:type="dxa" w:w="2448"/>
            <w:vAlign w:val="center"/>
            <w:shd w:fill="163349"/>
            <w:tcMar>
              <w:top w:w="80" w:type="dxa"/>
              <w:bottom w:w="70" w:type="dxa"/>
              <w:left w:w="90" w:type="dxa"/>
              <w:right w:w="90" w:type="dxa"/>
            </w:tcMar>
          </w:tcPr>
          <w:p>
            <w:pPr>
              <w:pStyle w:val="TableText"/>
              <w:keepNext/>
              <w:widowControl/>
              <w:spacing w:after="40"/>
            </w:pPr>
            <w:r>
              <w:rPr>
                <w:b/>
                <w:color w:val="FFFFFF"/>
                <w:sz w:val="18"/>
              </w:rPr>
              <w:t>Surface</w:t>
            </w:r>
          </w:p>
        </w:tc>
        <w:tc>
          <w:tcPr>
            <w:tcW w:type="dxa" w:w="7383"/>
            <w:vAlign w:val="center"/>
            <w:shd w:fill="163349"/>
            <w:tcMar>
              <w:top w:w="80" w:type="dxa"/>
              <w:bottom w:w="70" w:type="dxa"/>
              <w:left w:w="90" w:type="dxa"/>
              <w:right w:w="90" w:type="dxa"/>
            </w:tcMar>
          </w:tcPr>
          <w:p>
            <w:pPr>
              <w:pStyle w:val="TableText"/>
              <w:keepNext/>
              <w:widowControl/>
              <w:spacing w:after="40"/>
            </w:pPr>
            <w:r>
              <w:rPr>
                <w:b/>
                <w:color w:val="FFFFFF"/>
                <w:sz w:val="18"/>
              </w:rPr>
              <w:t>Components and responsibility</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Public website</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ExperimentBoundary, consent-aware tracking SDK, AcquisitionContextProvider, LocationRequestButton, ChatLauncher, ChatCaptureForm, and safe error/fallback states.</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Shared client libraries</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Typed event schemas, URL sanitizer, permission selectors, route/section hooks, bounded context client, and independently tested redaction. No browser-exported secrets or database clients.</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Owner experiments</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Experiment list/builder, revision/variant preview, metric/traffic feasibility, conflict check, live status, result quality and promote/rollback.</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Owner marketing</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Campaign registry/link builder, attribution diagnostics, source-quality reports, connector freshness and conversion reconciliation.</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Owner conversations</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Inbox/assignment, approved fields/flows/knowledge, handoff, authorized context panel, privacy controls and transcript export.</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Owner content</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Trash without expiry, dependency preview, restore, separate purge request/approval, and per-post actor/revision history.</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Owner governance</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Audit Center, retention-by-data-class, access reviews, raw-data reveal approval, integrity/backup status and feature policies.</w:t>
            </w:r>
          </w:p>
        </w:tc>
      </w:tr>
    </w:tbl>
    <w:p>
      <w:pPr>
        <w:widowControl/>
      </w:pPr>
      <w:r>
        <w:t>Coordinates must not be persisted in browser localStorage by default. Operational chat authentication uses the existing secure session mechanism where possible; marketing identity remains separately permissioned. Every frontend state includes loading, unavailable, refused, expired, validation failed, success and retry where relevant. A “connected” badge is not proof that a provider receives correct data.</w:t>
      </w:r>
    </w:p>
    <w:p>
      <w:pPr>
        <w:pStyle w:val="Heading2"/>
        <w:keepNext/>
        <w:widowControl/>
      </w:pPr>
      <w:r>
        <w:t>40.3 Database additions and integrity</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384"/>
        <w:gridCol w:w="6447"/>
      </w:tblGrid>
      <w:tr>
        <w:trPr>
          <w:cantSplit/>
          <w:tblHeader w:val="true"/>
        </w:trPr>
        <w:tc>
          <w:tcPr>
            <w:tcW w:type="dxa" w:w="3384"/>
            <w:vAlign w:val="center"/>
            <w:shd w:fill="163349"/>
            <w:tcMar>
              <w:top w:w="80" w:type="dxa"/>
              <w:bottom w:w="70" w:type="dxa"/>
              <w:left w:w="90" w:type="dxa"/>
              <w:right w:w="90" w:type="dxa"/>
            </w:tcMar>
          </w:tcPr>
          <w:p>
            <w:pPr>
              <w:pStyle w:val="TableText"/>
              <w:keepNext/>
              <w:widowControl/>
              <w:spacing w:after="40"/>
            </w:pPr>
            <w:r>
              <w:rPr>
                <w:b/>
                <w:color w:val="FFFFFF"/>
                <w:sz w:val="18"/>
              </w:rPr>
              <w:t>Entity/group</w:t>
            </w:r>
          </w:p>
        </w:tc>
        <w:tc>
          <w:tcPr>
            <w:tcW w:type="dxa" w:w="6447"/>
            <w:vAlign w:val="center"/>
            <w:shd w:fill="163349"/>
            <w:tcMar>
              <w:top w:w="80" w:type="dxa"/>
              <w:bottom w:w="70" w:type="dxa"/>
              <w:left w:w="90" w:type="dxa"/>
              <w:right w:w="90" w:type="dxa"/>
            </w:tcMar>
          </w:tcPr>
          <w:p>
            <w:pPr>
              <w:pStyle w:val="TableText"/>
              <w:keepNext/>
              <w:widowControl/>
              <w:spacing w:after="40"/>
            </w:pPr>
            <w:r>
              <w:rPr>
                <w:b/>
                <w:color w:val="FFFFFF"/>
                <w:sz w:val="18"/>
              </w:rPr>
              <w:t>Minimum columns and constraints</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experiments / experiment_versions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Scoped stable key, owner, status, eligibility, metric_definition_id, allocation_version, salt reference, start/end, config hash; immutable running definitions.</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experiment_variants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Version/site FK, stable variant key, approved revision references, weight; unique per experiment version; no cross-site content.</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assignments / exposures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Site, experiment version, permitted unit reference, variant, assigned/exposed timestamps, trigger/version; assignment uniqueness and exposure deduplication.</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experiment_results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Analysis version, cohort bounds, sample and conversion counts, effect/interval, quality status, method, decision actor and evidence object.</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campaign_links / acquisition_touches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Safe destination, received sanitized fields, normalized mapping/version, capture/eligibility times, consent reference; no raw query dump.</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click_identifiers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Scoped touch/type, encrypted value where retained, original provenance, purpose, captured_at/expires_at; destination-restricted access.</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request_contexts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Restricted client IP if justified, trusted-source/config version, coarse device/geo, created_at/expires_at; no analytics-wide join permission.</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location_contexts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Location source, coordinates only if necessary, accuracy/unit, purpose, obtained_at/expires_at, consent reference, derived service-area result.</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conversations / messages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Site, scoped session/account owner, bot version, status/assignee; messages with monotonic sequence and client idempotency key; encrypted/restricted content.</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visitor_context_links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Conversation/lead/touch/assignment/location references, purpose/evidence, created_at, revoked_at, expiry; composite site-scoped FKs.</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deletion_requests / approvals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Exact object/version manifest hash, human requester/approver, reason, expiry, hold decision, status; distinct approver by default.</w:t>
            </w:r>
          </w:p>
        </w:tc>
      </w:tr>
      <w:tr>
        <w:trPr>
          <w:cantSplit/>
        </w:trPr>
        <w:tc>
          <w:tcPr>
            <w:tcW w:type="dxa" w:w="3384"/>
            <w:vAlign w:val="center"/>
            <w:shd w:fill="FFFFFF"/>
            <w:tcMar>
              <w:top w:w="80" w:type="dxa"/>
              <w:bottom w:w="70" w:type="dxa"/>
              <w:left w:w="90" w:type="dxa"/>
              <w:right w:w="90" w:type="dxa"/>
            </w:tcMar>
          </w:tcPr>
          <w:p>
            <w:pPr>
              <w:pStyle w:val="TableText"/>
              <w:keepNext w:val="0"/>
              <w:widowControl/>
              <w:spacing w:after="40"/>
            </w:pPr>
            <w:r>
              <w:rPr>
                <w:b/>
                <w:sz w:val="18"/>
              </w:rPr>
              <w:t>deletion_operations / tombstones</w:t>
            </w:r>
          </w:p>
        </w:tc>
        <w:tc>
          <w:tcPr>
            <w:tcW w:type="dxa" w:w="6447"/>
            <w:vAlign w:val="center"/>
            <w:shd w:fill="FFFFFF"/>
            <w:tcMar>
              <w:top w:w="80" w:type="dxa"/>
              <w:bottom w:w="70" w:type="dxa"/>
              <w:left w:w="90" w:type="dxa"/>
              <w:right w:w="90" w:type="dxa"/>
            </w:tcMar>
          </w:tcPr>
          <w:p>
            <w:pPr>
              <w:pStyle w:val="TableText"/>
              <w:keepNext w:val="0"/>
              <w:widowControl/>
              <w:spacing w:after="40"/>
            </w:pPr>
            <w:r>
              <w:rPr>
                <w:sz w:val="18"/>
              </w:rPr>
              <w:t>Operation ID, initiator and executor, manifest, phase/outcomes, minimal preserved object reference; independent of deleted post row.</w:t>
            </w:r>
          </w:p>
        </w:tc>
      </w:tr>
      <w:tr>
        <w:trPr>
          <w:cantSplit/>
        </w:trPr>
        <w:tc>
          <w:tcPr>
            <w:tcW w:type="dxa" w:w="3384"/>
            <w:vAlign w:val="center"/>
            <w:shd w:fill="F2F7F9"/>
            <w:tcMar>
              <w:top w:w="80" w:type="dxa"/>
              <w:bottom w:w="70" w:type="dxa"/>
              <w:left w:w="90" w:type="dxa"/>
              <w:right w:w="90" w:type="dxa"/>
            </w:tcMar>
          </w:tcPr>
          <w:p>
            <w:pPr>
              <w:pStyle w:val="TableText"/>
              <w:keepNext w:val="0"/>
              <w:widowControl/>
              <w:spacing w:after="40"/>
            </w:pPr>
            <w:r>
              <w:rPr>
                <w:b/>
                <w:sz w:val="18"/>
              </w:rPr>
              <w:t>audit_entries / export_batches</w:t>
            </w:r>
          </w:p>
        </w:tc>
        <w:tc>
          <w:tcPr>
            <w:tcW w:type="dxa" w:w="6447"/>
            <w:vAlign w:val="center"/>
            <w:shd w:fill="F2F7F9"/>
            <w:tcMar>
              <w:top w:w="80" w:type="dxa"/>
              <w:bottom w:w="70" w:type="dxa"/>
              <w:left w:w="90" w:type="dxa"/>
              <w:right w:w="90" w:type="dxa"/>
            </w:tcMar>
          </w:tcPr>
          <w:p>
            <w:pPr>
              <w:pStyle w:val="TableText"/>
              <w:keepNext w:val="0"/>
              <w:widowControl/>
              <w:spacing w:after="40"/>
            </w:pPr>
            <w:r>
              <w:rPr>
                <w:sz w:val="18"/>
              </w:rPr>
              <w:t>Actor/action/resource/outcome, sequence, operation/request IDs, redacted change metadata, policy/config versions, digest/checkpoint references.</w:t>
            </w:r>
          </w:p>
        </w:tc>
      </w:tr>
    </w:tbl>
    <w:p>
      <w:pPr>
        <w:widowControl/>
      </w:pPr>
      <w:r>
        <w:t>Add protected fields to posts: deletion_state, deleted_at, deleted_by_actor_id, deletion_reason, restored_at, restored_by_actor_id and version. Keep these separate from published_revision_id and review_due_at. Do not attach an expires_at TTL to a source post, revision or trash row. An audit reference to a deleted object must survive without a cascading FK; use the minimal tombstone identity and justified actor mapping.</w:t>
      </w:r>
    </w:p>
    <w:p>
      <w:pPr>
        <w:widowControl/>
      </w:pPr>
      <w:r>
        <w:t>Use compound site/resource keys to prevent cross-tenant joins; apply row/object authorization and restricted database roles. Encrypt sensitive columns with managed keys and rotation procedures where justified. A coordinate-capable PostGIS column is optional for spatial queries; validate SRID 4326 and longitude/latitude ordering. Do not add PostGIS merely to store an approximate country code.</w:t>
      </w:r>
    </w:p>
    <w:p>
      <w:pPr>
        <w:pStyle w:val="Heading2"/>
        <w:keepNext/>
        <w:widowControl/>
      </w:pPr>
      <w:r>
        <w:t>40.4 REST endpoint additions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528"/>
        <w:gridCol w:w="6303"/>
      </w:tblGrid>
      <w:tr>
        <w:trPr>
          <w:cantSplit/>
          <w:tblHeader w:val="true"/>
        </w:trPr>
        <w:tc>
          <w:tcPr>
            <w:tcW w:type="dxa" w:w="3528"/>
            <w:vAlign w:val="center"/>
            <w:shd w:fill="163349"/>
            <w:tcMar>
              <w:top w:w="80" w:type="dxa"/>
              <w:bottom w:w="70" w:type="dxa"/>
              <w:left w:w="90" w:type="dxa"/>
              <w:right w:w="90" w:type="dxa"/>
            </w:tcMar>
          </w:tcPr>
          <w:p>
            <w:pPr>
              <w:pStyle w:val="TableText"/>
              <w:keepNext/>
              <w:widowControl/>
              <w:spacing w:after="40"/>
            </w:pPr>
            <w:r>
              <w:rPr>
                <w:b/>
                <w:color w:val="FFFFFF"/>
                <w:sz w:val="18"/>
              </w:rPr>
              <w:t>Endpoint or family</w:t>
            </w:r>
          </w:p>
        </w:tc>
        <w:tc>
          <w:tcPr>
            <w:tcW w:type="dxa" w:w="6303"/>
            <w:vAlign w:val="center"/>
            <w:shd w:fill="163349"/>
            <w:tcMar>
              <w:top w:w="80" w:type="dxa"/>
              <w:bottom w:w="70" w:type="dxa"/>
              <w:left w:w="90" w:type="dxa"/>
              <w:right w:w="90" w:type="dxa"/>
            </w:tcMar>
          </w:tcPr>
          <w:p>
            <w:pPr>
              <w:pStyle w:val="TableText"/>
              <w:keepNext/>
              <w:widowControl/>
              <w:spacing w:after="40"/>
            </w:pPr>
            <w:r>
              <w:rPr>
                <w:b/>
                <w:color w:val="FFFFFF"/>
                <w:sz w:val="18"/>
              </w:rPr>
              <w:t>Contract and security rule</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/v1/attribution/touches</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Permitted sanitized capture; site/session resolved by server; idempotent per declared navigation/capture policy; returns scoped reference.</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POST /v1/experiments/resolve</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Only approved public configuration for eligible routes; cannot choose arbitrary arm or edit allocation. Server rendering can call the same internal use case.</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/v1/experiments/exposures</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Validates assignment binding/trigger; behavioral authority only; never creates a sale.</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POST /v1/locations/resolve</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Accepts a deliberate location request or manual selector; validates purpose/permission, source and freshness; returns minimal task result.</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/v1/chat/conversations</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Starts a scoped operational conversation with approved optional context; no bulk visitor-profile lookup.</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POST /v1/chat/conversations/{id}/messages</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Conversation authorization, idempotency, length/rate limits and attachment checks; API owns message order.</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/v1/chat/conversations/{id}/leads</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Explicit capture confirmation; reuses form/lead transaction, eligible attribution, audit and outbox.</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POST /v1/chat/conversations/{id}/handoff</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Authorized handoff with bounded context; distinguishes request from accepted agent assignment.</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GET /v1/admin/visitors/{id}/context</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Role- and purpose-projected context; sensitive reveals are separate permissioned actions with audit.</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/v1/admin/experiments/{id}/...</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Approved create/review/start/pause/complete/promote actions with expected versions and recorded actors.</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/v1/admin/posts/{id}/trash or /restore</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Human-authorized, reasoned, concurrency-checked, audited reversible lifecycle action.</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POST /v1/admin/deletion-requests</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Exact manifest and impact preview; scoped requester, reason, hold checks and expiry.</w:t>
            </w:r>
          </w:p>
        </w:tc>
      </w:tr>
      <w:tr>
        <w:trPr>
          <w:cantSplit/>
        </w:trPr>
        <w:tc>
          <w:tcPr>
            <w:tcW w:type="dxa" w:w="3528"/>
            <w:vAlign w:val="center"/>
            <w:shd w:fill="F2F7F9"/>
            <w:tcMar>
              <w:top w:w="80" w:type="dxa"/>
              <w:bottom w:w="70" w:type="dxa"/>
              <w:left w:w="90" w:type="dxa"/>
              <w:right w:w="90" w:type="dxa"/>
            </w:tcMar>
          </w:tcPr>
          <w:p>
            <w:pPr>
              <w:pStyle w:val="TableText"/>
              <w:keepNext w:val="0"/>
              <w:widowControl/>
              <w:spacing w:after="40"/>
            </w:pPr>
            <w:r>
              <w:rPr>
                <w:b/>
                <w:sz w:val="18"/>
              </w:rPr>
              <w:t>POST /v1/admin/deletion-requests/{id}/approve or /execute</w:t>
            </w:r>
          </w:p>
        </w:tc>
        <w:tc>
          <w:tcPr>
            <w:tcW w:type="dxa" w:w="6303"/>
            <w:vAlign w:val="center"/>
            <w:shd w:fill="F2F7F9"/>
            <w:tcMar>
              <w:top w:w="80" w:type="dxa"/>
              <w:bottom w:w="70" w:type="dxa"/>
              <w:left w:w="90" w:type="dxa"/>
              <w:right w:w="90" w:type="dxa"/>
            </w:tcMar>
          </w:tcPr>
          <w:p>
            <w:pPr>
              <w:pStyle w:val="TableText"/>
              <w:keepNext w:val="0"/>
              <w:widowControl/>
              <w:spacing w:after="40"/>
            </w:pPr>
            <w:r>
              <w:rPr>
                <w:sz w:val="18"/>
              </w:rPr>
              <w:t>Independent approval and fresh execution authorization; no arbitrary manifest substitution; idempotent operation.</w:t>
            </w:r>
          </w:p>
        </w:tc>
      </w:tr>
      <w:tr>
        <w:trPr>
          <w:cantSplit/>
        </w:trPr>
        <w:tc>
          <w:tcPr>
            <w:tcW w:type="dxa" w:w="3528"/>
            <w:vAlign w:val="center"/>
            <w:shd w:fill="FFFFFF"/>
            <w:tcMar>
              <w:top w:w="80" w:type="dxa"/>
              <w:bottom w:w="70" w:type="dxa"/>
              <w:left w:w="90" w:type="dxa"/>
              <w:right w:w="90" w:type="dxa"/>
            </w:tcMar>
          </w:tcPr>
          <w:p>
            <w:pPr>
              <w:pStyle w:val="TableText"/>
              <w:keepNext w:val="0"/>
              <w:widowControl/>
              <w:spacing w:after="40"/>
            </w:pPr>
            <w:r>
              <w:rPr>
                <w:b/>
                <w:sz w:val="18"/>
              </w:rPr>
              <w:t>GET /v1/admin/audit and POST /v1/admin/audit/exports</w:t>
            </w:r>
          </w:p>
        </w:tc>
        <w:tc>
          <w:tcPr>
            <w:tcW w:type="dxa" w:w="6303"/>
            <w:vAlign w:val="center"/>
            <w:shd w:fill="FFFFFF"/>
            <w:tcMar>
              <w:top w:w="80" w:type="dxa"/>
              <w:bottom w:w="70" w:type="dxa"/>
              <w:left w:w="90" w:type="dxa"/>
              <w:right w:w="90" w:type="dxa"/>
            </w:tcMar>
          </w:tcPr>
          <w:p>
            <w:pPr>
              <w:pStyle w:val="TableText"/>
              <w:keepNext w:val="0"/>
              <w:widowControl/>
              <w:spacing w:after="40"/>
            </w:pPr>
            <w:r>
              <w:rPr>
                <w:sz w:val="18"/>
              </w:rPr>
              <w:t>Redacted bounded read; stronger export permissions; expiry and audit of export/read as defined.</w:t>
            </w:r>
          </w:p>
        </w:tc>
      </w:tr>
    </w:tbl>
    <w:p>
      <w:pPr>
        <w:widowControl/>
      </w:pPr>
      <w:r>
        <w:t>The precise route names can change through an architecture decision, but the use-case and authorization boundaries cannot disappear. Keep public collectors separate from administrative mutation. The same domain authorization must apply to any selected GraphQL mutations or SOAP adapters. Include request schemas, response states, idempotency, 403/409/422 behavior and failure examples in OpenAPI.</w:t>
      </w:r>
    </w:p>
    <w:p>
      <w:pPr>
        <w:pStyle w:val="Heading2"/>
        <w:keepNext/>
        <w:widowControl/>
      </w:pPr>
      <w:r>
        <w:t>40.5 Repository additions</w:t>
      </w:r>
    </w:p>
    <w:p>
      <w:pPr>
        <w:pStyle w:val="CodeBlock"/>
        <w:keepNext/>
        <w:widowControl/>
        <w:shd w:fill="F0F4F7"/>
      </w:pPr>
      <w:r>
        <w:t>apps/web/src/components/experiments/ExperimentBoundary.tsx</w:t>
      </w:r>
    </w:p>
    <w:p>
      <w:pPr>
        <w:pStyle w:val="CodeBlock"/>
        <w:keepNext/>
        <w:widowControl/>
        <w:shd w:fill="F0F4F7"/>
      </w:pPr>
      <w:r>
        <w:t>apps/web/src/components/location/LocationRequestButton.tsx</w:t>
      </w:r>
    </w:p>
    <w:p>
      <w:pPr>
        <w:pStyle w:val="CodeBlock"/>
        <w:keepNext/>
        <w:widowControl/>
        <w:shd w:fill="F0F4F7"/>
      </w:pPr>
      <w:r>
        <w:t>apps/web/src/components/chat/{ChatLauncher,ChatCaptureForm}.tsx</w:t>
      </w:r>
    </w:p>
    <w:p>
      <w:pPr>
        <w:pStyle w:val="CodeBlock"/>
        <w:keepNext/>
        <w:widowControl/>
        <w:shd w:fill="F0F4F7"/>
      </w:pPr>
      <w:r>
        <w:t>apps/web/src/lib/attribution/{capture,url-sanitizer}.ts</w:t>
      </w:r>
    </w:p>
    <w:p>
      <w:pPr>
        <w:pStyle w:val="CodeBlock"/>
        <w:keepNext/>
        <w:widowControl/>
        <w:shd w:fill="F0F4F7"/>
      </w:pPr>
      <w:r>
        <w:t>apps/web/src/lib/context/visitor-context-client.ts</w:t>
      </w:r>
    </w:p>
    <w:p>
      <w:pPr>
        <w:pStyle w:val="CodeBlock"/>
        <w:keepNext/>
        <w:widowControl/>
        <w:shd w:fill="F0F4F7"/>
      </w:pPr>
      <w:r>
        <w:t>apps/admin/src/features/{experiments,campaign-links,visitors}/</w:t>
      </w:r>
    </w:p>
    <w:p>
      <w:pPr>
        <w:pStyle w:val="CodeBlock"/>
        <w:keepNext/>
        <w:widowControl/>
        <w:shd w:fill="F0F4F7"/>
      </w:pPr>
      <w:r>
        <w:t>apps/admin/src/features/{conversations,content-trash,purge-approvals}/</w:t>
      </w:r>
    </w:p>
    <w:p>
      <w:pPr>
        <w:pStyle w:val="CodeBlock"/>
        <w:keepNext/>
        <w:widowControl/>
        <w:shd w:fill="F0F4F7"/>
      </w:pPr>
      <w:r>
        <w:t>apps/admin/src/features/{audit-center,retention-policies}/</w:t>
      </w:r>
    </w:p>
    <w:p>
      <w:pPr>
        <w:pStyle w:val="CodeBlock"/>
        <w:keepNext/>
        <w:widowControl/>
        <w:shd w:fill="F0F4F7"/>
      </w:pPr>
      <w:r>
        <w:t>apps/api/src/modules/experimentation/{domain,application,infra}/</w:t>
      </w:r>
    </w:p>
    <w:p>
      <w:pPr>
        <w:pStyle w:val="CodeBlock"/>
        <w:keepNext/>
        <w:widowControl/>
        <w:shd w:fill="F0F4F7"/>
      </w:pPr>
      <w:r>
        <w:t>apps/api/src/modules/attribution/{domain,application,infra}/</w:t>
      </w:r>
    </w:p>
    <w:p>
      <w:pPr>
        <w:pStyle w:val="CodeBlock"/>
        <w:keepNext/>
        <w:widowControl/>
        <w:shd w:fill="F0F4F7"/>
      </w:pPr>
      <w:r>
        <w:t>apps/api/src/modules/visitor-context/{policy,projections,service}/</w:t>
      </w:r>
    </w:p>
    <w:p>
      <w:pPr>
        <w:pStyle w:val="CodeBlock"/>
        <w:keepNext/>
        <w:widowControl/>
        <w:shd w:fill="F0F4F7"/>
      </w:pPr>
      <w:r>
        <w:t>apps/api/src/modules/geolocation/{providers,validators,service}/</w:t>
      </w:r>
    </w:p>
    <w:p>
      <w:pPr>
        <w:pStyle w:val="CodeBlock"/>
        <w:keepNext/>
        <w:widowControl/>
        <w:shd w:fill="F0F4F7"/>
      </w:pPr>
      <w:r>
        <w:t>apps/api/src/modules/chat/{gateway,capture,tools,knowledge}/</w:t>
      </w:r>
    </w:p>
    <w:p>
      <w:pPr>
        <w:pStyle w:val="CodeBlock"/>
        <w:keepNext/>
        <w:widowControl/>
        <w:shd w:fill="F0F4F7"/>
      </w:pPr>
      <w:r>
        <w:t>apps/api/src/modules/content-preservation/{trash,restore,purge}/</w:t>
      </w:r>
    </w:p>
    <w:p>
      <w:pPr>
        <w:pStyle w:val="CodeBlock"/>
        <w:keepNext/>
        <w:widowControl/>
        <w:shd w:fill="F0F4F7"/>
      </w:pPr>
      <w:r>
        <w:t>apps/api/src/modules/audit/{events,redaction,integrity,exports}/</w:t>
      </w:r>
    </w:p>
    <w:p>
      <w:pPr>
        <w:pStyle w:val="CodeBlock"/>
        <w:keepNext/>
        <w:widowControl/>
        <w:shd w:fill="F0F4F7"/>
      </w:pPr>
      <w:r>
        <w:t>apps/worker/src/jobs/{experiment-analysis,audit-export}/</w:t>
      </w:r>
    </w:p>
    <w:p>
      <w:pPr>
        <w:pStyle w:val="CodeBlock"/>
        <w:keepNext/>
        <w:widowControl/>
        <w:shd w:fill="F0F4F7"/>
      </w:pPr>
      <w:r>
        <w:t>apps/worker/src/jobs/{approved-purge,knowledge-invalidation}/</w:t>
      </w:r>
    </w:p>
    <w:p>
      <w:pPr>
        <w:pStyle w:val="CodeBlock"/>
        <w:keepNext/>
        <w:widowControl/>
        <w:shd w:fill="F0F4F7"/>
      </w:pPr>
      <w:r>
        <w:t>packages/context-schema/src/{contracts,policies,fixtures}/</w:t>
      </w:r>
    </w:p>
    <w:p>
      <w:pPr>
        <w:pStyle w:val="CodeBlock"/>
        <w:keepNext/>
        <w:widowControl/>
        <w:shd w:fill="F0F4F7"/>
      </w:pPr>
      <w:r>
        <w:t>packages/event-schema/src/{experiments,chat,location}/</w:t>
      </w:r>
    </w:p>
    <w:p>
      <w:pPr>
        <w:pStyle w:val="CodeBlock"/>
        <w:keepNext/>
        <w:widowControl/>
        <w:shd w:fill="F0F4F7"/>
      </w:pPr>
      <w:r>
        <w:t>packages/experiment-core/src/{assignment,metrics,validation}/</w:t>
      </w:r>
    </w:p>
    <w:p>
      <w:pPr>
        <w:pStyle w:val="CodeBlock"/>
        <w:keepNext/>
        <w:widowControl/>
        <w:shd w:fill="F0F4F7"/>
      </w:pPr>
      <w:r>
        <w:t>tests/e2e/{attribution,chat-context,geo-permissions}/</w:t>
      </w:r>
    </w:p>
    <w:p>
      <w:pPr>
        <w:pStyle w:val="CodeBlock"/>
        <w:keepNext/>
        <w:widowControl/>
        <w:shd w:fill="F0F4F7"/>
      </w:pPr>
      <w:r>
        <w:t>tests/integration/{manual-deletion,audit-durability}/</w:t>
      </w:r>
    </w:p>
    <w:p>
      <w:pPr>
        <w:pStyle w:val="CodeBlock"/>
        <w:keepNext/>
        <w:widowControl/>
        <w:shd w:fill="F0F4F7"/>
      </w:pPr>
      <w:r>
        <w:t>tests/security/{proxy-spoofing,context-isolation,log-redaction}/</w:t>
      </w:r>
    </w:p>
    <w:p>
      <w:pPr>
        <w:pStyle w:val="CodeBlock"/>
        <w:keepNext w:val="0"/>
        <w:widowControl/>
        <w:shd w:fill="F0F4F7"/>
      </w:pPr>
      <w:r>
        <w:t>docs/runbooks/{experiments,blog-restore,purge,audit-integrity}.md</w:t>
      </w:r>
    </w:p>
    <w:p>
      <w:pPr>
        <w:widowControl/>
      </w:pPr>
      <w:r>
        <w:t>These paths extend Chapter 27 and represent real responsibilities, not a request to create empty files. Implement shared schema fixtures, migration tests, policy tests, and owner task guides alongside each module. The approved-purge worker is not a scheduled content-retention worker; it processes only a valid human-authorized manifest.</w:t>
      </w:r>
    </w:p>
    <w:p>
      <w:pPr>
        <w:pStyle w:val="Heading2"/>
        <w:keepNext/>
        <w:widowControl/>
      </w:pPr>
      <w:r>
        <w:t>40.6 Configuration and deployment controls</w:t>
      </w:r>
    </w:p>
    <w:p>
      <w:pPr>
        <w:widowControl/>
      </w:pPr>
      <w:r>
        <w:t>Version site capabilities separately from runtime permission state. Provide approved flags for experimentation, chat, approximate-location enrichment, browser-location task, replay and destination delivery. Default deny at the field/destination level; content preservation and critical audit are not optional marketing flags. Keep an explicit BLOG_AUTO_DELETE_ENABLED=false invariant enforced by startup validation and tests rather than a casually editable CMS switch.</w:t>
      </w:r>
    </w:p>
    <w:p>
      <w:pPr>
        <w:widowControl/>
      </w:pPr>
      <w:r>
        <w:t>Settings include approved attribution lookback, campaign naming version, consent policy version, location timeout/maximum age, location/raw-IP retention, chat retention, experiment enrollment/analysis mode, audit export interval/retention, and purge approval requirements. No secret belongs in public environment variables. Do not use “disable Redis” to disable audit durability or conversion outbox.</w:t>
      </w:r>
    </w:p>
    <w:p>
      <w:pPr>
        <w:widowControl/>
      </w:pPr>
      <w:r>
        <w:t>Native and Docker profiles must expose equivalent behavior; Kubernetes/Terraform profiles add the relevant network restrictions, durable storage, secret references and independent audit export, not different business semantics. Back up content, permission configuration, experiment/campaign definitions, required ledgers and protected conversation state under their schedules. Exercise migration with real-compatible revisions before launch.</w:t>
      </w:r>
    </w:p>
    <w:p>
      <w:pPr>
        <w:pStyle w:val="Heading1"/>
        <w:keepNext/>
        <w:pageBreakBefore/>
        <w:widowControl/>
        <w:spacing w:before="240"/>
        <w:pBdr>
          <w:bottom w:val="single" w:sz="8" w:color="087F83" w:space="8"/>
        </w:pBdr>
      </w:pPr>
      <w:bookmarkStart w:id="300" w:name="v12_ch41"/>
      <w:bookmarkStart w:id="95" w:name="extension_41"/>
      <w:r>
        <w:t>41 | Integrated delivery, owner runbooks and acceptance</w:t>
      </w:r>
      <w:bookmarkEnd w:id="95"/>
      <w:bookmarkEnd w:id="300"/>
      <w:bookmarkStart w:id="591" w:name="tocfinal_ch_41"/>
      <w:bookmarkEnd w:id="591"/>
    </w:p>
    <w:p>
      <w:pPr>
        <w:pStyle w:val="Heading2"/>
        <w:keepNext/>
        <w:widowControl/>
      </w:pPr>
      <w:r>
        <w:t>41.1 Implementation sequence and release dependency</w:t>
      </w:r>
    </w:p>
    <w:p>
      <w:pPr>
        <w:widowControl/>
      </w:pPr>
      <w:r>
        <w:t>Start by approving data purposes, the manual-deletion invariant, role matrix and measurement definitions. Next implement restricted context storage, trusted IP handling and durable audit; then campaign capture and form/chat context references. Deliver content trash/restore/purge controls before installing cleanup jobs or importing production blogs. Add controlled experiments only after conversion and assignment evidence are reliable.</w:t>
      </w:r>
    </w:p>
    <w:p>
      <w:pPr>
        <w:widowControl/>
      </w:pPr>
      <w:r>
        <w:t>The chatbot follows shared identity/consent/lead contracts; its generative adapter is not allowed to invent a parallel data pipeline. Complete the owner interfaces, integration diagnostics and independent audit export before production acceptance. Chapter 31's illustrative core schedule must be re-estimated for these additions; they are required scope in the v1.1 profile, not invisible work assumed to fit the previous estimate.</w:t>
      </w:r>
    </w:p>
    <w:p>
      <w:pPr>
        <w:pStyle w:val="Heading2"/>
        <w:keepNext/>
        <w:widowControl/>
      </w:pPr>
      <w:r>
        <w:t>41.2 One end-to-end demonstration</w:t>
      </w:r>
    </w:p>
    <w:p>
      <w:pPr>
        <w:widowControl/>
      </w:pPr>
      <w:r>
        <w:t>Use synthetic data and a test campaign. A visitor reaches a tagged landing page, makes a consent choice, receives an eligible variant, views the pricing marker, clicks a resource, opens chat, optionally shares location for a stated service task, explicitly submits contact details, and receives confirmation after the lead transaction commits. Staff qualifies the lead and observes eligible conversion delivery with consistent event identities.</w:t>
      </w:r>
    </w:p>
    <w:p>
      <w:pPr>
        <w:widowControl/>
      </w:pPr>
      <w:r>
        <w:t>Show the permitted journey in the owner console with acquisition provenance, actual exposure, submission source, service-area result and CRM state. Demonstrate the alternative path with analytics/ads refused: the page, manual location choice, chat and lead capture still work, but no prohibited tracking or reconstructed earlier journey appears. Show that the model and generic analytics never receive raw IP, exact position or transcript simply because staff can access them. Any permitted advertising network identifier must pass the separate destination-specific purpose, policy and final-payload checks in Chapter 69; exact coordinates and transcripts remain excluded.</w:t>
      </w:r>
    </w:p>
    <w:p>
      <w:pPr>
        <w:widowControl/>
      </w:pPr>
      <w:r>
        <w:t>Next, an authorized editor manually trashes a test blog with a reason. Show the actor/timestamp, public/search/bot invalidation and owner notification. Run every scheduled cleanup job at a future date and prove the trashed source remains. Restore it to draft and republish deliberately. Demonstrate a denied purge, then an independently approved synthetic purge, its audit evidence, and post-restore deletion-ledger reconciliation.</w:t>
      </w:r>
    </w:p>
    <w:p>
      <w:pPr>
        <w:pStyle w:val="Heading2"/>
        <w:keepNext/>
        <w:widowControl/>
      </w:pPr>
      <w:r>
        <w:t>41.3 Owner operating runbooks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448"/>
        <w:gridCol w:w="7383"/>
      </w:tblGrid>
      <w:tr>
        <w:trPr>
          <w:cantSplit/>
          <w:tblHeader w:val="true"/>
        </w:trPr>
        <w:tc>
          <w:tcPr>
            <w:tcW w:type="dxa" w:w="2448"/>
            <w:vAlign w:val="center"/>
            <w:shd w:fill="163349"/>
            <w:tcMar>
              <w:top w:w="80" w:type="dxa"/>
              <w:bottom w:w="70" w:type="dxa"/>
              <w:left w:w="90" w:type="dxa"/>
              <w:right w:w="90" w:type="dxa"/>
            </w:tcMar>
          </w:tcPr>
          <w:p>
            <w:pPr>
              <w:pStyle w:val="TableText"/>
              <w:keepNext/>
              <w:widowControl/>
              <w:spacing w:after="40"/>
            </w:pPr>
            <w:r>
              <w:rPr>
                <w:b/>
                <w:color w:val="FFFFFF"/>
                <w:sz w:val="18"/>
              </w:rPr>
              <w:t>Frequency or trigger</w:t>
            </w:r>
          </w:p>
        </w:tc>
        <w:tc>
          <w:tcPr>
            <w:tcW w:type="dxa" w:w="7383"/>
            <w:vAlign w:val="center"/>
            <w:shd w:fill="163349"/>
            <w:tcMar>
              <w:top w:w="80" w:type="dxa"/>
              <w:bottom w:w="70" w:type="dxa"/>
              <w:left w:w="90" w:type="dxa"/>
              <w:right w:w="90" w:type="dxa"/>
            </w:tcMar>
          </w:tcPr>
          <w:p>
            <w:pPr>
              <w:pStyle w:val="TableText"/>
              <w:keepNext/>
              <w:widowControl/>
              <w:spacing w:after="40"/>
            </w:pPr>
            <w:r>
              <w:rPr>
                <w:b/>
                <w:color w:val="FFFFFF"/>
                <w:sz w:val="18"/>
              </w:rPr>
              <w:t>Required owner action</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Before a campaign</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Validate generated URL, consent states, landing/variant message, test lead, CRM routing and conversion diagnostics.</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During an experiment</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Check sample quality, guardrails and implementation stability; do not promote from a transient p-value. Record changes and decisions.</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Daily support operation</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Review unassigned chats/leads, failed handoffs, delayed notifications and unresolved customer requests.</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Manual content removal</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Inspect impact, enter reason, confirm exact record; use trash first and independent approval for purge.</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Annual content review</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Review stale content and ownership; create human tasks. No automatic content removal or trash expiry.</w:t>
            </w:r>
          </w:p>
        </w:tc>
      </w:tr>
      <w:tr>
        <w:trPr>
          <w:cantSplit/>
        </w:trPr>
        <w:tc>
          <w:tcPr>
            <w:tcW w:type="dxa" w:w="2448"/>
            <w:vAlign w:val="center"/>
            <w:shd w:fill="FFFFFF"/>
            <w:tcMar>
              <w:top w:w="80" w:type="dxa"/>
              <w:bottom w:w="70" w:type="dxa"/>
              <w:left w:w="90" w:type="dxa"/>
              <w:right w:w="90" w:type="dxa"/>
            </w:tcMar>
          </w:tcPr>
          <w:p>
            <w:pPr>
              <w:pStyle w:val="TableText"/>
              <w:keepNext w:val="0"/>
              <w:widowControl/>
              <w:spacing w:after="40"/>
            </w:pPr>
            <w:r>
              <w:rPr>
                <w:b/>
                <w:sz w:val="18"/>
              </w:rPr>
              <w:t>Privacy or access change</w:t>
            </w:r>
          </w:p>
        </w:tc>
        <w:tc>
          <w:tcPr>
            <w:tcW w:type="dxa" w:w="7383"/>
            <w:vAlign w:val="center"/>
            <w:shd w:fill="FFFFFF"/>
            <w:tcMar>
              <w:top w:w="80" w:type="dxa"/>
              <w:bottom w:w="70" w:type="dxa"/>
              <w:left w:w="90" w:type="dxa"/>
              <w:right w:w="90" w:type="dxa"/>
            </w:tcMar>
          </w:tcPr>
          <w:p>
            <w:pPr>
              <w:pStyle w:val="TableText"/>
              <w:keepNext w:val="0"/>
              <w:widowControl/>
              <w:spacing w:after="40"/>
            </w:pPr>
            <w:r>
              <w:rPr>
                <w:sz w:val="18"/>
              </w:rPr>
              <w:t>Apply withdrawal/revocation to eligible queued work and context projections; process rights requests under the approved schedule.</w:t>
            </w:r>
          </w:p>
        </w:tc>
      </w:tr>
      <w:tr>
        <w:trPr>
          <w:cantSplit/>
        </w:trPr>
        <w:tc>
          <w:tcPr>
            <w:tcW w:type="dxa" w:w="2448"/>
            <w:vAlign w:val="center"/>
            <w:shd w:fill="F2F7F9"/>
            <w:tcMar>
              <w:top w:w="80" w:type="dxa"/>
              <w:bottom w:w="70" w:type="dxa"/>
              <w:left w:w="90" w:type="dxa"/>
              <w:right w:w="90" w:type="dxa"/>
            </w:tcMar>
          </w:tcPr>
          <w:p>
            <w:pPr>
              <w:pStyle w:val="TableText"/>
              <w:keepNext w:val="0"/>
              <w:widowControl/>
              <w:spacing w:after="40"/>
            </w:pPr>
            <w:r>
              <w:rPr>
                <w:b/>
                <w:sz w:val="18"/>
              </w:rPr>
              <w:t>Operational review</w:t>
            </w:r>
          </w:p>
        </w:tc>
        <w:tc>
          <w:tcPr>
            <w:tcW w:type="dxa" w:w="7383"/>
            <w:vAlign w:val="center"/>
            <w:shd w:fill="F2F7F9"/>
            <w:tcMar>
              <w:top w:w="80" w:type="dxa"/>
              <w:bottom w:w="70" w:type="dxa"/>
              <w:left w:w="90" w:type="dxa"/>
              <w:right w:w="90" w:type="dxa"/>
            </w:tcMar>
          </w:tcPr>
          <w:p>
            <w:pPr>
              <w:pStyle w:val="TableText"/>
              <w:keepNext w:val="0"/>
              <w:widowControl/>
              <w:spacing w:after="40"/>
            </w:pPr>
            <w:r>
              <w:rPr>
                <w:sz w:val="18"/>
              </w:rPr>
              <w:t>Inspect audit export/integrity, retention exceptions, role grants, raw-data reveals, provider/API changes and restore evidence.</w:t>
            </w:r>
          </w:p>
        </w:tc>
      </w:tr>
    </w:tbl>
    <w:p>
      <w:pPr>
        <w:pStyle w:val="Heading2"/>
        <w:keepNext/>
        <w:widowControl/>
      </w:pPr>
      <w:r>
        <w:t>41.4 Completion and cost additions</w:t>
      </w:r>
    </w:p>
    <w:p>
      <w:pPr>
        <w:widowControl/>
      </w:pPr>
      <w:r>
        <w:t>Budget for experiment design/statistical review, context and bot testing, local geo-database maintenance or API use, conversation storage and model tokens, human support, audit ingestion/export/verification, protected storage, restore exercises and ongoing policy reviews. Model-based answers, map/geocoding, replay and third-party SDKs must have independent limits and failure modes. No current vendor price is implied by this master specification.</w:t>
      </w:r>
    </w:p>
    <w:p>
      <w:pPr>
        <w:widowControl/>
      </w:pPr>
      <w:r>
        <w:t>A module is complete only when frontend, API, database, authorization, logging, failure behavior, owner operation, tests and documentation are delivered together. Use Appendix G's acceptance IDs alongside Appendix B. Required capabilities cannot be marked Not Applicable simply because implementation was skipped; public data collection may remain intentionally off until the site's processing basis and configuration are approved.</w:t>
      </w:r>
    </w:p>
    <w:p>
      <w:pPr>
        <w:pStyle w:val="Heading3"/>
      </w:pPr>
      <w:r>
        <w:t>Version 1.2 integration</w:t>
      </w:r>
    </w:p>
    <w:p>
      <w:pPr/>
      <w:r>
        <w:t>The v1.2 expansion continues in Chapters 42–65. Its additional owner, marketing, SEO, paid-media, security and technical requirements are integrated through Chapters 63–64 and Appendices H–L. Original v1.1 demonstrations remain required.</w:t>
      </w:r>
    </w:p>
    <w:p>
      <w:pPr>
        <w:pStyle w:val="Heading1"/>
        <w:pageBreakBefore/>
      </w:pPr>
      <w:bookmarkStart w:id="301" w:name="v12_ch42"/>
      <w:r>
        <w:t>42 | Completeness, applicability and gap-closure contract</w:t>
      </w:r>
      <w:bookmarkEnd w:id="301"/>
      <w:bookmarkStart w:id="592" w:name="tocfinal_ch_42"/>
      <w:bookmarkEnd w:id="592"/>
    </w:p>
    <w:p>
      <w:pPr>
        <w:pStyle w:val="Heading2"/>
      </w:pPr>
      <w:r>
        <w:t>42.1 What version 1.2 adds</w:t>
      </w:r>
    </w:p>
    <w:p>
      <w:pPr/>
      <w:r>
        <w:t>This consolidated edition retains Chapters 01–41 and Appendices A–G. It extends them with owner-operated marketing automation, scoring and segmentation, audience synchronization, safer CMS editing and custom collections, deliverability, domain continuity, channel attribution, deeper SEO and paid-media operations, and additional technical and industry controls. The additions are proposed implementation requirements, not claims that a website or advertising account has already passed them. References distinguish inherited guidance, newly consulted official material, and account-level verification links.</w:t>
      </w:r>
    </w:p>
    <w:p>
      <w:pPr/>
      <w:r>
        <w:t>“Complete” means every applicable requirement has an accountable owner, an implemented workflow, security/privacy controls, failure handling, operational documentation, and acceptance evidence. It does not mean installing every business module on every site. A medical booking site, a school website and a retail store need different activated workflows. None should silently omit a requirement because it is difficult, or display an unimplemented feature as if it works.</w:t>
      </w:r>
    </w:p>
    <w:p>
      <w:pPr>
        <w:pStyle w:val="Heading2"/>
      </w:pPr>
      <w:r>
        <w:t>42.2 Three delivery classifications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Class</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treatment</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Release rule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Universal foundation</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Public experience, owner CMS, content preservation, security, accessibility, technical SEO controls, safe forms, data governance, audit, recovery and ownership.</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Required for each production site, adjusted only through a justified site-specific decision.</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Growth-platform capability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Experiments, campaign builder, attribution, contextual chatbot, automation, segments/scoring, audience adapters, marketing reports and communication controls.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Specify and deliver in the comprehensive reusable platform profile. Activate real collection, sending or advertising only after approval, supported providers and tests.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Conditional business module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Commerce, courses, booking, subscriptions, marketplaces, community, publisher advertising, specialized portals and industry-specific services.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Every category receives an applicability decision. An activated module becomes mandatory end-to-end scope; an inactive module creates no claim of delivery.</w:t>
            </w:r>
          </w:p>
        </w:tc>
      </w:tr>
    </w:tbl>
    <w:p>
      <w:pPr>
        <w:spacing w:after="60"/>
      </w:pPr>
    </w:p>
    <w:p>
      <w:pPr/>
      <w:r>
        <w:t>For an individual website, a module may be out of scope without disappearing from the master catalogue. Record activation separately from implementation status: a fully implemented audience connector can remain disabled because the business is ineligible. “Provider unavailable,” “not implemented,” “not applicable,” and “implemented but not activated” are different states.</w:t>
      </w:r>
    </w:p>
    <w:p>
      <w:pPr>
        <w:pStyle w:val="Heading2"/>
      </w:pPr>
      <w:r>
        <w:t>42.3 Closure of the previously identified gaps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Earlier gap</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Controlling expansion</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Evidence required</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Visual marketing automation</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Chapter 45</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Owner simulation, durable execution, cancellation and suppression tests.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Scoring and segments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Chapter 46</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Explainable rules, versioned scores, boundary cases and qualification separation.</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Advertising audience lifecycle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Chapter 53</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Membership/exclusion changes, provider eligibility, revocation and reconciliation.</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CMS editing safety and productivity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Chapter 44</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Autosave acknowledgment, recovery, edit conflicts, imports and release rollback.</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Custom content collections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Chapters 44 and 63</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Approved schema builder, renderer bindings, migrations and access tests.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Email deliverability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Chapter 47</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Authentication headers, unsubscribe, bounce/complaint and suppression evidence.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Domain/DNS/account continuity</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Chapter 57</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Business ownership, renewal alerts, change approval and recovery exercise.</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Channel-specific attribution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Chapter 48</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Real provider callbacks, deduplication, provenance and CRM linkage.</w:t>
            </w:r>
          </w:p>
        </w:tc>
      </w:tr>
    </w:tbl>
    <w:p>
      <w:pPr>
        <w:spacing w:after="60"/>
      </w:pPr>
    </w:p>
    <w:p>
      <w:pPr/>
      <w:r>
        <w:t>These are specification-gap closures. They become implementation-gap closures only when the corresponding tests pass against the deployed system. Appendices H and I extend the requirement register; do not mark their rows Passed merely because this document was delivered.</w:t>
      </w:r>
    </w:p>
    <w:p>
      <w:pPr>
        <w:pStyle w:val="Heading2"/>
      </w:pPr>
      <w:r>
        <w:t>42.4 Requirement traceability and conflict precedence</w:t>
      </w:r>
    </w:p>
    <w:p>
      <w:pPr/>
      <w:r>
        <w:t>Each project keeps a machine-readable register with requirement_id, edition, classification, applicable, rationale, owner, dependencies, UI route, API use case, data entities, event IDs, privacy classification, tests, evidence, status and review date. Each activated capability must resolve all these fields. Legal obligations and provider restrictions cannot be waived by a convenience exception.</w:t>
      </w:r>
    </w:p>
    <w:p>
      <w:pPr/>
      <w:r>
        <w:t>The current site-specific legal decision controls lawful processing; the protected-content rules in Chapter 38 control source-blog preservation; verified provider contracts control external payloads; the current edition's explicit expansion controls additional implementation requirements. An apparent conflict is a recorded architecture decision, not permission to choose the least restrictive paragraph. Retained references to v1.1 describe the inherited minimum; they do not limit the v1.2 scope.</w:t>
      </w:r>
    </w:p>
    <w:p>
      <w:pPr>
        <w:pStyle w:val="Heading2"/>
      </w:pPr>
      <w:r>
        <w:t>42.5 No-omission review and change process</w:t>
      </w:r>
    </w:p>
    <w:p>
      <w:pPr/>
      <w:r>
        <w:t>Review the complete catalogue at discovery, architecture approval, prelaunch and significant business change. Ask whether a new feature changes customer obligations, public URLs, editorial data, personal-data destinations, advertising goals, cost or recovery. Introduce a new requirement when the answer exposes a gap. Keep a dated decision log so the standard evolves instead of claiming to anticipate every future browser, law, industry or platform feature.</w:t>
      </w:r>
    </w:p>
    <w:p>
      <w:pPr/>
      <w:r>
        <w:t>The delivery team must maintain one source of truth for requirements and one for business facts. No spreadsheet, tag container, AI prompt or website builder may override authoritative payment, pricing, consent, publication or permission rules. The owner signs the selected capability profile; engineering and marketing sign their evidence; unresolved release blockers remain visible.</w:t>
      </w:r>
    </w:p>
    <w:p>
      <w:pPr>
        <w:pStyle w:val="Heading1"/>
        <w:pageBreakBefore/>
      </w:pPr>
      <w:bookmarkStart w:id="302" w:name="v12_ch43"/>
      <w:r>
        <w:t>43 | Marketing strategy, offers and growth planning</w:t>
      </w:r>
      <w:bookmarkEnd w:id="302"/>
      <w:bookmarkStart w:id="593" w:name="tocfinal_ch_43"/>
      <w:bookmarkEnd w:id="593"/>
    </w:p>
    <w:p>
      <w:pPr>
        <w:pStyle w:val="Heading2"/>
      </w:pPr>
      <w:r>
        <w:t>43.1 Discovery before acquisition spending</w:t>
      </w:r>
    </w:p>
    <w:p>
      <w:pPr/>
      <w:r>
        <w:t>Create a marketing brief defining the audience's real problem, purchase journey, buying roles, objections, alternatives, service area, languages, evidence, sales cycle and desired outcome. Use approved interviews, sales/support questions and first-party research. A persona is a planning aid, not an excuse to infer sensitive attributes from an IP address or transcript. Record which findings are observed and which are hypotheses.</w:t>
      </w:r>
    </w:p>
    <w:p>
      <w:pPr/>
      <w:r>
        <w:t>Build an offer register shared by the CMS, forms, chatbot, campaigns and sales team. Each offer has offer_id, owner, eligible products/services, audience description, value proposition, inclusions, exclusions, truthful proof, terms revision, start/end instants, service capacity, contact route, price source and review date. Campaign copy references approved offer revisions. An expired promotion stops being advertised or displayed under its approved rule without automatically deleting its source article.</w:t>
      </w:r>
    </w:p>
    <w:p>
      <w:pPr>
        <w:pStyle w:val="Heading2"/>
      </w:pPr>
      <w:r>
        <w:t>43.2 Funnel and content planning</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Stage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Website assets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Useful business evidence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Discover</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Helpful articles, social content, video, real location pages, earned references.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Qualified reach and eligible visits, not fabricated exposure histories.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Evaluate</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Service detail, comparisons, demonstrations, case studies, calculators, FAQs and pricing.</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Meaningful engagement, customer questions and decision-task completion.</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Convert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Relevant landing page, accessible form, booking, checkout or explicit chat capture.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Durably accepted lead, verified booking or payment.</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Follow up</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Human response, permitted nurture, proposals, reminders and support.</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Response time, qualification, attendance, win/loss reasons.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Retain and advocate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Onboarding, resources, service updates, support and honest review/referral requests.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Retention, repeat purchase, satisfaction and fulfilled customer obligations.</w:t>
            </w:r>
          </w:p>
        </w:tc>
      </w:tr>
    </w:tbl>
    <w:p>
      <w:pPr>
        <w:spacing w:after="60"/>
      </w:pPr>
    </w:p>
    <w:p>
      <w:pPr/>
      <w:r>
        <w:t>Each priority audience gets a journey map showing entrance, question, proof, next action, fallback and staff responsibility. Do not force every reader into a gated resource or make consent acceptance a conversion goal. Use user research to identify friction before adding more tracking or popups.</w:t>
      </w:r>
    </w:p>
    <w:p>
      <w:pPr>
        <w:pStyle w:val="Heading2"/>
      </w:pPr>
      <w:r>
        <w:t>43.3 Budget and economics model</w:t>
      </w:r>
    </w:p>
    <w:p>
      <w:pPr/>
      <w:r>
        <w:t>Define value and cost consistently before showing ROI. Keep ad spend, agency fees, creative production, communication, incentives, platform charges and internal labor separately visible. Revenue is not profit. Record whether reported revenue excludes taxes, refunds, discounts and cancellations. Report realized value separately from forecast lifetime value.</w:t>
      </w:r>
    </w:p>
    <w:p>
      <w:pPr/>
      <w:r>
        <w:t>Use explicit formulas: cost per qualified lead = attributable acquisition cost / qualified leads in the chosen matured cohort; customer acquisition cost = declared acquisition costs / new customers under the chosen definition; ROAS = attributed revenue / ad spend. A zero denominator produces not_available, not infinity or a false zero. Explain attribution windows and lag. A high ROAS on a small remarketing group is not proof that acquisition spending can scale proportionally.</w:t>
      </w:r>
    </w:p>
    <w:p>
      <w:pPr/>
      <w:r>
        <w:t>Approve campaign budgets, maximum acceptable exposure, support capacity, forecast assumptions and a stop/review threshold. Forecast low/base/high scenarios; do not promise traffic, ranking or revenue. Spending authority is separate from permission to edit a landing page. Forecasts should show uncertainty and the date/source of inputs.</w:t>
      </w:r>
    </w:p>
    <w:p>
      <w:pPr>
        <w:pStyle w:val="Heading2"/>
      </w:pPr>
      <w:r>
        <w:t>43.4 Campaign and creative operating workflow</w:t>
      </w:r>
    </w:p>
    <w:p>
      <w:pPr/>
      <w:r>
        <w:t>The owner creates a campaign brief, selects an approved offer and destination, names a conversion goal, assigns source/medium/campaign IDs, prepares creatives, previews mobile placements, requests review and schedules launch. Content, legal/claim, tracking and budget approval are distinct checks. Store campaign status, owner, dates, creative rights, source files, copy versions, target regions, channels and measurement settings.</w:t>
      </w:r>
    </w:p>
    <w:p>
      <w:pPr/>
      <w:r>
        <w:t>Maintain a shared calendar for articles, webinars, offers, newsletters, paid campaigns and important operational dates. Calendar changes must not publish drafts or send campaigns accidentally. A campaign stop action must describe which external accounts are paused, which messages remain queued and what still requires manual action. A local pause is not proof an external ad platform stopped delivery.</w:t>
      </w:r>
    </w:p>
    <w:p>
      <w:pPr>
        <w:pStyle w:val="Heading2"/>
      </w:pPr>
      <w:r>
        <w:t>43.5 Brand, reputation and distribution</w:t>
      </w:r>
    </w:p>
    <w:p>
      <w:pPr/>
      <w:r>
        <w:t xml:space="preserve">Provide a brand kit with approved logos, typography, colors, tone, claim library, legal entity names, licensed assets and social-preview templates. Use genuine author/team records and real customer permissions. Reviews and case studies must not be invented, selectively manipulated to misrepresent feedback, or published under fabricated identities. Review invitations, responses and removal requests need a documented moderation policy and the relevant platform/legal review. FTC guidance distinguishes consumer reviews from promotional testimonials and describes restrictions on deceptive practices; apply the actual jurisdiction and platform rules. </w:t>
      </w:r>
      <w:hyperlink w:anchor="ref_R98" w:history="1">
        <w:r>
          <w:rPr>
            <w:color w:val="087F83"/>
            <w:b/>
          </w:rPr>
          <w:t>[R98]</w:t>
        </w:r>
      </w:hyperlink>
    </w:p>
    <w:p>
      <w:pPr/>
      <w:r>
        <w:t>Support selected organic distribution channels through approved adapters or documented external workflows: email, social publishing, partnerships, directories, events, press and community. Track distribution effort and earned outcomes without purchasing manipulative links or scraped contact lists. Social platform publishing, influencer disclosure, affiliate rewards and prize promotions each require their own approval and current policy check.</w:t>
      </w:r>
    </w:p>
    <w:p>
      <w:pPr>
        <w:pStyle w:val="Heading2"/>
      </w:pPr>
      <w:r>
        <w:t>43.6 Implementation and acceptance</w:t>
      </w:r>
    </w:p>
    <w:p>
      <w:pPr/>
      <w:r>
        <w:t>Implement offer, campaign, creative and editorial-calendar entities with revisions and references to CMS resources. The owner dashboard links each campaign to destination health, approval state, lead quality, cost and operational alerts. The API prevents publication of an unapproved or unavailable offer and audits changes to claims, dates and budgets.</w:t>
      </w:r>
    </w:p>
    <w:p>
      <w:pPr/>
      <w:r>
        <w:t>Acceptance demonstrates a campaign from brief to a real synthetic lead and staff response; a promotion expiry that retains source content; a conflicting price rejected before launch; and a report whose totals reconcile to the defined business records. The operating handbook assigns a reviewer and backup for every active campaign.</w:t>
      </w:r>
    </w:p>
    <w:p>
      <w:pPr>
        <w:pStyle w:val="Heading1"/>
        <w:pageBreakBefore/>
      </w:pPr>
      <w:bookmarkStart w:id="303" w:name="v12_ch44"/>
      <w:r>
        <w:t>44 | Advanced owner CMS, collections and editing safety</w:t>
      </w:r>
      <w:bookmarkEnd w:id="303"/>
      <w:bookmarkStart w:id="594" w:name="tocfinal_ch_44"/>
      <w:bookmarkEnd w:id="594"/>
    </w:p>
    <w:p>
      <w:pPr>
        <w:pStyle w:val="Heading2"/>
      </w:pPr>
      <w:r>
        <w:t>44.1 Autosave, recovery and editing states</w:t>
      </w:r>
    </w:p>
    <w:p>
      <w:pPr/>
      <w:r>
        <w:t>Deliver an editor that distinguishes local unsaved changes, saving, server-acknowledged draft, conflict, offline state, failed save, approved revision and live content. Autosave uses a documented bounded debounce and a manual Save action. A visible save indicator changes to saved only after the server commits the draft version. Network failure must preserve the editor's recoverable local state under an approved storage policy rather than falsely confirm a save.</w:t>
      </w:r>
    </w:p>
    <w:p>
      <w:pPr/>
      <w:r>
        <w:t>Provide undo/redo for the editor session, unsaved-change protection and recoverable drafts after an interrupted session. Do not store secrets, private lead records or sensitive unpublished content indefinitely in browser storage. Local draft persistence requires a defined expiry, logout clearing, device-sharing warning where appropriate, and server-side authorization on recovery. A restored draft never auto-publishes.</w:t>
      </w:r>
    </w:p>
    <w:p>
      <w:pPr>
        <w:pStyle w:val="Heading2"/>
      </w:pPr>
      <w:r>
        <w:t>44.2 Concurrency, comments and approvals</w:t>
      </w:r>
    </w:p>
    <w:p>
      <w:pPr/>
      <w:r>
        <w:t>Use optimistic concurrency with an expected version or If-Match contract. When two editors modify the same draft, reject the stale write and show a readable comparison. Offer reload, duplicate-as-draft or a reviewed merge; never silently overwrite the newer acknowledged revision. Presence indicators and edit leases may improve usability but are not sufficient integrity controls.</w:t>
      </w:r>
    </w:p>
    <w:p>
      <w:pPr/>
      <w:r>
        <w:t>Support editorial comments, reviewer assignments, approval reasons, task status and notifications. Comments are private by default and do not leak through the public content API or chatbot. Real-time coauthoring is an optional implementation choice requiring tested conflict resolution, offline reconciliation and author attribution. Basic lost-update protection is mandatory even without coauthoring.</w:t>
      </w:r>
    </w:p>
    <w:p>
      <w:pPr>
        <w:pStyle w:val="Heading2"/>
      </w:pPr>
      <w:r>
        <w:t>44.3 Controlled custom collections and relationships</w:t>
      </w:r>
    </w:p>
    <w:p>
      <w:pPr/>
      <w:r>
        <w:t>The comprehensive owner platform includes a content-model builder for approved informational collections such as people, locations, events, partners and case studies. Owners may add fields from an allowlist: plain/rich text, number, boolean, dates, media, controlled select, reference and bounded repeating groups. Each field has a stable key, type, validation, localized flag, sensitivity and permissions. Use metadata-defined schemas over controlled storage; do not allow arbitrary production SQL or executable expressions.</w:t>
      </w:r>
    </w:p>
    <w:p>
      <w:pPr/>
      <w:r>
        <w:t>A collection requires a list/detail template binding, route policy, preview, publication workflow, search/index policy, permissions and export contract. Relationships enforce allowed target types and same-site scope. A public reference cannot expose a private record. A new collection is not equivalent to implementing payment, inventory or eligibility business rules; those remain domain modules.</w:t>
      </w:r>
    </w:p>
    <w:p>
      <w:pPr/>
      <w:r>
        <w:t>Schema changes create versions. Adding an optional field can be compatible; changing type, deleting a field, making it required or altering a relationship needs a migration preview and explicit approval. Retain historical published revisions and their renderability. A field deletion must not silently discard data in existing entries. Prevent circular references, unbounded nesting and expensive public joins.</w:t>
      </w:r>
    </w:p>
    <w:p>
      <w:pPr>
        <w:pStyle w:val="Heading2"/>
      </w:pPr>
      <w:r>
        <w:t>44.4 Import/export and mass operations</w:t>
      </w:r>
    </w:p>
    <w:p>
      <w:pPr/>
      <w:r>
        <w:t>Imports support approved CSV/JSON or an explicit source adapter, field mapping, dry-run validation, duplicate detection, conflict policy, asset mapping and row-level results. Use source IDs and import manifests; do not match solely on display titles. Default behavior is create/update, not replacement of the complete collection. Existing blogs and revisions cannot disappear because an import file omits them.</w:t>
      </w:r>
    </w:p>
    <w:p>
      <w:pPr/>
      <w:r>
        <w:t>A reviewed import has a bounded manifest, owner, expected versions, audit ID and resumable execution. Handle malformed files, formula-like spreadsheet values, oversized objects, unsafe remote media URLs and partial failures. Report created, updated, skipped, conflicted and failed counts separately. Rollback reverses only eligible changes from that import and must not erase later edits. Exports preserve IDs, references, revisions, locale links and asset manifests, with permissions and private-field redaction.</w:t>
      </w:r>
    </w:p>
    <w:p>
      <w:pPr>
        <w:pStyle w:val="Heading2"/>
      </w:pPr>
      <w:r>
        <w:t>44.5 Coordinated releases and reusable design</w:t>
      </w:r>
    </w:p>
    <w:p>
      <w:pPr/>
      <w:r>
        <w:t>Allow a release bundle to pin approved page, menu, banner, collection and resource revisions. Preview the bundle as a coherent snapshot. Validate routes, claims, prices, dependencies, accessibility and affected campaigns. Publish by changing a site release pointer or another explicit consistency mechanism; record which resources became live. CDN/search/feed invalidation is asynchronous, so show pending/partial/complete status instead of pretending every external cache switches atomically.</w:t>
      </w:r>
    </w:p>
    <w:p>
      <w:pPr/>
      <w:r>
        <w:t>Provide rollback to a compatible release manifest without reversing customer transactions. Scheduled releases retain UTC instants and the owner's timezone. A release cannot bypass blog-trash/purge approval. The page builder supports reusable sections, global components, approved responsive presets, accessible drag alternatives and design tokens; owners can inspect the impact of shared changes before publication.</w:t>
      </w:r>
    </w:p>
    <w:p>
      <w:pPr/>
      <w:r>
        <w:t xml:space="preserve">The authoring interface should itself be accessible and help authors produce accessible output; ATAG addresses both concerns. Use that guidance alongside the existing WCAG target, not as a claim of automatic conformance. </w:t>
      </w:r>
      <w:hyperlink w:anchor="ref_R67" w:history="1">
        <w:r>
          <w:rPr>
            <w:color w:val="087F83"/>
            <w:b/>
          </w:rPr>
          <w:t>[R67]</w:t>
        </w:r>
      </w:hyperlink>
    </w:p>
    <w:p>
      <w:pPr>
        <w:pStyle w:val="Heading2"/>
      </w:pPr>
      <w:r>
        <w:t>44.6 Data, APIs and acceptance</w:t>
      </w:r>
    </w:p>
    <w:p>
      <w:pPr/>
      <w:r>
        <w:t>Add collection_definitions, collection_schema_versions, content_entries, entry_revisions, draft_sessions, editorial_comments, release_manifests, release_items, import_runs and import_row_results. Public queries read only approved published snapshots; admin writes require membership, field permissions and expected versions. Appendix J gives representative contracts.</w:t>
      </w:r>
    </w:p>
    <w:p>
      <w:pPr/>
      <w:r>
        <w:t>Tests cover acknowledged-save recovery, stale edits, shared-device logout, schema migration, mixed private/public references, malicious imports, partial release invalidation and rollback. The owner independently creates an Events collection using an approved template, imports synthetic entries, corrects one error, previews a release and publishes it without developer intervention.</w:t>
      </w:r>
    </w:p>
    <w:p>
      <w:pPr>
        <w:pStyle w:val="SmallNote"/>
        <w:spacing w:before="120"/>
      </w:pPr>
      <w:r>
        <w:t>Final edition integration: Chapters 66.4 and 73 strengthen derivative metadata, editor recovery and accessible owner workflows.</w:t>
      </w:r>
    </w:p>
    <w:p>
      <w:pPr>
        <w:pStyle w:val="Heading1"/>
        <w:pageBreakBefore/>
      </w:pPr>
      <w:bookmarkStart w:id="304" w:name="v12_ch45"/>
      <w:r>
        <w:t>45 | Visual marketing automation and durable workflow execution</w:t>
      </w:r>
      <w:bookmarkEnd w:id="304"/>
      <w:bookmarkStart w:id="595" w:name="tocfinal_ch_45"/>
      <w:bookmarkEnd w:id="595"/>
    </w:p>
    <w:p>
      <w:pPr>
        <w:pStyle w:val="Heading2"/>
      </w:pPr>
      <w:r>
        <w:t>45.1 Owner workflow and node catalogue</w:t>
      </w:r>
    </w:p>
    <w:p>
      <w:pPr/>
      <w:r>
        <w:t>Provide a visual builder with trigger, condition, delay, branch, action and exit nodes. Each workflow has a stable ID, immutable published version, owner, purpose, eligibility, enrollment/re-enrollment policy, exclusion conditions, timezone, expiry/review date, execution budget and stop conditions. Owners create drafts, simulate with synthetic cases, request approval, publish, pause, inspect runs and retire versions.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Node family</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Supported examples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Essential boundary</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Trigger</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Accepted lead, explicit subscription, qualified stage, booking change, verified purchase, approved segment entry.</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Trusted backend event or verified provider receipt; not an arbitrary browser claim.</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Condition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Interest, locale, assigned team, consented channel, business stage, permitted segment.</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Typed allowlisted fields; no raw SQL, arbitrary code or inferred sensitive traits.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Delay</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Relative delay, business-hours wait, wait for reply, wait until a date.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Durable timer with expiry and timezone/DST handling.</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Action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Assign lead, create task, send permitted template, request approved integration action, notify staff.</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Recheck authorization, suppression, budgets and current business state.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Exit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Customer converted, opted out, replied, disqualified, workflow expired or manually stopped.</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Cancel eligible pending actions and record the reason.</w:t>
            </w:r>
          </w:p>
        </w:tc>
      </w:tr>
    </w:tbl>
    <w:p>
      <w:pPr>
        <w:spacing w:after="60"/>
      </w:pPr>
    </w:p>
    <w:p>
      <w:pPr>
        <w:pStyle w:val="Heading2"/>
      </w:pPr>
      <w:r>
        <w:t>45.2 Enrollment and state machine</w:t>
      </w:r>
    </w:p>
    <w:p>
      <w:pPr/>
      <w:r>
        <w:t>Use draft → reviewed → published → paused → retired for definitions, and enrolled → running → waiting → completed/cancelled/failed for runs. Pin the workflow version at enrollment. A definition update affects new runs unless a reviewed migration explicitly moves existing runs. A pause policy must say whether it prevents enrollment, dispatch, timers or all three; an emergency stop prevents new external effects immediately at the dispatch boundary.</w:t>
      </w:r>
    </w:p>
    <w:p>
      <w:pPr/>
      <w:r>
        <w:t>Deduplicate enrollment by site, workflow version, subject, trigger event and declared re-entry scope. A customer can have multiple legitimate enquiries, so choose lead/case/order/contact as the subject deliberately. Never merge all cases because email matches. Bound loops, total actions, duration, graph size, fan-out and nested branches. Detect unreachable nodes and missing exits before publication.</w:t>
      </w:r>
    </w:p>
    <w:p>
      <w:pPr>
        <w:pStyle w:val="Heading2"/>
      </w:pPr>
      <w:r>
        <w:t>45.3 Durable scheduling and safe external effects</w:t>
      </w:r>
    </w:p>
    <w:p>
      <w:pPr/>
      <w:r>
        <w:t>Persist workflow runs, node state, timer due_at, input references and operation IDs in PostgreSQL or an equivalently durable workflow system. Workers use leases, bounded batches, deadlines and retry backoff. Commit domain transitions, audit and outbox atomically. The queue is transport, not the only record of a scheduled customer obligation.</w:t>
      </w:r>
    </w:p>
    <w:p>
      <w:pPr/>
      <w:r>
        <w:t>Every action has a stable execution key. Before sending, re-read consent/suppression, current case status, recipient binding, quiet hours, frequency caps, template approval, provider capability and remaining budget. A stale segment snapshot must not override a later opt-out. Record policy/version and the eligibility result. Where a provider's request result is uncertain, reconcile by supported identifiers before blindly resending. Do not claim exactly-once delivery across external services.</w:t>
      </w:r>
    </w:p>
    <w:p>
      <w:pPr/>
      <w:r>
        <w:t>Apply rate and cost budgets per tenant, channel and recipient. Reserve quotas transactionally where concurrent workers might exceed them. A safety pause must not discard pending acknowledged leads. Keep failed-action review and restricted retry tools with original identities and current eligibility checks.</w:t>
      </w:r>
    </w:p>
    <w:p>
      <w:pPr>
        <w:pStyle w:val="Heading2"/>
      </w:pPr>
      <w:r>
        <w:t>45.4 Reference workflows</w:t>
      </w:r>
    </w:p>
    <w:p>
      <w:pPr/>
      <w:r>
        <w:t>Lead follow-up: accepted enquiry → route to qualified team → transactional acknowledgment → wait for response deadline → staff reminder/escalation → stop when contacted or closed. Marketing nurture is a separate branch only for an eligible subscription; an enquiry does not automatically enter it.</w:t>
      </w:r>
    </w:p>
    <w:p>
      <w:pPr/>
      <w:r>
        <w:t>Webinar: registration committed → confirmation → approved reminders → attendance status from a trusted source → permitted resource delivery → optional follow-up under the applicable permission. Do not classify opening a reminder as actual attendance.</w:t>
      </w:r>
    </w:p>
    <w:p>
      <w:pPr/>
      <w:r>
        <w:t>Commerce: verified order → fulfillment updates; abandoned-checkout follow-up requires a separately approved contact/permission basis and a declared eligibility window. Do not capture abandoned form keystrokes or invent an email address. A completed purchase, opt-out or suppressed contact cancels further recovery messages.</w:t>
      </w:r>
    </w:p>
    <w:p>
      <w:pPr>
        <w:pStyle w:val="Heading2"/>
      </w:pPr>
      <w:r>
        <w:t>45.5 Simulation, operator controls and evidence</w:t>
      </w:r>
    </w:p>
    <w:p>
      <w:pPr/>
      <w:r>
        <w:t>Simulation uses fixtures and a virtual clock, shows selected branches, scheduled times, message previews, exclusions and estimated cost, and cannot reach production destinations. Staff can inspect a safe execution timeline showing who published a workflow, why enrollment occurred, what was sent, what remains and why a node failed. Record edits and manual intervention without exposing message bodies in generic logs.</w:t>
      </w:r>
    </w:p>
    <w:p>
      <w:pPr/>
      <w:r>
        <w:t>Test restart during a delay, repeated trigger, concurrent worker claims, opt-out immediately before dispatch, provider timeout with uncertain acceptance, definition changes during a run, daylight-saving changes and emergency stopping. Acceptance requires no duplicate business action from retries and no prohibited send after the dispatch gate observes a disqualifying state.</w:t>
      </w:r>
    </w:p>
    <w:p>
      <w:pPr>
        <w:pStyle w:val="Heading2"/>
      </w:pPr>
      <w:r>
        <w:t>45.6 Implementation contract</w:t>
      </w:r>
    </w:p>
    <w:p>
      <w:pPr/>
      <w:r>
        <w:t>Add automation_definitions, automation_versions, automation_runs, node_executions, timers, enrollment_keys, action_reservations and workflow_events. NestJS owns policy and business commands; workers execute bounded actions. A third-party orchestration engine is replaceable behind the workflow contract. Owner export includes definitions and safe execution metadata, not reusable provider secrets.</w:t>
      </w:r>
    </w:p>
    <w:p>
      <w:pPr>
        <w:pStyle w:val="Heading1"/>
        <w:pageBreakBefore/>
      </w:pPr>
      <w:bookmarkStart w:id="305" w:name="v12_ch46"/>
      <w:r>
        <w:t>46 | Lead scoring, segments and responsible personalization</w:t>
      </w:r>
      <w:bookmarkEnd w:id="305"/>
      <w:bookmarkStart w:id="596" w:name="tocfinal_ch_46"/>
      <w:bookmarkEnd w:id="596"/>
    </w:p>
    <w:p>
      <w:pPr>
        <w:pStyle w:val="Heading2"/>
      </w:pPr>
      <w:r>
        <w:t>46.1 Separate business concepts</w:t>
      </w:r>
    </w:p>
    <w:p>
      <w:pPr/>
      <w:r>
        <w:t>A behavioral engagement score, a declared customer fit, a verified qualification and an advertising conversion are different concepts. Store and display them separately. The system must explain a score rather than present a mysterious AI number as business truth. No score may deny essential services, determine protected eligibility or infer sensitive characteristics by default.</w:t>
      </w:r>
    </w:p>
    <w:p>
      <w:pPr/>
      <w:r>
        <w:t>The owner defines the business question, eligible inputs, rules, thresholds, review frequency and staff actions. Start with simple deterministic rules before introducing predictive models. Examples of approved evidence include an explicitly selected program, requested callback or recorded staff qualification. Raw IP, precise coordinates, transcript-derived health information and guessed wealth are not default scoring features.</w:t>
      </w:r>
    </w:p>
    <w:p>
      <w:pPr>
        <w:pStyle w:val="Heading2"/>
      </w:pPr>
      <w:r>
        <w:t>46.2 Rule and score model</w:t>
      </w:r>
    </w:p>
    <w:p>
      <w:pPr/>
      <w:r>
        <w:t>A scoring version contains rule IDs, input schema, positive/negative weights, per-event caps, repeated-action handling, recency/decay, missing-value behavior, exclusion rules and maximum/minimum bounds. Store the score as a derived snapshot with calculated_at, source window, rule_version and safe explanation contributions. Keep immutable business events and recompute derived scores after legitimate correction.</w:t>
      </w:r>
    </w:p>
    <w:p>
      <w:pPr/>
      <w:r>
        <w:t>Do not give unlimited points for repeated clicks or messages. Exclude synthetic tests, recognized abuse and duplicate events under documented rules. A lack of telemetry after tracking refusal is unknown, not proof of low interest. Keep score decay separate from deletion of business records. Manual override requires a reason, actor and expiry; the UI shows both computed and overridden values.</w:t>
      </w:r>
    </w:p>
    <w:p>
      <w:pPr>
        <w:pStyle w:val="Heading2"/>
      </w:pPr>
      <w:r>
        <w:t>46.3 Segment builder and membership lifecycle</w:t>
      </w:r>
    </w:p>
    <w:p>
      <w:pPr/>
      <w:r>
        <w:t>Provide typed AND/OR conditions, inclusion/exclusion groups, time windows and a preview of eligible counts with data freshness. Support static reviewed lists and dynamic segments. Each segment has owner, purpose, version, permitted destinations, sensitive-field restrictions, membership window and refresh schedule. Preview counts are not guaranteed provider-match counts.</w:t>
      </w:r>
    </w:p>
    <w:p>
      <w:pPr/>
      <w:r>
        <w:t>Maintain membership_added, membership_removed, expired and suppressed states with reason/version. Deletion, consent withdrawal, account changes and corrected CRM state must propagate to eligible derived membership. Record calculated population and uncollected/unknown categories. Bound query cost and prevent segments from reading unauthorized fields or crossing sites.</w:t>
      </w:r>
    </w:p>
    <w:p>
      <w:pPr>
        <w:pStyle w:val="Heading2"/>
      </w:pPr>
      <w:r>
        <w:t>46.4 Personalization rules and cache isolation</w:t>
      </w:r>
    </w:p>
    <w:p>
      <w:pPr/>
      <w:r>
        <w:t>Personalization may choose an approved language, visitor-selected topic, relevant CTA or service-area information. Use explicit business goals, control experience, precedence, compatibility with experiments and a kill switch. An essential location selector is not an advertising profile. Avoid sensitive profiling, covert price discrimination and manipulative pressure.</w:t>
      </w:r>
    </w:p>
    <w:p>
      <w:pPr/>
      <w:r>
        <w:t>Server-rendered personalized content must use bounded safe cache keys or bypass shared caching. Never cache personal names, contact details, authenticated recommendations or Set-Cookie responses into public pages. Keep the crawler/no-state fallback available to ordinary users; do not cloak. Distinguish personalization assignment from actual exposure. During A/B tests, freeze or record relevant personalization rules to avoid confounding the result.</w:t>
      </w:r>
    </w:p>
    <w:p>
      <w:pPr>
        <w:pStyle w:val="Heading2"/>
      </w:pPr>
      <w:r>
        <w:t>46.5 Predictive scoring, only after a separate approval</w:t>
      </w:r>
    </w:p>
    <w:p>
      <w:pPr/>
      <w:r>
        <w:t>A model-based scorer needs training-data lineage, outcome labels, consent/purpose review, temporal train/test separation, leakage checks, calibration, false-positive/negative evaluation, drift monitoring, explanation policy and rollback. A high historical accuracy result does not justify automatic consequential customer decisions. Humans must be able to review and correct the outcome.</w:t>
      </w:r>
    </w:p>
    <w:p>
      <w:pPr/>
      <w:r>
        <w:t>Keep model features and outputs out of advertising destinations unless explicitly reviewed and supported. A prompt-generated interpretation of a chat is not verified qualification. Do not secretly enrich a contact using purchased identity data. Predictive scoring is a conditional enhancement; deterministic scoring and human review remain operational without a model.</w:t>
      </w:r>
    </w:p>
    <w:p>
      <w:pPr>
        <w:pStyle w:val="Heading2"/>
      </w:pPr>
      <w:r>
        <w:t>46.6 Data and acceptance</w:t>
      </w:r>
    </w:p>
    <w:p>
      <w:pPr/>
      <w:r>
        <w:t>Add score_definitions, score_versions, score_snapshots, score_contributions, score_overrides, segment_definitions, segment_versions and segment_memberships. Expose explain, preview, simulate, publish and recalculate use cases with permissions, costs and audit. Segment exports require destination authorization and field minimization.</w:t>
      </w:r>
    </w:p>
    <w:p>
      <w:pPr/>
      <w:r>
        <w:t>Acceptance proves repeat-click caps, missing telemetry, rule-version changes, withdrawn eligibility, correction/recalculation, manual overrides, site isolation and personalization cache isolation. A high score must not emit lead_qualified until the separately defined qualification transition occurs.</w:t>
      </w:r>
    </w:p>
    <w:p>
      <w:pPr>
        <w:pStyle w:val="Heading1"/>
        <w:pageBreakBefore/>
      </w:pPr>
      <w:bookmarkStart w:id="306" w:name="v12_ch47"/>
      <w:r>
        <w:t>47 | Email authentication, deliverability and subscription operations</w:t>
      </w:r>
      <w:bookmarkEnd w:id="306"/>
      <w:bookmarkStart w:id="597" w:name="tocfinal_ch_47"/>
      <w:bookmarkEnd w:id="597"/>
    </w:p>
    <w:p>
      <w:pPr>
        <w:pStyle w:val="Heading2"/>
      </w:pPr>
      <w:r>
        <w:t>47.1 Sender readiness and ownership</w:t>
      </w:r>
    </w:p>
    <w:p>
      <w:pPr/>
      <w:r>
        <w:t>The business owns its sending domains, DNS records, provider account, billing and recovery. Maintain a sender register with purpose, From identity, Reply-To, return-path domain, provider, permitted templates, volume assumptions, DNS records, verification date and operational owner. Separate marketing and transactional streams where useful, with an intentional reputation and recovery strategy.</w:t>
      </w:r>
    </w:p>
    <w:p>
      <w:pPr/>
      <w:r>
        <w:t xml:space="preserve">Gmail documents different requirements for all senders and bulk senders. Its bulk-sender requirements include SPF, DKIM, DMARC and one-click unsubscribe for marketing/subscribed messages; sender alignment and delivery quality also matter. Validate the current provider requirements for the actual volume and message category, rather than treating a successful SMTP/API response as proof of deliverability. </w:t>
      </w:r>
      <w:hyperlink w:anchor="ref_R62" w:history="1">
        <w:r>
          <w:rPr>
            <w:color w:val="087F83"/>
            <w:b/>
          </w:rPr>
          <w:t>[R62]</w:t>
        </w:r>
      </w:hyperlink>
    </w:p>
    <w:p>
      <w:pPr>
        <w:pStyle w:val="Heading2"/>
      </w:pPr>
      <w:r>
        <w:t>47.2 Authentication implementation and safe DNS change</w:t>
      </w:r>
    </w:p>
    <w:p>
      <w:pPr/>
      <w:r>
        <w:t>Configure SPF for the actual permitted senders; inventory existing records before changing DNS. Enable DKIM and verify the received signature and domain alignment. Deploy DMARC with an approved monitoring-to-enforcement plan after reviewing legitimate mail sources; process reports without exposing customer information. Record key rotation, removed providers and rollback. Do not blindly copy a sample TXT record or publish competing SPF policies.</w:t>
      </w:r>
    </w:p>
    <w:p>
      <w:pPr/>
      <w:r>
        <w:t>Use verified sender addresses and monitored replies. Set the website visitor's email as an appropriate Reply-To only after validation; do not forge it as the sending domain's From identity. Protect inbound mail/webhooks and attachment handling. Avoid loading remote tracking content merely because staff inspect a received message.</w:t>
      </w:r>
    </w:p>
    <w:p>
      <w:pPr>
        <w:pStyle w:val="Heading2"/>
      </w:pPr>
      <w:r>
        <w:t>47.3 Subscription and preference lifecycle</w:t>
      </w:r>
    </w:p>
    <w:p>
      <w:pPr/>
      <w:r>
        <w:t>Use explicit subscription states: pending_confirmation where applicable, subscribed, unsubscribed, suppressed, bounced and complained. Record channel/purpose, notice version, source, confirmation evidence and state changes. Optional double opt-in is a project choice or applicable requirement, not a universal legal claim. A user can request a service acknowledgment without accepting promotional mail.</w:t>
      </w:r>
    </w:p>
    <w:p>
      <w:pPr/>
      <w:r>
        <w:t>Provide an accessible preference center and a direct unsubscribe path without forcing account creation. Unsubscribe should suppress eligible future marketing promptly under the approved legal/provider schedule, including actions already queued. A later import or CRM sync must not resubscribe a suppressed contact without valid new authorization. Transactional messages require their own purpose test and must not disguise promotional content as necessary service communication.</w:t>
      </w:r>
    </w:p>
    <w:p>
      <w:pPr>
        <w:pStyle w:val="Heading2"/>
      </w:pPr>
      <w:r>
        <w:t>47.4 One-click unsubscribe and link handling</w:t>
      </w:r>
    </w:p>
    <w:p>
      <w:pPr/>
      <w:r>
        <w:t xml:space="preserve">Where required, implement the List-Unsubscribe and List-Unsubscribe-Post headers using the RFC 8058 HTTPS POST mechanism. The endpoint uses an opaque, hard-to-forge reference, needs no login or extra cookies, and performs an idempotent subscription action. DKIM must cover the required headers. A link scanner's GET request must not accidentally unsubscribe a recipient; the visible email link may lead to a simple human-facing preference page. </w:t>
      </w:r>
      <w:hyperlink w:anchor="ref_R63" w:history="1">
        <w:r>
          <w:rPr>
            <w:color w:val="087F83"/>
            <w:b/>
          </w:rPr>
          <w:t>[R63]</w:t>
        </w:r>
      </w:hyperlink>
    </w:p>
    <w:p>
      <w:pPr/>
      <w:r>
        <w:t>Keep unsubscribe tokens out of analytics, application logs and referrers. Confirmation pages reveal no contact identity. Expiry and token rotation must not make legally required unsubscribing impossible; provide a fallback route and suitable durable suppression identity. Do not add tracking redirects that break the provider's one-click contract.</w:t>
      </w:r>
    </w:p>
    <w:p>
      <w:pPr>
        <w:pStyle w:val="Heading2"/>
      </w:pPr>
      <w:r>
        <w:t>47.5 Template, sending and feedback workflows</w:t>
      </w:r>
    </w:p>
    <w:p>
      <w:pPr/>
      <w:r>
        <w:t>Owners edit approved templates with typed variables, localization, HTML/plain-text alternatives, accessible structure, working links and test-send controls. Escape inserted data, reject missing critical variables and prevent arbitrary template code. Keep legal footer and required identity/contact fields under controlled editing. Preview dark-mode/image-blocked/mobile behavior where used and never make a message understandable only through an image.</w:t>
      </w:r>
    </w:p>
    <w:p>
      <w:pPr/>
      <w:r>
        <w:t>Send through a durable outbox with stable message IDs and provider receipts. Track queued, attempted, provider_accepted, delivered where confirmed, delayed, bounced, complained and suppressed separately. Opens and clicks are imperfect engagement observations, not proof of reading or a human response. Apply opt-out, bounce/complaint suppression, quiet hours, contact-frequency caps and per-provider budgets before dispatch.</w:t>
      </w:r>
    </w:p>
    <w:p>
      <w:pPr/>
      <w:r>
        <w:t>Alert on authentication failures, delivery degradation, abnormal complaint/bounce rates, queue age and provider quota issues. Define a review-based ramp-up plan for legitimate sending; never buy lists or rotate domains to evade restrictions. Suppress hard failures appropriately while permitting reviewed correction of an incorrectly entered address.</w:t>
      </w:r>
    </w:p>
    <w:p>
      <w:pPr>
        <w:pStyle w:val="Heading2"/>
      </w:pPr>
      <w:r>
        <w:t>47.6 Acceptance and recovery</w:t>
      </w:r>
    </w:p>
    <w:p>
      <w:pPr/>
      <w:r>
        <w:t>Test actual received headers, DMARC/DKIM/SPF outcomes, replies, one-click POST, harmless scanner GET, visible unsubscribe, reimport suppression, provider callback authenticity, duplicate sends and interrupted delivery. Show the owner a failed-delivery queue and a safe correction workflow. Test provider replacement without losing templates, suppression history or queued obligations; do not automatically resend messages whose prior acceptance is uncertain.</w:t>
      </w:r>
    </w:p>
    <w:p>
      <w:pPr>
        <w:pStyle w:val="Heading1"/>
        <w:pageBreakBefore/>
      </w:pPr>
      <w:bookmarkStart w:id="307" w:name="v12_ch48"/>
      <w:r>
        <w:t>48 | Omnichannel inbox, calls and offline acquisition</w:t>
      </w:r>
      <w:bookmarkEnd w:id="307"/>
      <w:bookmarkStart w:id="598" w:name="tocfinal_ch_48"/>
      <w:bookmarkEnd w:id="598"/>
    </w:p>
    <w:p>
      <w:pPr>
        <w:pStyle w:val="Heading2"/>
      </w:pPr>
      <w:r>
        <w:t>48.1 One business case, multiple controlled channels</w:t>
      </w:r>
    </w:p>
    <w:p>
      <w:pPr/>
      <w:r>
        <w:t>Deliver the unified-inbox capability in the comprehensive reusable platform. Activate only selected web chat, email, WhatsApp, SMS, Telegram and telephony providers for an individual site. Every channel uses the same case/lead model but retains its own provider identifiers, permissions, delivery states, rate limits and identity evidence. An email address, phone number, chat ID and website session are not automatically interchangeable authenticated identities.</w:t>
      </w:r>
    </w:p>
    <w:p>
      <w:pPr/>
      <w:r>
        <w:t>The owner configures teams, business hours, queues, routing, escalation, assignment, canned replies, approved templates, tags, private notes and closure reasons. Prevent two agents from sending conflicting replies without seeing one another's activity. Distinguish assignment, first human reply, resolution and customer satisfaction; bot greetings do not satisfy a human-response service level.</w:t>
      </w:r>
    </w:p>
    <w:p>
      <w:pPr>
        <w:pStyle w:val="Heading2"/>
      </w:pPr>
      <w:r>
        <w:t>48.2 Channel adapter contract</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Channel</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implementation</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Do not claim</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Email</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Thread/message mapping, reply handling, delivery feedback, attachment controls and unsubscribe separation.</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Every tracked open is a human read.</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WhatsApp/SMS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Approved account/template setup, permitted recipient/channel purpose, verified callbacks, opt-out and delivery states.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 website consent toggle authorizes every message category.</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Telegram</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Explicit bot interaction, chat/account mapping, verified webhook or controlled polling, safe contact capture.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 bot can discover every visitor's phone number or private profile.</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Voice</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Provider call IDs, initiated/ringing/answered/ended states where supported, routing, missed-call workflow.</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 tel: click proves a call connected or produced a qualified lead.</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Web chat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Chapter 37 context projection, durable messages, lead transaction, handoff and model fallback.</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 provider webhook IP is the website visitor's IP.</w:t>
            </w:r>
          </w:p>
        </w:tc>
      </w:tr>
    </w:tbl>
    <w:p>
      <w:pPr>
        <w:spacing w:after="60"/>
      </w:pPr>
    </w:p>
    <w:p>
      <w:pPr/>
      <w:r>
        <w:t xml:space="preserve">Telegram's Bot API provides explicit messaging/update mechanisms; implement the selected webhook/polling contract, protect credentials and collect contacts only through supported deliberate interaction. WhatsApp's policy requires appropriate notices/permissions and respecting opt-outs; the actual messaging and calling configuration must be checked before activation. </w:t>
      </w:r>
      <w:hyperlink w:anchor="ref_R103" w:history="1">
        <w:r>
          <w:rPr>
            <w:color w:val="087F83"/>
            <w:b/>
          </w:rPr>
          <w:t>[R103]</w:t>
        </w:r>
      </w:hyperlink>
      <w:r>
        <w:t xml:space="preserve"> </w:t>
      </w:r>
      <w:hyperlink w:anchor="ref_R104" w:history="1">
        <w:r>
          <w:rPr>
            <w:color w:val="087F83"/>
            <w:b/>
          </w:rPr>
          <w:t>[R104]</w:t>
        </w:r>
      </w:hyperlink>
    </w:p>
    <w:p>
      <w:pPr>
        <w:pStyle w:val="Heading2"/>
      </w:pPr>
      <w:r>
        <w:t>48.3 Call attribution and recording boundaries</w:t>
      </w:r>
    </w:p>
    <w:p>
      <w:pPr/>
      <w:r>
        <w:t>For call-led businesses, decide whether attribution uses a fixed campaign number, approved dynamic number insertion or staff-declared source. Dynamic insertion needs a licensed number pool, lease/expiry policy, fallback number, source binding, concurrency protection and rules for a call arriving after the visitor session ends. Keep permanent business contact details accurate and prevent number swapping from producing misleading public identity or inaccessible links.</w:t>
      </w:r>
    </w:p>
    <w:p>
      <w:pPr/>
      <w:r>
        <w:t>Link a connected call to a lead only through verified provider evidence and the approved matching policy. Shared numbers, forwarded calls and blocked caller ID produce uncertainty. Call duration is not qualification; staff or an approved business rule records the outcome separately. Record callback requests distinctly from completed calls.</w:t>
      </w:r>
    </w:p>
    <w:p>
      <w:pPr/>
      <w:r>
        <w:t>Recording, transcription and AI scoring are off until their purpose, notices/consent, jurisdiction, retention and staff access have been approved. Redact sensitive content, protect recordings in private storage and prevent transcripts from entering generic analytics or ad payloads. A browser cannot silently capture ordinary telephone calls. Provider capabilities and device permissions must be tested, not assumed.</w:t>
      </w:r>
    </w:p>
    <w:p>
      <w:pPr>
        <w:pStyle w:val="Heading2"/>
      </w:pPr>
      <w:r>
        <w:t>48.4 Cross-channel handoff and offline entry</w:t>
      </w:r>
    </w:p>
    <w:p>
      <w:pPr/>
      <w:r>
        <w:t>Website-to-messaging handoff uses a short-lived scoped reference or a visitor-confirmed link, not raw contact details, precise location, transcript text or a reusable login token in a public URL. Verify the receiving channel's user before disclosing private account data. Carry eligible campaign/case context by server reference and keep declared source separate from observed source.</w:t>
      </w:r>
    </w:p>
    <w:p>
      <w:pPr/>
      <w:r>
        <w:t>Support QR links, event codes, partner referrals, physical brochures and manually entered campaign codes. A QR code identifies a link or placement, not a named person. Record campaign IDs through the same sanitized acquisition service; avoid creating permanent tracking identifiers for people who decline optional collection. Staff can record “How did you hear about us?” as declared attribution without overwriting observed evidence.</w:t>
      </w:r>
    </w:p>
    <w:p>
      <w:pPr>
        <w:pStyle w:val="Heading2"/>
      </w:pPr>
      <w:r>
        <w:t>48.5 Reliability, support and data model</w:t>
      </w:r>
    </w:p>
    <w:p>
      <w:pPr/>
      <w:r>
        <w:t>Add channel_accounts, channel_identities, inbox_cases, conversations, agent_assignments, messages, provider_receipts, delivery_events, call_sessions, number_leases and case_links. Webhooks verify signatures or provider-specific secrets, persist receipts, deduplicate and handle out-of-order states. A late delivered status must not overwrite a later failed/cancelled business decision without a defined rule.</w:t>
      </w:r>
    </w:p>
    <w:p>
      <w:pPr/>
      <w:r>
        <w:t>Provider outage shows delayed/unavailable states and fallback contact options. Disconnect stops future sends, revokes credentials where possible and preserves required case history under its retention policy. Explicitly test account revocation, reconnect, pagination/backfill, duplicate inbound messages, cross-tenant mapping and a case involving more than one channel.</w:t>
      </w:r>
    </w:p>
    <w:p>
      <w:pPr>
        <w:pStyle w:val="Heading2"/>
      </w:pPr>
      <w:r>
        <w:t>48.6 Owner acceptance</w:t>
      </w:r>
    </w:p>
    <w:p>
      <w:pPr/>
      <w:r>
        <w:t>Demonstrate a tagged website lead, human handoff, real supported channel reply and CRM outcome using synthetic recipients. Also demonstrate a missed call, invalid callback signature, unknown caller/source, opted-out recipient, duplicated delivery event and unauthorized transcript access. The final report must show what was observed, declared, inferred or unavailable rather than manufacture a complete person-level omnichannel journey.</w:t>
      </w:r>
    </w:p>
    <w:p>
      <w:pPr>
        <w:pStyle w:val="Heading1"/>
        <w:pageBreakBefore/>
      </w:pPr>
      <w:bookmarkStart w:id="308" w:name="v12_ch49"/>
      <w:r>
        <w:t>49 | SEO strategy, editorial quality, local discovery and reputation</w:t>
      </w:r>
      <w:bookmarkEnd w:id="308"/>
      <w:bookmarkStart w:id="599" w:name="tocfinal_ch_49"/>
      <w:bookmarkEnd w:id="599"/>
    </w:p>
    <w:p>
      <w:pPr>
        <w:pStyle w:val="Heading2"/>
      </w:pPr>
      <w:r>
        <w:t>49.1 Search demand and intent architecture</w:t>
      </w:r>
    </w:p>
    <w:p>
      <w:pPr/>
      <w:r>
        <w:t>Create a versioned search-intent map connecting customer questions to page purpose, target audience, offer, language, evidence and next action. Research real search results and first-party Search Console data; record the date, geography and uncertainty of third-party estimates. Keywords are inputs to content planning, not a mandate to repeat phrases unnaturally. Assign one clear primary purpose to each important page while supporting useful related questions.</w:t>
      </w:r>
    </w:p>
    <w:p>
      <w:pPr/>
      <w:r>
        <w:t>Map topic relationships and internal links before generating content. Distinguish navigational, informational, comparison, transactional and local intents. Investigate overlapping pages before consolidation; low traffic alone is not deletion authority. Maintain an editorial inventory with ownership, review dates, quality issues, related offers, index policy and update decisions.</w:t>
      </w:r>
    </w:p>
    <w:p>
      <w:pPr>
        <w:pStyle w:val="Heading2"/>
      </w:pPr>
      <w:r>
        <w:t>49.2 Content production and evidence workflow</w:t>
      </w:r>
    </w:p>
    <w:p>
      <w:pPr/>
      <w:r>
        <w:t>A brief specifies the reader's task, unique contribution, factual sources, original experience or expertise, necessary illustrations, accessibility requirements and the next useful action. Use real authors/reviewers and accurate qualifications. Avoid fixed word-count or keyword-density targets masquerading as ranking requirements. A well-supported short answer can be more useful than padded text.</w:t>
      </w:r>
    </w:p>
    <w:p>
      <w:pPr/>
      <w:r>
        <w:t xml:space="preserve">Draft → factual/subject review → rights/accessibility review → SEO/UX review → approved publication → performance review. Record sources, permission for quotes/images, changed claims and substantive correction dates. AI may assist drafting or research but does not establish facts, author experience or publication approval. Google emphasizes helpful, people-first content and prohibits manipulative practices including scaled content abuse. </w:t>
      </w:r>
      <w:hyperlink w:anchor="ref_R06" w:history="1">
        <w:r>
          <w:rPr>
            <w:color w:val="087F83"/>
            <w:b/>
          </w:rPr>
          <w:t>[R06]</w:t>
        </w:r>
      </w:hyperlink>
      <w:r>
        <w:t xml:space="preserve"> </w:t>
      </w:r>
      <w:hyperlink w:anchor="ref_R07" w:history="1">
        <w:r>
          <w:rPr>
            <w:color w:val="087F83"/>
            <w:b/>
          </w:rPr>
          <w:t>[R07]</w:t>
        </w:r>
      </w:hyperlink>
    </w:p>
    <w:p>
      <w:pPr>
        <w:pStyle w:val="Heading2"/>
      </w:pPr>
      <w:r>
        <w:t>49.3 On-page and trust requirements</w:t>
      </w:r>
    </w:p>
    <w:p>
      <w:pPr/>
      <w:r>
        <w:t>Every indexable template needs a meaningful title, useful description, coherent heading structure, clear main content, crawlable internal links, descriptive media, appropriate canonical/index settings and supported structured data derived from visible facts. Titles and descriptions may be rewritten by search engines; do not promise exact search-result appearance. Avoid duplicating identical text across city/product/program pages merely to occupy more queries.</w:t>
      </w:r>
    </w:p>
    <w:p>
      <w:pPr/>
      <w:r>
        <w:t>Provide accurate business identity, contact routes, terms, relevant pricing/fees, authorship, service limitations and substantiated proof. Keep comparison pages fair and dated. A review or accreditation badge needs a source and current permission; no fabricated awards, customer counts, pass rates or guarantees. Maintain a correction/takedown workflow with source preservation and audit according to Chapter 38.</w:t>
      </w:r>
    </w:p>
    <w:p>
      <w:pPr>
        <w:pStyle w:val="Heading2"/>
      </w:pPr>
      <w:r>
        <w:t>49.4 Local and international programmes</w:t>
      </w:r>
    </w:p>
    <w:p>
      <w:pPr/>
      <w:r>
        <w:t xml:space="preserve">For genuine eligible locations, manage business profiles, categories, opening/special hours, contact details, service areas and destination links under business-owned accounts. Ensure the website and public profiles describe the same real operations. Google Business Profile guidelines govern eligibility and representation; a set of artificial addresses is not a legitimate location strategy. </w:t>
      </w:r>
      <w:hyperlink w:anchor="ref_R87" w:history="1">
        <w:r>
          <w:rPr>
            <w:color w:val="087F83"/>
            <w:b/>
          </w:rPr>
          <w:t>[R87]</w:t>
        </w:r>
      </w:hyperlink>
    </w:p>
    <w:p>
      <w:pPr/>
      <w:r>
        <w:t>Location pages should contain meaningful local details: actual services, directions/accessibility, staff or accountable contacts where appropriate, coverage limitations and useful local questions. Support user-selected location and locale corrections. For multiple languages, use reviewed translations, localized metadata, reciprocal locale relationships and appropriate hreflang; do not force a redirect only because IP geography suggests a country. Measure each language's task success and support readiness.</w:t>
      </w:r>
    </w:p>
    <w:p>
      <w:pPr>
        <w:pStyle w:val="Heading2"/>
      </w:pPr>
      <w:r>
        <w:t>49.5 Earned discovery, reputation and AI search</w:t>
      </w:r>
    </w:p>
    <w:p>
      <w:pPr/>
      <w:r>
        <w:t>Plan ethical distribution: original research, useful tools, relevant partnerships, genuine press, resource citations and community participation. Maintain a backlink/referral issue register and investigate suspicious activity without buying links or automating indiscriminate disavowal. Link qualification for paid or user-generated links belongs in the publishing policy. Social sharing metadata and consistent entity information help presentation but are not guaranteed ranking factors.</w:t>
      </w:r>
    </w:p>
    <w:p>
      <w:pPr/>
      <w:r>
        <w:t xml:space="preserve">AI search visibility should rely on accessible, accurate, well-organized published information and evidence. Google's guidance does not require a special AI-only schema or text file for its AI search features. Treat any optional machine-readable resource as a documented interface, not a ranking promise. Distinguish AI-answer observations, referral traffic and business outcomes; do not claim person-level AI impression attribution from ordinary web analytics. </w:t>
      </w:r>
      <w:hyperlink w:anchor="ref_R11" w:history="1">
        <w:r>
          <w:rPr>
            <w:color w:val="087F83"/>
            <w:b/>
          </w:rPr>
          <w:t>[R11]</w:t>
        </w:r>
      </w:hyperlink>
    </w:p>
    <w:p>
      <w:pPr>
        <w:pStyle w:val="Heading2"/>
      </w:pPr>
      <w:r>
        <w:t>49.6 Measurement and ongoing improvement</w:t>
      </w:r>
    </w:p>
    <w:p>
      <w:pPr/>
      <w:r>
        <w:t xml:space="preserve">Build separate views for brand/non-brand queries where defensibly classified, landing pages, device, locale, geography, index state and downstream outcomes. Report query-data omissions and limits: Search Console extraction does not guarantee every detailed query row, and privacy/aggregation rules can affect totals. Preserve source query dimensions and extraction metadata rather than forcing arithmetic equality with GA4. </w:t>
      </w:r>
      <w:hyperlink w:anchor="ref_R105" w:history="1">
        <w:r>
          <w:rPr>
            <w:color w:val="087F83"/>
            <w:b/>
          </w:rPr>
          <w:t>[R105]</w:t>
        </w:r>
      </w:hyperlink>
    </w:p>
    <w:p>
      <w:pPr/>
      <w:r>
        <w:t>Review content decay, cannibalization, internal-search failures, broken references and customer objections. Use a documented refresh/consolidation decision, with redirect and dependency impact analysis. SEO work produces reviewed backlog items and measured experiments; no script may automatically delete articles because rankings fall. Test template-level changes against a representative crawl and actual rendered content before release.</w:t>
      </w:r>
    </w:p>
    <w:p>
      <w:pPr>
        <w:pStyle w:val="SmallNote"/>
        <w:spacing w:before="120"/>
      </w:pPr>
      <w:r>
        <w:t>Final edition integration: Chapter 66 adds current search-surface eligibility and aggregate generative reporting; Chapter 71 completes distribution/lifecycle operations.</w:t>
      </w:r>
    </w:p>
    <w:p>
      <w:pPr>
        <w:pStyle w:val="Heading1"/>
        <w:pageBreakBefore/>
      </w:pPr>
      <w:bookmarkStart w:id="309" w:name="v12_ch50"/>
      <w:r>
        <w:t>50 | Technical SEO, crawl control and search-surface engineering</w:t>
      </w:r>
      <w:bookmarkEnd w:id="309"/>
      <w:bookmarkStart w:id="600" w:name="tocfinal_ch_50"/>
      <w:bookmarkEnd w:id="600"/>
    </w:p>
    <w:p>
      <w:pPr>
        <w:pStyle w:val="Heading2"/>
      </w:pPr>
      <w:r>
        <w:t>50.1 Route-level indexability contract</w:t>
      </w:r>
    </w:p>
    <w:p>
      <w:pPr/>
      <w:r>
        <w:t>Maintain a route policy registry covering canonical public pages, campaign variants, locale pages, category/tag archives, filtered lists, internal search, pagination, downloads, media, previews, accounts and error states. Each policy specifies status, canonical, robots directives, sitemap inclusion, authentication, crawlable links, rendering method and structured-data eligibility. CMS publication cannot bypass this registry.</w:t>
      </w:r>
    </w:p>
    <w:p>
      <w:pPr/>
      <w:r>
        <w:t>Indexable pages must expose the intended main content, links and metadata in stable HTML/rendered output. Validate server response and rendered DOM, not only the browser screenshot. Use real redirects and meaningful 404/410/5xx states; a universal 200 response is not a valid error strategy. Keep private/draft content behind authorization. robots.txt controls crawler behavior, not confidentiality, and blocking a URL can prevent a crawler from seeing its noindex instruction.</w:t>
      </w:r>
    </w:p>
    <w:p>
      <w:pPr>
        <w:pStyle w:val="Heading2"/>
      </w:pPr>
      <w:r>
        <w:t>50.2 URL normalization, faceting and pagination</w:t>
      </w:r>
    </w:p>
    <w:p>
      <w:pPr/>
      <w:r>
        <w:t>Define canonical hostname, HTTPS, trailing-slash policy, case/encoding behavior and approved query parameters. Do not normalize case-sensitive resource IDs or signed tokens blindly. Test redirects with eligible UTMs/click IDs, locale routing and A/B assignment. Canonicals and sitemaps use clean intended URLs rather than campaign identifiers. Reject open redirects and unsafe destination parameters.</w:t>
      </w:r>
    </w:p>
    <w:p>
      <w:pPr/>
      <w:r>
        <w:t xml:space="preserve">For filters, identify a finite useful set of indexable landing pages; constrain irrelevant parameter combinations and crawl traps. Decide separately whether URLs should be crawlable and indexable. Google documents the crawl cost of faceted navigation; canonical signals alone should not be treated as a complete crawl-volume control. Malformed or meaningless filter combinations need an intentional response and useful user recovery. </w:t>
      </w:r>
      <w:hyperlink w:anchor="ref_R83" w:history="1">
        <w:r>
          <w:rPr>
            <w:color w:val="087F83"/>
            <w:b/>
          </w:rPr>
          <w:t>[R83]</w:t>
        </w:r>
      </w:hyperlink>
    </w:p>
    <w:p>
      <w:pPr/>
      <w:r>
        <w:t xml:space="preserve">Provide crawlable links to paginated results. Infinite scroll or Load more must have an accessible URL/link strategy and preserve browser back/forward behavior. Paginated pages normally identify their own content; do not point every page's canonical to page one simply to hide pagination. Google does not generally click buttons to discover more results, so essential discovery cannot depend only on interaction. </w:t>
      </w:r>
      <w:hyperlink w:anchor="ref_R84" w:history="1">
        <w:r>
          <w:rPr>
            <w:color w:val="087F83"/>
            <w:b/>
          </w:rPr>
          <w:t>[R84]</w:t>
        </w:r>
      </w:hyperlink>
    </w:p>
    <w:p>
      <w:pPr>
        <w:pStyle w:val="Heading2"/>
      </w:pPr>
      <w:r>
        <w:t>50.3 Sitemaps, resources and HTTP behavior</w:t>
      </w:r>
    </w:p>
    <w:p>
      <w:pPr/>
      <w:r>
        <w:t xml:space="preserve">Generate sitemaps from approved canonical publication state. Partition large collections and use sitemap indexes under current limits; keep modification dates truthful and exclude private, redirected, trashed or intentionally nonindexable URLs. Validate XML escaping, absolute URLs, host ownership and incremental publication/removal. A submitted sitemap is a discovery signal, not guaranteed indexing. </w:t>
      </w:r>
      <w:hyperlink w:anchor="ref_R97" w:history="1">
        <w:r>
          <w:rPr>
            <w:color w:val="087F83"/>
            <w:b/>
          </w:rPr>
          <w:t>[R97]</w:t>
        </w:r>
      </w:hyperlink>
      <w:r>
        <w:t xml:space="preserve"> RSS/Atom feeds may distribute public content where useful; retain stable item identifiers and do not expose drafts.</w:t>
      </w:r>
    </w:p>
    <w:p>
      <w:pPr/>
      <w:r>
        <w:t xml:space="preserve">Downloads have an explicit indexing/access policy. Public PDFs can provide searchable content with an accessible HTML summary; protected resources require real authorization. Use appropriate content type, safe Content-Disposition, and headers such as X-Robots-Tag where suitable. Test range requests, expired links, conditional requests and cache headers without implying that a delivery response proves reading. The HTTP contract should follow the semantics of the selected status codes and validators. </w:t>
      </w:r>
      <w:hyperlink w:anchor="ref_R99" w:history="1">
        <w:r>
          <w:rPr>
            <w:color w:val="087F83"/>
            <w:b/>
          </w:rPr>
          <w:t>[R99]</w:t>
        </w:r>
      </w:hyperlink>
    </w:p>
    <w:p>
      <w:pPr>
        <w:pStyle w:val="Heading2"/>
      </w:pPr>
      <w:r>
        <w:t>50.4 Structured data and specialized search surfaces</w:t>
      </w:r>
    </w:p>
    <w:p>
      <w:pPr/>
      <w:r>
        <w:t xml:space="preserve">Use a controlled schema registry: Organization, LocalBusiness, BreadcrumbList, Article/BlogPosting, Product/Offer, Event, JobPosting, VideoObject and other actually applicable types. Schema.org's vocabulary is broader than Google's supported rich-result features. Validate both syntax and current search-feature policies; valid markup does not guarantee a rich result. Generated values must match visible, authoritative content, especially ratings, prices, availability, dates and business identity. </w:t>
      </w:r>
      <w:hyperlink w:anchor="ref_R08" w:history="1">
        <w:r>
          <w:rPr>
            <w:color w:val="087F83"/>
            <w:b/>
          </w:rPr>
          <w:t>[R08]</w:t>
        </w:r>
      </w:hyperlink>
      <w:r>
        <w:t xml:space="preserve"> </w:t>
      </w:r>
      <w:hyperlink w:anchor="ref_R102" w:history="1">
        <w:r>
          <w:rPr>
            <w:color w:val="087F83"/>
            <w:b/>
          </w:rPr>
          <w:t>[R102]</w:t>
        </w:r>
      </w:hyperlink>
    </w:p>
    <w:p>
      <w:pPr/>
      <w:r>
        <w:t>Do not promise FAQ rich results or a special AI-search result. The inherited baseline notes Google's 2026 FAQ change; recheck the current search-feature register at release. Event/job pages require real dates and lifecycle handling; a closed job should not remain falsely available in a feed or markup. Removal from public discovery must preserve the source under its approved content policy.</w:t>
      </w:r>
    </w:p>
    <w:p>
      <w:pPr/>
      <w:r>
        <w:t xml:space="preserve">Images need descriptive context, meaningful alt text, usable resolution, stable public URLs where intended and discoverable image elements. CSS backgrounds are not a substitute for indexable image markup. Video pages need an accessible player, truthful title/description, stable thumbnail and clear main-video context where targeting video search. Captions/transcripts and video-sitemap/markup decisions belong in the media workflow. </w:t>
      </w:r>
      <w:hyperlink w:anchor="ref_R85" w:history="1">
        <w:r>
          <w:rPr>
            <w:color w:val="087F83"/>
            <w:b/>
          </w:rPr>
          <w:t>[R85]</w:t>
        </w:r>
      </w:hyperlink>
      <w:r>
        <w:t xml:space="preserve"> </w:t>
      </w:r>
      <w:hyperlink w:anchor="ref_R86" w:history="1">
        <w:r>
          <w:rPr>
            <w:color w:val="087F83"/>
            <w:b/>
          </w:rPr>
          <w:t>[R86]</w:t>
        </w:r>
      </w:hyperlink>
    </w:p>
    <w:p>
      <w:pPr/>
      <w:r>
        <w:t xml:space="preserve">Google's Indexing API is restricted to eligible JobPosting pages and BroadcastEvent embedded in VideoObject; it is not a general “instant index all blogs” API. Use ordinary discovery/sitemap processes for other content and never sell unsupported indexing guarantees. </w:t>
      </w:r>
      <w:hyperlink w:anchor="ref_R88" w:history="1">
        <w:r>
          <w:rPr>
            <w:color w:val="087F83"/>
            <w:b/>
          </w:rPr>
          <w:t>[R88]</w:t>
        </w:r>
      </w:hyperlink>
    </w:p>
    <w:p>
      <w:pPr>
        <w:pStyle w:val="Heading2"/>
      </w:pPr>
      <w:r>
        <w:t>50.5 Technical search monitoring and migration</w:t>
      </w:r>
    </w:p>
    <w:p>
      <w:pPr/>
      <w:r>
        <w:t>Implement scheduled route crawls with bounded rates, representative rendered checks, redirect-loop/broken-link detection, canonical conflicts, missing metadata, sitemap discrepancies and accidental noindex alerts. Track server errors, crawl anomalies and publication lag. Review robots changes as high-impact configuration. Verify a crawler before granting special operational treatment; do not trust a user-agent string as authentication or show reviewers a different offer.</w:t>
      </w:r>
    </w:p>
    <w:p>
      <w:pPr/>
      <w:r>
        <w:t>A redesign requires URL and asset inventory, old/new mapping, traffic and conversion baseline, backlink-critical routes, staged redirect tests, locale/structured-data checks, domain/Search Console ownership and a rollback plan. Preserve redirects for the approved migration period and monitor unresolved old URLs. A traffic drop needs investigation by affected templates/queries; no automatic mass rollback or article deletion based on a noisy daily chart.</w:t>
      </w:r>
    </w:p>
    <w:p>
      <w:pPr>
        <w:pStyle w:val="Heading2"/>
      </w:pPr>
      <w:r>
        <w:t>50.6 Acceptance evidence</w:t>
      </w:r>
    </w:p>
    <w:p>
      <w:pPr/>
      <w:r>
        <w:t>Deliver a route-policy export, crawl report, rendered HTML fixtures, sitemap validation, structured-data evidence, download-header tests and migration map. Test JavaScript disabled/degraded, long Unicode slugs, case/encoding differences, empty filters, large pagination, localized alternates, asset replacements and manual blog removal. Search Console and provider diagnostics are evidence inputs, not a substitute for the actual deployed route tests.</w:t>
      </w:r>
    </w:p>
    <w:p>
      <w:pPr>
        <w:pStyle w:val="SmallNote"/>
        <w:spacing w:before="120"/>
      </w:pPr>
      <w:r>
        <w:t>Final edition integration: Use Chapter 70 for edge-response, robots, routing, resource and migration edge cases.</w:t>
      </w:r>
    </w:p>
    <w:p>
      <w:pPr>
        <w:pStyle w:val="Heading1"/>
        <w:pageBreakBefore/>
      </w:pPr>
      <w:bookmarkStart w:id="310" w:name="v12_ch51"/>
      <w:r>
        <w:t>51 | Google Ads operating specification and website integration</w:t>
      </w:r>
      <w:bookmarkEnd w:id="310"/>
      <w:bookmarkStart w:id="601" w:name="tocfinal_ch_51"/>
      <w:bookmarkEnd w:id="601"/>
    </w:p>
    <w:p>
      <w:pPr>
        <w:pStyle w:val="Heading2"/>
      </w:pPr>
      <w:r>
        <w:t>51.1 Separate website readiness, measurement and campaign management</w:t>
      </w:r>
    </w:p>
    <w:p>
      <w:pPr/>
      <w:r>
        <w:t xml:space="preserve">Treat three workstreams independently: the website delivers a relevant working destination; the measurement system records eligible authoritative outcomes; the campaign operator configures targeting, bidding, creative and spend. A website can support excellent campaigns without controlling the auction. Google's displayed Quality Score is diagnostic, not an auction input or a guarantee of cheaper clicks. </w:t>
      </w:r>
      <w:hyperlink w:anchor="ref_R01" w:history="1">
        <w:r>
          <w:rPr>
            <w:color w:val="087F83"/>
            <w:b/>
          </w:rPr>
          <w:t>[R01]</w:t>
        </w:r>
      </w:hyperlink>
      <w:r>
        <w:t xml:space="preserve"> </w:t>
      </w:r>
      <w:hyperlink w:anchor="ref_R02" w:history="1">
        <w:r>
          <w:rPr>
            <w:color w:val="087F83"/>
            <w:b/>
          </w:rPr>
          <w:t>[R02]</w:t>
        </w:r>
      </w:hyperlink>
    </w:p>
    <w:p>
      <w:pPr/>
      <w:r>
        <w:t>The business owns the ad accounts, manager relationships, billing, recovery, Google Analytics, Tag Manager, Search Console and any Merchant Center assets. Document access by role, approved regions/business categories, advertiser verification status, conversion goals, timezone/currency and integration permissions. Separate read-only reporting from conversion delivery and campaign-write credentials. No content editor automatically receives spending authority.</w:t>
      </w:r>
    </w:p>
    <w:p>
      <w:pPr>
        <w:pStyle w:val="Heading2"/>
      </w:pPr>
      <w:r>
        <w:t>51.2 Campaign planning and supported campaign families</w:t>
      </w:r>
    </w:p>
    <w:p>
      <w:pPr/>
      <w:r>
        <w:t>Maintain a provider capability register and select campaign types according to the actual business and account. The catalogue should accommodate Search, Shopping/retail, Performance Max, Display, video/Demand Gen and other supported types without assuming identical controls. Legacy or newly introduced features require a dated support/migration decision. Website A/B tests and ad-platform campaign experiments remain separate experiments.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Planning area</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operating decision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Search intent</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Theme, relevant search demand, brand/non-brand policy, appropriate destination, exclusions and negative-keyword review.</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Retail</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Approved products, Merchant Center/feed health, current price/availability, shipping/returns, catalogue identifiers and transaction tracking.</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Cross-channel automated campaigns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Business goal, asset groups, eligible URLs, feeds, exclusions, budget, brand controls and reporting limitations.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Video/display/discovery</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Audience purpose, placement/format readiness, accessible creative, landing experience, brand safety and conversion meaning.</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Lead-generation assets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Native form eligibility, privacy destination, fields, approved lead delivery, duplicate policy and CRM service level.</w:t>
            </w:r>
          </w:p>
        </w:tc>
      </w:tr>
    </w:tbl>
    <w:p>
      <w:pPr>
        <w:spacing w:after="60"/>
      </w:pPr>
    </w:p>
    <w:p>
      <w:pPr/>
      <w:r>
        <w:t>Do not force all campaign families into one generic UI that silently drops unsupported settings. A native lead-form submission can occur without a website visit: preserve provider lead/campaign evidence, but do not fabricate a page-view journey or a website cookie ID.</w:t>
      </w:r>
    </w:p>
    <w:p>
      <w:pPr>
        <w:pStyle w:val="Heading2"/>
      </w:pPr>
      <w:r>
        <w:t>51.3 Search keywords, assets and destination relevance</w:t>
      </w:r>
    </w:p>
    <w:p>
      <w:pPr/>
      <w:r>
        <w:t>Organize search campaigns by coherent intent and business economics, not an arbitrary number of keywords. Maintain keyword and negative-keyword lists with owner, reason, language and change history. Review available search-term reports, unsuitable intent, geographic mismatch and duplicate/overlapping coverage. Search-term visibility is not a complete record of every person's query.</w:t>
      </w:r>
    </w:p>
    <w:p>
      <w:pPr/>
      <w:r>
        <w:t xml:space="preserve">Google's match types are not simple literal matching: exact match can include the same meaning or intent, and negative matching has distinct rules. Validate the actual selected campaign behavior and monitor qualified outcomes instead of assuming that a keyword label perfectly restricts traffic. </w:t>
      </w:r>
      <w:hyperlink w:anchor="ref_R72" w:history="1">
        <w:r>
          <w:rPr>
            <w:color w:val="087F83"/>
            <w:b/>
          </w:rPr>
          <w:t>[R72]</w:t>
        </w:r>
      </w:hyperlink>
    </w:p>
    <w:p>
      <w:pPr/>
      <w:r>
        <w:t>Prepare truthful responsive search assets and applicable sitelinks, callouts, structured snippets, calls, images, locations, promotions or prices. Verify current format limits in the account instead of freezing every changing character limit in this master. Every asset destination must work, match its promise and disclose material conditions. Keep creative revisions, rights and approvals. Avoid fabricated scarcity, unsupported superiority claims and false affiliations.</w:t>
      </w:r>
    </w:p>
    <w:p>
      <w:pPr/>
      <w:r>
        <w:t>Landing pages must clearly deliver the advertised offer, work on mobile/in-app browsers, present contact/legal information and accept the promised action. Test redirects, query preservation, speed, form validation, consent states and the thank-you response. A location or keyword-personalized headline must be based on approved copy and cannot invent a branch or entitlement.</w:t>
      </w:r>
    </w:p>
    <w:p>
      <w:pPr>
        <w:pStyle w:val="Heading2"/>
      </w:pPr>
      <w:r>
        <w:t>51.4 Bidding, budgets and automated features</w:t>
      </w:r>
    </w:p>
    <w:p>
      <w:pPr/>
      <w:r>
        <w:t>Choose bidding around validated business goals and sufficient reliable feedback. Separate primary bidding conversions from diagnostic micro-events. Document counting, value, currency, acquisition vs retention objectives, lag and the impact of refunds/disqualification. More chat messages or brochure clicks must not silently replace qualified leads as the optimization target.</w:t>
      </w:r>
    </w:p>
    <w:p>
      <w:pPr/>
      <w:r>
        <w:t xml:space="preserve">Smart Bidding and campaign controls vary by campaign type and current account support. Record the selected strategy, target semantics, value policy and observation window; avoid universal minimum-volume folklore or fixed learning-period promises. Average daily budgets are not necessarily hard per-day spending caps. Confirm current overdelivery/billing behavior and use explicit review/alert thresholds. </w:t>
      </w:r>
      <w:hyperlink w:anchor="ref_R73" w:history="1">
        <w:r>
          <w:rPr>
            <w:color w:val="087F83"/>
            <w:b/>
          </w:rPr>
          <w:t>[R73]</w:t>
        </w:r>
      </w:hyperlink>
      <w:r>
        <w:t xml:space="preserve"> </w:t>
      </w:r>
      <w:hyperlink w:anchor="ref_R74" w:history="1">
        <w:r>
          <w:rPr>
            <w:color w:val="087F83"/>
            <w:b/>
          </w:rPr>
          <w:t>[R74]</w:t>
        </w:r>
      </w:hyperlink>
    </w:p>
    <w:p>
      <w:pPr/>
      <w:r>
        <w:t xml:space="preserve">Where AI Max or other automated text/search/URL features are available, explicitly approve their activation. Define eligible destination routes, URL exclusions, brand/claim constraints, approved feed/content inputs and a review process for generated assets. AI Max documentation describes expanded matching and asset/URL automation; those features do not remove the advertiser's responsibility for accurate destinations and offers. Recheck actual API and account availability before building management controls. </w:t>
      </w:r>
      <w:hyperlink w:anchor="ref_R71" w:history="1">
        <w:r>
          <w:rPr>
            <w:color w:val="087F83"/>
            <w:b/>
          </w:rPr>
          <w:t>[R71]</w:t>
        </w:r>
      </w:hyperlink>
    </w:p>
    <w:p>
      <w:pPr/>
      <w:r>
        <w:t>Automated changes may propose budget or asset adjustments, but consequential account writes require a clear authority boundary, bounded limits and audit. A local budget alert cannot guarantee a remote platform stops before the next charge; do not label it an absolute spend cap unless the provider contract truly supplies one.</w:t>
      </w:r>
    </w:p>
    <w:p>
      <w:pPr>
        <w:pStyle w:val="Heading2"/>
      </w:pPr>
      <w:r>
        <w:t>51.5 Conversion and offline-feedback implementation</w:t>
      </w:r>
    </w:p>
    <w:p>
      <w:pPr/>
      <w:r>
        <w:t>The accepted lead/order/booking remains authoritative in the business database. Map each conversion action to a source, primary/secondary status, deduplication/counting rule, value policy and original occurrence time. Avoid double-primary counting through both a native tag and GA4 import. Keep test conversions away from production optimization wherever the provider supports it.</w:t>
      </w:r>
    </w:p>
    <w:p>
      <w:pPr/>
      <w:r>
        <w:t xml:space="preserve">For new offline/enhanced-lead integrations, Google's current documentation directs the integration to Data Manager API. Its older UploadClickConversions guidance includes restrictions beginning in June 2026 for previously unused upload access. Select the currently supported credentials and ingestion contract rather than copying an old tutorial. Reporting still uses its separate supported reporting interface. </w:t>
      </w:r>
      <w:hyperlink w:anchor="ref_R14" w:history="1">
        <w:r>
          <w:rPr>
            <w:color w:val="087F83"/>
            <w:b/>
          </w:rPr>
          <w:t>[R14]</w:t>
        </w:r>
      </w:hyperlink>
      <w:r>
        <w:t xml:space="preserve"> </w:t>
      </w:r>
      <w:hyperlink w:anchor="ref_R16" w:history="1">
        <w:r>
          <w:rPr>
            <w:color w:val="087F83"/>
            <w:b/>
          </w:rPr>
          <w:t>[R16]</w:t>
        </w:r>
      </w:hyperlink>
      <w:r>
        <w:t xml:space="preserve"> </w:t>
      </w:r>
      <w:hyperlink w:anchor="ref_R45" w:history="1">
        <w:r>
          <w:rPr>
            <w:color w:val="087F83"/>
            <w:b/>
          </w:rPr>
          <w:t>[R45]</w:t>
        </w:r>
      </w:hyperlink>
    </w:p>
    <w:p>
      <w:pPr/>
      <w:r>
        <w:t>Apply destination-specific normalization/hashing only to eligible matching fields, with versioned fixtures; hashing is not anonymization or permission. Preserve genuine click identifiers, transaction IDs and original event times. Recheck consent and policy at dispatch. Handle rejected, accepted, unmatched/unknown and attributed states separately. Later lead qualification, sale, cancellation or correction needs a supported lifecycle mapping, not an invented negative conversion or repeated new purchase.</w:t>
      </w:r>
    </w:p>
    <w:p>
      <w:pPr>
        <w:pStyle w:val="Heading2"/>
      </w:pPr>
      <w:r>
        <w:t>51.6 Experiments, reporting and governance</w:t>
      </w:r>
    </w:p>
    <w:p>
      <w:pPr/>
      <w:r>
        <w:t xml:space="preserve">Use predeclared campaign experiments where supported, with a business hypothesis, valid comparison, outcome window, sample-quality checks and stable measurement. Do not combine changing audiences, creatives and landing pages and claim a single isolated page effect. Google's experiment tooling provides supported test mechanisms; the website's Chapter 34 still controls site-level experiments. </w:t>
      </w:r>
      <w:hyperlink w:anchor="ref_R75" w:history="1">
        <w:r>
          <w:rPr>
            <w:color w:val="087F83"/>
            <w:b/>
          </w:rPr>
          <w:t>[R75]</w:t>
        </w:r>
      </w:hyperlink>
    </w:p>
    <w:p>
      <w:pPr/>
      <w:r>
        <w:t>Reporting includes spend, impressions, clicks, eligible outcomes, qualified leads, realized value, search/placement information where available, account settings and extraction freshness. Document currency/timezone and attribution settings. Do not add platform-attributed conversions to internal totals as if they were extra sales. Review disapprovals, limited eligibility, billing problems, permissions, feed failures and destination errors daily during active spend.</w:t>
      </w:r>
    </w:p>
    <w:p>
      <w:pPr>
        <w:pStyle w:val="Heading2"/>
      </w:pPr>
      <w:r>
        <w:t>51.7 Google Ads release gate</w:t>
      </w:r>
    </w:p>
    <w:p>
      <w:pPr/>
      <w:r>
        <w:t>Before live activation, verify account ownership/permissions, current policy eligibility, destination and offer consistency, primary goal configuration, a synthetic form/chat/transaction, CRM receipt, eligible browser/server delivery and reporting extraction. Test denied consent, ad blockers, malformed click IDs, redirects, duplicate retries, delayed qualification, account revocation and provider outages. A campaign launch is blocked when leads are lost, prohibited data is transmitted, essential destinations fail or conversion goals are known to be misleading.</w:t>
      </w:r>
    </w:p>
    <w:p>
      <w:pPr>
        <w:pStyle w:val="SmallNote"/>
        <w:spacing w:before="120"/>
      </w:pPr>
      <w:r>
        <w:t>Final edition integration: Chapter 67 supplies the visibility/economics playbook and effective-goal checks; Chapter 69 updates ingestion/credential contracts.</w:t>
      </w:r>
    </w:p>
    <w:p>
      <w:pPr>
        <w:pStyle w:val="Heading1"/>
        <w:pageBreakBefore/>
      </w:pPr>
      <w:bookmarkStart w:id="311" w:name="v12_ch52"/>
      <w:r>
        <w:t>52 | Meta Ads operating specification and conversion quality</w:t>
      </w:r>
      <w:bookmarkEnd w:id="311"/>
      <w:bookmarkStart w:id="602" w:name="tocfinal_ch_52"/>
      <w:bookmarkEnd w:id="602"/>
    </w:p>
    <w:p>
      <w:pPr>
        <w:pStyle w:val="Heading2"/>
        <w:spacing w:before="200" w:after="100"/>
      </w:pPr>
      <w:r>
        <w:t>52.1 Business assets, policy and current-account contract</w:t>
      </w:r>
    </w:p>
    <w:p>
      <w:pPr>
        <w:spacing w:after="80" w:line="250" w:lineRule="auto"/>
      </w:pPr>
      <w:r>
        <w:t>The business owns the relevant business portfolio/assets, ad accounts, Facebook/Instagram identities, dataset/pixel, domains, billing and recovery. Maintain a secure asset map with delegated staff/agency roles. Page/content rights, reporting access, event delivery, native-lead access and ad spending are separate capabilities. Disable departing staff and audit asset/permission changes.</w:t>
      </w:r>
    </w:p>
    <w:p>
      <w:pPr>
        <w:spacing w:after="80" w:line="250" w:lineRule="auto"/>
      </w:pPr>
      <w:r>
        <w:t xml:space="preserve">Before implementation, verify current objectives, performance goals, attribution settings, permitted audiences, special/restricted advertising categories, data-source restrictions and API versions in the actual account. Some detailed Meta references were login-gated or could not be retrieved during this edition's public research. R76–R80 are therefore implementation verification links, not claims that every current field, limit or entitlement was independently confirmed. These checks are explicit launch dependencies. </w:t>
      </w:r>
      <w:hyperlink w:anchor="ref_R76" w:history="1">
        <w:r>
          <w:rPr>
            <w:color w:val="087F83"/>
            <w:b/>
          </w:rPr>
          <w:t>[R76]</w:t>
        </w:r>
      </w:hyperlink>
      <w:r>
        <w:t xml:space="preserve"> </w:t>
      </w:r>
      <w:hyperlink w:anchor="ref_R77" w:history="1">
        <w:r>
          <w:rPr>
            <w:color w:val="087F83"/>
            <w:b/>
          </w:rPr>
          <w:t>[R77]</w:t>
        </w:r>
      </w:hyperlink>
      <w:r>
        <w:t xml:space="preserve"> </w:t>
      </w:r>
      <w:hyperlink w:anchor="ref_R78" w:history="1">
        <w:r>
          <w:rPr>
            <w:color w:val="087F83"/>
            <w:b/>
          </w:rPr>
          <w:t>[R78]</w:t>
        </w:r>
      </w:hyperlink>
      <w:r>
        <w:t xml:space="preserve"> </w:t>
      </w:r>
      <w:hyperlink w:anchor="ref_R79" w:history="1">
        <w:r>
          <w:rPr>
            <w:color w:val="087F83"/>
            <w:b/>
          </w:rPr>
          <w:t>[R79]</w:t>
        </w:r>
      </w:hyperlink>
      <w:r>
        <w:t xml:space="preserve"> </w:t>
      </w:r>
      <w:hyperlink w:anchor="ref_R80" w:history="1">
        <w:r>
          <w:rPr>
            <w:color w:val="087F83"/>
            <w:b/>
          </w:rPr>
          <w:t>[R80]</w:t>
        </w:r>
      </w:hyperlink>
    </w:p>
    <w:p>
      <w:pPr>
        <w:pStyle w:val="Heading2"/>
        <w:spacing w:before="200" w:after="100"/>
      </w:pPr>
      <w:r>
        <w:t>52.2 Campaign, ad-set and creative workflow</w:t>
      </w:r>
    </w:p>
    <w:p>
      <w:pPr>
        <w:spacing w:after="80" w:line="250" w:lineRule="auto"/>
      </w:pPr>
      <w:r>
        <w:t>The owner prepares a campaign brief with approved offer, outcome, spend authority, target markets, audience assumptions and destination. The operator chooses the currently supported objective and performance goal that match the business outcome. Keep campaign/ad-set/ad IDs and human labels separate so renaming does not break attribution or reporting.</w:t>
      </w:r>
    </w:p>
    <w:p>
      <w:pPr>
        <w:spacing w:after="80" w:line="250" w:lineRule="auto"/>
      </w:pPr>
      <w:r>
        <w:t>Configure budgets, schedules, placements, optimization, audience controls and exclusions as supported. Review any automatic audience expansion or creative enhancement explicitly; an input labeled an audience suggestion may not be a hard restriction. Do not promise precise reach or exclusion behavior beyond the current platform contract. Website personalization must not infer sensitive characteristics or claim private knowledge of the person seeing an ad.</w:t>
      </w:r>
    </w:p>
    <w:p>
      <w:pPr>
        <w:spacing w:after="80" w:line="250" w:lineRule="auto"/>
      </w:pPr>
      <w:r>
        <w:t>Creative records include source files, copy, format/aspect variants, subtitles, safe placement areas, thumbnail, destination, rights, expiry, approval and experiment tags. Preview actual mobile placements and the Facebook/Instagram in-app browser path. Avoid text clipped by interface overlays, unreadable disclaimers, deceptive buttons, fake testimonials and exaggerated outcomes. Review automated creative transformations before or during controlled activation under the provider's available workflow.</w:t>
      </w:r>
    </w:p>
    <w:p>
      <w:pPr>
        <w:pStyle w:val="Heading2"/>
        <w:spacing w:before="200" w:after="100"/>
      </w:pPr>
      <w:r>
        <w:t>52.3 Website, native-lead and messaging destinations</w:t>
      </w:r>
    </w:p>
    <w:p>
      <w:pPr>
        <w:spacing w:after="80" w:line="250" w:lineRule="auto"/>
      </w:pPr>
      <w:r>
        <w:t>Website campaigns use fast, accurate landing pages and the same authoritative form/lead service as other sources. Preserve eligible campaign identifiers through redirects and the complete website journey. Do not copy raw ad macros into public content or treat query parameters as permission to change pricing.</w:t>
      </w:r>
    </w:p>
    <w:p>
      <w:pPr>
        <w:spacing w:after="80" w:line="250" w:lineRule="auto"/>
      </w:pPr>
      <w:r>
        <w:t>Native lead forms require their own approved field map, privacy notice, lead-access permissions, verified retrieval/webhook process, retention policy, duplicate handling and CRM assignment. A retrieved platform lead is not proof the person visited the website. Record source_channel=provider_lead_form, provider lead/form/campaign identifiers, capture time, disclosed purpose and verification state without fabricating website telemetry.</w:t>
      </w:r>
    </w:p>
    <w:p>
      <w:pPr>
        <w:spacing w:after="80" w:line="250" w:lineRule="auto"/>
      </w:pPr>
      <w:r>
        <w:t>Click-to-message campaigns require an actual channel integration, staffing and permitted response workflow. A messaging click, a first inbound message, a conversation, a captured enquiry and a qualified lead are separate milestones. Chapter 48 controls cross-channel identity and suppression; a click-to-chat destination must not silently enroll the contact into unrelated promotional messaging.</w:t>
      </w:r>
    </w:p>
    <w:p>
      <w:pPr>
        <w:pStyle w:val="Heading2"/>
        <w:spacing w:before="200" w:after="100"/>
      </w:pPr>
      <w:r>
        <w:t>52.4 Pixel and CAPI event architecture</w:t>
      </w:r>
    </w:p>
    <w:p>
      <w:pPr>
        <w:spacing w:after="80" w:line="250" w:lineRule="auto"/>
      </w:pPr>
      <w:r>
        <w:t>Maintain one approved owner for each browser event. Use Chapter 14's safe event catalogue, Chapter 16's authoritative business events and Chapter 37's chatbot capture transaction. Page views, content views, lead acceptance, registration and purchase have distinct meanings. Event names and content identifiers must not disclose prohibited or sensitive context.</w:t>
      </w:r>
    </w:p>
    <w:p>
      <w:pPr>
        <w:spacing w:after="80" w:line="250" w:lineRule="auto"/>
      </w:pPr>
      <w:r>
        <w:t xml:space="preserve">For the same permitted business action represented by browser and server, reuse the stored event identity and agreed event name under the current Pixel/CAPI deduplication contract. The server returns that identity only after commit. Retries preserve it; independent later lifecycle events get independent identities. The exact browser/server parameter names and supported windows must be validated in current official documentation and account diagnostics, not guessed from this internal schema. </w:t>
      </w:r>
      <w:hyperlink w:anchor="ref_R19" w:history="1">
        <w:r>
          <w:rPr>
            <w:color w:val="087F83"/>
            <w:b/>
          </w:rPr>
          <w:t>[R19]</w:t>
        </w:r>
      </w:hyperlink>
    </w:p>
    <w:p>
      <w:pPr>
        <w:spacing w:after="80" w:line="250" w:lineRule="auto"/>
      </w:pPr>
      <w:r>
        <w:t>The server adapter validates action source, original time, safe source URL, eligible matching data and relevant value/currency. Use authentic click/cookie-derived identifiers only where allowed. Never invent a missing fbclid or treat a backend/provider IP as the visitor's address. Raw IP/user-agent, where a destination permits and a lawful purpose justifies matching, require a restricted adapter; they do not belong in generic analytics or model context. Hash only fields for which the provider contract requires it.</w:t>
      </w:r>
    </w:p>
    <w:p>
      <w:pPr>
        <w:pStyle w:val="Heading2"/>
        <w:spacing w:before="200" w:after="100"/>
      </w:pPr>
      <w:r>
        <w:t>52.5 Data minimization, matching quality and diagnostics</w:t>
      </w:r>
    </w:p>
    <w:p>
      <w:pPr>
        <w:spacing w:after="80" w:line="250" w:lineRule="auto"/>
      </w:pPr>
      <w:r>
        <w:t xml:space="preserve">A matching-quality indicator is a diagnostic signal, not an instruction to collect unlimited customer details. Do not sacrifice consent, data minimization or sensitive-business restrictions to maximize a score. Field eligibility is evaluated at collection and again at dispatch. Full form answers, transcript text, exact coordinates, health/financial details and private portal URLs must not leak through custom data, event names or source URLs. </w:t>
      </w:r>
      <w:hyperlink w:anchor="ref_R20" w:history="1">
        <w:r>
          <w:rPr>
            <w:color w:val="087F83"/>
            <w:b/>
          </w:rPr>
          <w:t>[R20]</w:t>
        </w:r>
      </w:hyperlink>
    </w:p>
    <w:p>
      <w:pPr>
        <w:spacing w:after="80" w:line="250" w:lineRule="auto"/>
      </w:pPr>
      <w:r>
        <w:t>Build a reconciliation view: committed business outcomes → policy-eligible events → queued → attempted → accepted/rejected → diagnostic match status where available → platform-attributed results. Explain differences rather than force equality. Store safe error codes and original identities for replay; retries cannot bypass later withdrawal, expiry or correction.</w:t>
      </w:r>
    </w:p>
    <w:p>
      <w:pPr>
        <w:spacing w:after="80" w:line="250" w:lineRule="auto"/>
      </w:pPr>
      <w:r>
        <w:t>Use test modes/Events Manager and network inspection for browser-only, server-only, duplicated, delayed, consent-refused and blocker-affected scenarios. Event Match Quality, deduplication feedback and attributed reporting may not appear instantly or identically for every source. Show pending/unknown where evidence is not yet available; do not manufacture success badges.</w:t>
      </w:r>
    </w:p>
    <w:p>
      <w:pPr>
        <w:pStyle w:val="Heading2"/>
        <w:spacing w:before="200" w:after="100"/>
      </w:pPr>
      <w:r>
        <w:t>52.6 Optimization, experiments and operating controls</w:t>
      </w:r>
    </w:p>
    <w:p>
      <w:pPr>
        <w:spacing w:after="80" w:line="250" w:lineRule="auto"/>
      </w:pPr>
      <w:r>
        <w:t>Select optimization events that reflect genuine value and adequate available feedback. Keep micro-engagement separate from leads and sales. Define qualified-lead feedback using actual CRM evidence and a currently supported destination/optimization mapping. Do not assume that sending a custom event makes it immediately eligible for every bidding feature.</w:t>
      </w:r>
    </w:p>
    <w:p>
      <w:pPr>
        <w:spacing w:after="80" w:line="250" w:lineRule="auto"/>
      </w:pPr>
      <w:r>
        <w:t>Review creative fatigue, audience overlap, conversion quality, lead response time, placement/destination issues and refund/cancellation outcomes. Use supported campaign experiments or lift studies where eligible, with appropriate analysis. Website A/B assignment must not be confounded with separate campaign audiences. Avoid declaring success from a small apparent uplift or automatically escalating spending without an approved budget decision.</w:t>
      </w:r>
    </w:p>
    <w:p>
      <w:pPr>
        <w:spacing w:after="80" w:line="250" w:lineRule="auto"/>
      </w:pPr>
      <w:r>
        <w:t>Maintain account-quality/disapproval escalation, billing alerts, credential rotation, API deprecation tracking and an emergency stop procedure. Automated campaign writes are a separately authorized module with validation, audit and confirmation of remote state. Do not evade policy enforcement by cycling accounts, domains or identities.</w:t>
      </w:r>
    </w:p>
    <w:p>
      <w:pPr>
        <w:pStyle w:val="Heading2"/>
        <w:spacing w:before="200" w:after="100"/>
      </w:pPr>
      <w:r>
        <w:t>52.7 Meta release evidence</w:t>
      </w:r>
    </w:p>
    <w:p>
      <w:pPr>
        <w:spacing w:after="80" w:line="250" w:lineRule="auto"/>
      </w:pPr>
      <w:r>
        <w:t>Require a current asset/permission register, approved policy category, tested website/native-form/messaging destination, reviewed event field map, authenticated deduplication evidence, consent and sensitive-data tests, CRM outcome reconciliation and a reporting backfill/incremental-sync test. Account-level uncertainty remains Blocked until checked; it must not be labeled Passed because the general plan is complete.</w:t>
      </w:r>
    </w:p>
    <w:p>
      <w:pPr>
        <w:pStyle w:val="SmallNote"/>
        <w:spacing w:before="120" w:after="80" w:line="250" w:lineRule="auto"/>
      </w:pPr>
      <w:r>
        <w:t>Final edition integration: Chapter 68 supplies creative/delivery operations and Chapter 69 enforces final serialized payload boundaries.</w:t>
      </w:r>
    </w:p>
    <w:p>
      <w:pPr>
        <w:pStyle w:val="Heading1"/>
        <w:pageBreakBefore/>
      </w:pPr>
      <w:bookmarkStart w:id="312" w:name="v12_ch53"/>
      <w:r>
        <w:t>53 | Audience lifecycle, remarketing and paid-media control boundaries</w:t>
      </w:r>
      <w:bookmarkEnd w:id="312"/>
      <w:bookmarkStart w:id="603" w:name="tocfinal_ch_53"/>
      <w:bookmarkEnd w:id="603"/>
    </w:p>
    <w:p>
      <w:pPr>
        <w:pStyle w:val="Heading2"/>
      </w:pPr>
      <w:r>
        <w:t>53.1 Audience purpose and eligibility</w:t>
      </w:r>
    </w:p>
    <w:p>
      <w:pPr/>
      <w:r>
        <w:t xml:space="preserve">Implement an owner-operated audience catalogue with owner, purpose, internal segment version, provider/account, audience type, entry/exit conditions, membership duration, exclusions, refresh frequency and retention. Website-visitor audiences, first-party customer lists and provider-generated audience products have different eligibility and control models. Google documents website-segment creation and Customer Match policies separately; respect the actual supported product and personalized-ad restrictions. </w:t>
      </w:r>
      <w:hyperlink w:anchor="ref_R70" w:history="1">
        <w:r>
          <w:rPr>
            <w:color w:val="087F83"/>
            <w:b/>
          </w:rPr>
          <w:t>[R70]</w:t>
        </w:r>
      </w:hyperlink>
      <w:r>
        <w:t xml:space="preserve"> </w:t>
      </w:r>
      <w:hyperlink w:anchor="ref_R68" w:history="1">
        <w:r>
          <w:rPr>
            <w:color w:val="087F83"/>
            <w:b/>
          </w:rPr>
          <w:t>[R68]</w:t>
        </w:r>
      </w:hyperlink>
      <w:r>
        <w:t xml:space="preserve"> </w:t>
      </w:r>
      <w:hyperlink w:anchor="ref_R69" w:history="1">
        <w:r>
          <w:rPr>
            <w:color w:val="087F83"/>
            <w:b/>
          </w:rPr>
          <w:t>[R69]</w:t>
        </w:r>
      </w:hyperlink>
    </w:p>
    <w:p>
      <w:pPr/>
      <w:r>
        <w:t>Do not upload every lead by default. A contact record is not universal permission for advertising. Sensitive categories, minors, restricted industries and unsuitable destinations require explicit exclusion or a specific reviewed legal/provider basis. Use the minimum allowed fields and restrict raw matching identifiers to the destination adapter. Hashing does not make a customer list anonymous.</w:t>
      </w:r>
    </w:p>
    <w:p>
      <w:pPr>
        <w:pStyle w:val="Heading2"/>
      </w:pPr>
      <w:r>
        <w:t>53.2 Membership and exclusion state machine</w:t>
      </w:r>
    </w:p>
    <w:p>
      <w:pPr/>
      <w:r>
        <w:t>Compute candidate membership from a versioned approved segment, then evaluate purpose/consent, region/business restrictions, retention, suppression, account capability and destination policy. Keep internal candidates, eligible records, submitted records, accepted records and provider match/size information separate. A platform may not reveal person-level matching or exact real-time membership; show the evidence actually available.</w:t>
      </w:r>
    </w:p>
    <w:p>
      <w:pPr/>
      <w:r>
        <w:t>Maintain pending_add, active_or_submitted, pending_remove, removed_or_confirmed, suppressed, expired and failed states as appropriate to the provider. Use idempotent batch manifests and retain minimal receipt metadata. Opt-out, deletion, purchase, loss of entitlement or a changed segment may remove eligibility; prioritize removal and exclusion operations. Recheck eligibility before sending each batch so delayed jobs cannot recreate revoked membership.</w:t>
      </w:r>
    </w:p>
    <w:p>
      <w:pPr/>
      <w:r>
        <w:t>The owner can pause updates, retire an audience and inspect safe membership explanations. Audience deletion, record removal and campaign exclusion are different operations. Confirm which operation is supported and whether it stops future targeting; do not promise that an API request instantly reverses earlier ad delivery.</w:t>
      </w:r>
    </w:p>
    <w:p>
      <w:pPr>
        <w:pStyle w:val="Heading2"/>
      </w:pPr>
      <w:r>
        <w:t>53.3 Exclusions and measurement</w:t>
      </w:r>
    </w:p>
    <w:p>
      <w:pPr/>
      <w:r>
        <w:t>Use declared campaign rules to exclude existing customers from acquisition campaigns, remove recent converters from a relevant follow-up sequence or avoid repeated contact where appropriate. Exclusions must be defined against real business state, not just a browser purchase button. Record the limits of account-level exclusion behavior and any automatic expansion settings.</w:t>
      </w:r>
    </w:p>
    <w:p>
      <w:pPr/>
      <w:r>
        <w:t>Evaluate remarketing separately from prospecting and retention. A person who returns through a remarketing ad might have converted without it; attributed revenue is not proof of incremental impact. Where volume and eligibility permit, use holdouts or platform lift studies with reviewed methodology. Do not add audience-level reach estimates to website unique-person totals.</w:t>
      </w:r>
    </w:p>
    <w:p>
      <w:pPr>
        <w:pStyle w:val="Heading2"/>
      </w:pPr>
      <w:r>
        <w:t>53.4 Paid-media console: three independent permission levels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Level</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Allowed scope</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Additional safeguards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Reporting</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Read campaign/account performance and diagnostics.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Read-only credentials, pagination/backfill, freshness, quotas and aggregate-data boundaries.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Measurement/audience delivery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Send approved conversions or eligible audience changes.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Destination field map, policy gate, deduplication, receipts, deletion/suppression and audit.</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Campaign management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Create/edit/pause campaigns, budgets, creatives and targeting where supported.</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Explicit spending authority, reviewed changes, bounded budgets, preflight, remote-state confirmation and rollback plan.</w:t>
            </w:r>
          </w:p>
        </w:tc>
      </w:tr>
    </w:tbl>
    <w:p>
      <w:pPr>
        <w:spacing w:after="60"/>
      </w:pPr>
    </w:p>
    <w:p>
      <w:pPr/>
      <w:r>
        <w:t>Building campaign management is not a prerequisite for website readiness. The comprehensive catalogue includes its requirements, but the site brief must explicitly activate external writes. Providers can approve, reject or modify settings asynchronously; maintain proposed, submitted, remote_pending, applied, rejected and uncertain states. A green local Save button must not imply a remote campaign changed.</w:t>
      </w:r>
    </w:p>
    <w:p>
      <w:pPr>
        <w:pStyle w:val="Heading2"/>
      </w:pPr>
      <w:r>
        <w:t>53.5 Backend and operational contract</w:t>
      </w:r>
    </w:p>
    <w:p>
      <w:pPr/>
      <w:r>
        <w:t>Use provider-neutral internal IDs with external mappings. Add audience_definitions, audience_membership_actions, sync_batches, provider_receipts, campaign_change_requests and remote_state_snapshots. Store credentials only by reference. Apply tenant/account scoping, permission review, retry budgets and dead-letter handling. Never run arbitrary API calls assembled from a CMS text field.</w:t>
      </w:r>
    </w:p>
    <w:p>
      <w:pPr/>
      <w:r>
        <w:t>Disconnect revokes future access where supported, stops queued writes and initiates an approved data-removal workflow. Export definitions and mappings without secrets. Test unsupported audience types, under-threshold/unknown sizes, permission loss, rate limits, partial batches, duplicate retries and withdrawal during synchronization. Unconfirmed removals create an operational task, not a false completion claim.</w:t>
      </w:r>
    </w:p>
    <w:p>
      <w:pPr>
        <w:pStyle w:val="Heading1"/>
        <w:pageBreakBefore/>
      </w:pPr>
      <w:bookmarkStart w:id="313" w:name="v12_ch54"/>
      <w:r>
        <w:t>54 | Product catalogues, feeds and transaction growth</w:t>
      </w:r>
      <w:bookmarkEnd w:id="313"/>
      <w:bookmarkStart w:id="604" w:name="tocfinal_ch_54"/>
      <w:bookmarkEnd w:id="604"/>
    </w:p>
    <w:p>
      <w:pPr>
        <w:pStyle w:val="Heading2"/>
      </w:pPr>
      <w:r>
        <w:t>54.1 One catalogue with channel-specific projections</w:t>
      </w:r>
    </w:p>
    <w:p>
      <w:pPr/>
      <w:r>
        <w:t>An activated commerce site uses authoritative product/variant, price, tax, stock and fulfillment records. Marketing pages, structured data, Google Merchant feeds, Meta catalogues and the chatbot read approved projections of the same business state. Do not maintain conflicting manual prices in several systems. Record channel-specific eligibility, labels and excluded items without changing the source product's identity.</w:t>
      </w:r>
    </w:p>
    <w:p>
      <w:pPr/>
      <w:r>
        <w:t xml:space="preserve">The catalogue includes stable product/variant IDs, titles, descriptions, brand/identifiers where legitimately available, attributes, images, accessibility text, categories, prices/currency, availability, destination URLs, shipping/returns references, locale and revision. Never invent GTINs, ratings or availability to satisfy a feed. Google Merchant Center's product-data specification defines field requirements and supported attributes; validate against the actual destination and product type. </w:t>
      </w:r>
      <w:hyperlink w:anchor="ref_R81" w:history="1">
        <w:r>
          <w:rPr>
            <w:color w:val="087F83"/>
            <w:b/>
          </w:rPr>
          <w:t>[R81]</w:t>
        </w:r>
      </w:hyperlink>
    </w:p>
    <w:p>
      <w:pPr>
        <w:pStyle w:val="Heading2"/>
      </w:pPr>
      <w:r>
        <w:t>54.2 Feed generation and diagnostics</w:t>
      </w:r>
    </w:p>
    <w:p>
      <w:pPr/>
      <w:r>
        <w:t>Generate versioned feed snapshots or supported API updates through adapters. Validate required fields, image fetchability, URL status, price/availability consistency, language/currency and destinations before dispatch. Record submitted, accepted, warning, disapproved and unavailable states by item. Preserve error details safely and show actionable owner guidance.</w:t>
      </w:r>
    </w:p>
    <w:p>
      <w:pPr/>
      <w:r>
        <w:t xml:space="preserve">Use Google's current Merchant API migration guidance when selecting a new implementation rather than assuming an old Content API example remains appropriate. Confirm current versions, authentication and destination capabilities during development. Meta catalogue field requirements and account eligibility require current authenticated verification. </w:t>
      </w:r>
      <w:hyperlink w:anchor="ref_R82" w:history="1">
        <w:r>
          <w:rPr>
            <w:color w:val="087F83"/>
            <w:b/>
          </w:rPr>
          <w:t>[R82]</w:t>
        </w:r>
      </w:hyperlink>
    </w:p>
    <w:p>
      <w:pPr/>
      <w:r>
        <w:t>Use incremental changes plus periodic full reconciliation. A missing item in a partial update must not accidentally erase the full catalogue. Deactivated products require deliberate destination removal/availability state and customer-facing handling. Track freshness; pause or suppress unsafe stale items according to approved rules. A feed upload accepted by an API is not proof an item is approved for advertising.</w:t>
      </w:r>
    </w:p>
    <w:p>
      <w:pPr>
        <w:pStyle w:val="Heading2"/>
      </w:pPr>
      <w:r>
        <w:t>54.3 Transaction lifecycle and merchandising</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Capability</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End-to-end requirements</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Product discovery</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Category/search/filter/sort, accessible variants, comparison or wishlists when selected, truthful availability and related products.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Cart/checkout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Server-priced lines, discounts, taxes/fees, shipping options, guest/account policy, validation, supported payment and retry-safe confirmation.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Inventory/fulfillment</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Stock reservation, concurrency, oversell policy, warehouse/provider status, shipment tracking and partial fulfillment.</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Returns/refunds</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Eligibility, request, approval, receipt where required, partial/full refund, stock/access changes, provider reconciliation and customer communication.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Subscriptions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Trial/activation, renewal, failed payment, grace period, changes/proration, cancellation, entitlements and reconciliation.</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Promotions</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Valid dates, inventory/budget caps, eligibility, stacking, redemption limits, terms and abuse controls.</w:t>
            </w:r>
          </w:p>
        </w:tc>
      </w:tr>
    </w:tbl>
    <w:p>
      <w:pPr>
        <w:spacing w:after="60"/>
      </w:pPr>
    </w:p>
    <w:p>
      <w:pPr/>
      <w:r>
        <w:t>Upsells, bundles, coupons, gift cards, store credit, loyalty and referrals are separately activated features with accounting and fraud rules. Do not add preselected paid extras, deceptive scarcity or cancellation obstacles. Guest checkout and account creation are business decisions; payment success must not depend on optional marketing consent.</w:t>
      </w:r>
    </w:p>
    <w:p>
      <w:pPr>
        <w:pStyle w:val="Heading2"/>
      </w:pPr>
      <w:r>
        <w:t>54.4 Payment security and consumer obligations</w:t>
      </w:r>
    </w:p>
    <w:p>
      <w:pPr/>
      <w:r>
        <w:t xml:space="preserve">Use supported hosted/tokenized payment flows and determine the real compliance scope with the acquirer/provider and qualified reviewer. PCI guidance addresses authorization, integrity and change monitoring of payment-page scripts and security-impacting headers; outsourcing collection does not justify ignoring the website's applicable responsibilities. </w:t>
      </w:r>
      <w:hyperlink w:anchor="ref_R95" w:history="1">
        <w:r>
          <w:rPr>
            <w:color w:val="087F83"/>
            <w:b/>
          </w:rPr>
          <w:t>[R95]</w:t>
        </w:r>
      </w:hyperlink>
    </w:p>
    <w:p>
      <w:pPr/>
      <w:r>
        <w:t>Never store card security codes or raw payment credentials. Verify signed provider events and trusted server status, amount, currency and order association. Handle duplicate/out-of-order webhooks, disputed payments, partial captures, refunds and abandoned redirects. A browser thank-you URL is not payment proof. Keep a ledger of immutable financial facts and subsequent adjustments.</w:t>
      </w:r>
    </w:p>
    <w:p>
      <w:pPr/>
      <w:r>
        <w:t>Display material prices, fees, tax treatment, shipping/service restrictions, return/cancellation terms and customer support before commitment. Regional taxes, invoices, electronic receipts, recurring-payment disclosures and consumer rules require an activated jurisdictional checklist. The blueprint is not a universal tax/legal opinion.</w:t>
      </w:r>
    </w:p>
    <w:p>
      <w:pPr>
        <w:pStyle w:val="Heading2"/>
      </w:pPr>
      <w:r>
        <w:t>54.5 Measurement, recovery and acceptance</w:t>
      </w:r>
    </w:p>
    <w:p>
      <w:pPr/>
      <w:r>
        <w:t>Emit trusted commerce events only at defined lifecycle transitions. Separate gross revenue, net revenue, tax, shipping, refunds and realized margin. Product-content IDs must map correctly to destination catalogue IDs. Abandoned-cart recovery uses Chapter 45's eligible contact workflow, not hidden keystroke capture; stock changes and completed purchases cancel inappropriate reminders.</w:t>
      </w:r>
    </w:p>
    <w:p>
      <w:pPr/>
      <w:r>
        <w:t>Test price manipulation, concurrent stock purchases, delayed payment after hold expiry, duplicate webhooks, partial refunds, feed mismatch, unavailable products and canceled subscriptions. Reconcile order/payment/settlement records and ad corrections under supported APIs. The owner must be able to update a product, inspect a disapproved feed item, fulfill an order and process a permitted refund with complete audit history.</w:t>
      </w:r>
    </w:p>
    <w:p>
      <w:pPr>
        <w:pStyle w:val="SmallNote"/>
        <w:spacing w:before="120"/>
      </w:pPr>
      <w:r>
        <w:t>Final edition integration: Preserve provider-required generated-media provenance and labeled data through feed transformations under Chapter 66.4.</w:t>
      </w:r>
    </w:p>
    <w:p>
      <w:pPr>
        <w:pStyle w:val="Heading1"/>
        <w:pageBreakBefore/>
      </w:pPr>
      <w:bookmarkStart w:id="314" w:name="v12_ch55"/>
      <w:r>
        <w:t>55 | Reporting, warehouse, attribution and incrementality</w:t>
      </w:r>
      <w:bookmarkEnd w:id="314"/>
      <w:bookmarkStart w:id="605" w:name="tocfinal_ch_55"/>
      <w:bookmarkEnd w:id="605"/>
    </w:p>
    <w:p>
      <w:pPr>
        <w:pStyle w:val="Heading2"/>
      </w:pPr>
      <w:r>
        <w:t>55.1 Metric dictionary and source-of-truth model</w:t>
      </w:r>
    </w:p>
    <w:p>
      <w:pPr/>
      <w:r>
        <w:t>Define every reported metric with owner, grain, numerator/denominator, filters, timezone, currency, attribution model, window, latency, source and correction policy. Keep events, sessions, permitted browser identities, leads, customers and orders distinct. “Unique visitors” is not a census of people. Consent-refused or blocked activity is not silently classified as direct traffic.</w:t>
      </w:r>
    </w:p>
    <w:p>
      <w:pPr/>
      <w:r>
        <w:t>Authoritative operational facts come from PostgreSQL/CRM/payment records. GA4 provides its supported behavioral/reporting view; ad accounts provide attributed performance and spend; Search Console provides search visibility data. Use reconciliation categories, not invented events, to explain differences. A count of accepted API requests does not establish matched or attributed conversions.</w:t>
      </w:r>
    </w:p>
    <w:p>
      <w:pPr>
        <w:pStyle w:val="Heading2"/>
      </w:pPr>
      <w:r>
        <w:t>55.2 Read connectors and analytical storage</w:t>
      </w:r>
    </w:p>
    <w:p>
      <w:pPr/>
      <w:r>
        <w:t>Implement read-only connectors with actual account permissions, backfill cursors, incremental refresh, lookback restatement for late data, pagination, rate budgets, schema/version validation and freshness. Keep extraction time, source settings and original currency/timezone. Do not double count totals by summing overlapping breakdowns or multiple attribution reports.</w:t>
      </w:r>
    </w:p>
    <w:p>
      <w:pPr/>
      <w:r>
        <w:t xml:space="preserve">Use a separate analytical workload when reporting threatens transactional performance. Maintain raw approved source snapshots, validated normalized tables and curated metric views with lineage. BigQuery export is an optional GA4 integration; export data and UI reports can differ, and enabling export must not be represented as a guaranteed complete historical backfill. Validate the selected property's actual behavior and limits. </w:t>
      </w:r>
      <w:hyperlink w:anchor="ref_R89" w:history="1">
        <w:r>
          <w:rPr>
            <w:color w:val="087F83"/>
            <w:b/>
          </w:rPr>
          <w:t>[R89]</w:t>
        </w:r>
      </w:hyperlink>
    </w:p>
    <w:p>
      <w:pPr/>
      <w:r>
        <w:t>Warehouse imports follow the same privacy schedules, site isolation and deletion/hold rules as source data. Use restricted analyst roles, query budgets and export controls. Pseudonymous event data is not automatically anonymous. Do not join aggregate ad reach to named visitors as if the provider supplied individual impressions.</w:t>
      </w:r>
    </w:p>
    <w:p>
      <w:pPr>
        <w:pStyle w:val="Heading2"/>
      </w:pPr>
      <w:r>
        <w:t>55.3 Attribution views and conversion corrections</w:t>
      </w:r>
    </w:p>
    <w:p>
      <w:pPr/>
      <w:r>
        <w:t>Offer clearly named first-eligible-touch, last-touch, last-non-direct or other approved internal views, with a frozen conversion-time snapshot and versioned logic. Keep platform attribution alongside, not blended into an unexplained single number. Respect lookback and eligibility; do not replay unconsented earlier visits when a person later supplies an email.</w:t>
      </w:r>
    </w:p>
    <w:p>
      <w:pPr/>
      <w:r>
        <w:t>Maintain observed source, user-declared source and inferred attribution as separate fields. A person returning from a payment processor should not become a new acquisition source under an approved referral policy. Cross-domain journeys require the controlled transfer/linker design, not PII in URLs.</w:t>
      </w:r>
    </w:p>
    <w:p>
      <w:pPr/>
      <w:r>
        <w:t>Refunds, cancellation, disqualification and duplicate-case corrections produce auditable adjustments. Recompute affected internal metrics through a versioned process and use supported external adjustments where available. Preserve a report revision or freshness note when late data changes a past period. Avoid silently rewriting exported board or financial reports without a correction trail.</w:t>
      </w:r>
    </w:p>
    <w:p>
      <w:pPr>
        <w:pStyle w:val="Heading2"/>
      </w:pPr>
      <w:r>
        <w:t>55.4 Dashboards and reporting delivery</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View</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decisions and context</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Executive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Valid outcomes, cost, realized value, qualification and response times, risks, freshness and unknown coverage.</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Acquisition</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Source/campaign/landing-page performance, spend, conversion quality, attribution assumptions and lag.</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Content/SEO</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Search visibility, indexing, useful engagement, content-assisted outcomes, quality backlog and review dates.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CRM/support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Assignment, response SLA, stages, lost/spam reasons, handoff and channel delivery.</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Experiments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Assignment/exposure/outcome counts, uncertainty, guardrails, invalid/inconclusive status and decisions.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Operations/privacy</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Collection eligibility, rejected fields, queue lag, connector health, rights tasks, audit integrity and recovery.</w:t>
            </w:r>
          </w:p>
        </w:tc>
      </w:tr>
    </w:tbl>
    <w:p>
      <w:pPr>
        <w:spacing w:after="60"/>
      </w:pPr>
    </w:p>
    <w:p>
      <w:pPr/>
      <w:r>
        <w:t>Provide saved views, role-based filters and approved scheduled reports. Exports need permission, expiry and CSV/formula injection safety. Email/report notifications contain safe summaries and authenticated links, not full lead lists or precise locations. A missing source displays unavailable/stale, never an unexplained zero.</w:t>
      </w:r>
    </w:p>
    <w:p>
      <w:pPr>
        <w:pStyle w:val="Heading2"/>
      </w:pPr>
      <w:r>
        <w:t>55.5 Incrementality and advanced analysis</w:t>
      </w:r>
    </w:p>
    <w:p>
      <w:pPr/>
      <w:r>
        <w:t>Attribution allocates credit; incrementality asks what changed because of an intervention. Use randomized holdouts, credible campaign experiments or appropriately designed geographic studies when feasible. Predeclare outcomes, sample requirements, comparison groups, duration, guardrails and contamination risks. Do not call an observational before/after chart a causal result.</w:t>
      </w:r>
    </w:p>
    <w:p>
      <w:pPr/>
      <w:r>
        <w:t>Marketing-mix modeling and lifetime-value prediction are conditional analytical modules, not prerequisites for a small website. They need adequate historical variation, trustworthy inputs, seasonality/lag assumptions, uncertainty evaluation and specialist review. Model estimates must not overwrite actual invoices or be presented as guaranteed future revenue. Low-volume sites should prioritize customer research and reliable core measurement.</w:t>
      </w:r>
    </w:p>
    <w:p>
      <w:pPr>
        <w:pStyle w:val="Heading2"/>
      </w:pPr>
      <w:r>
        <w:t>55.6 Data-quality acceptance</w:t>
      </w:r>
    </w:p>
    <w:p>
      <w:pPr/>
      <w:r>
        <w:t>Test duplicate facts, late-arriving events, daylight-saving boundaries, multiple currencies, empty cohorts, refunded orders, connector outages, deleted identities and permission-filtered exports. Maintain reconciliation assertions at each stage and alert on structural breaks. The owner can inspect a reported metric's definition, source freshness and drill-down to authorized evidence without exposing unrelated personal data.</w:t>
      </w:r>
    </w:p>
    <w:p>
      <w:pPr>
        <w:pStyle w:val="Heading1"/>
        <w:pageBreakBefore/>
      </w:pPr>
      <w:bookmarkStart w:id="315" w:name="v12_ch56"/>
      <w:r>
        <w:t>56 | Conversion optimization, research and interactive growth tools</w:t>
      </w:r>
      <w:bookmarkEnd w:id="315"/>
      <w:bookmarkStart w:id="606" w:name="tocfinal_ch_56"/>
      <w:bookmarkEnd w:id="606"/>
    </w:p>
    <w:p>
      <w:pPr>
        <w:pStyle w:val="Heading2"/>
      </w:pPr>
      <w:r>
        <w:t>56.1 Beyond installing an A/B testing tool</w:t>
      </w:r>
    </w:p>
    <w:p>
      <w:pPr/>
      <w:r>
        <w:t>Operate a conversion-improvement backlog based on customer tasks, usability research, form errors, performance, permitted journey data and actual lead quality. Prioritize by impact hypothesis, confidence, effort, risk and required evidence. A/B testing in Chapter 34 is one method; it is not appropriate to force statistical winner claims where traffic is insufficient.</w:t>
      </w:r>
    </w:p>
    <w:p>
      <w:pPr/>
      <w:r>
        <w:t>Each proposed change identifies the audience, obstacle, intended mechanism, affected pages, primary outcome, guardrails, privacy effect, measurement and rollback. Observe whether the complete journey improves, not only button clicks. Keep price/terms and staff capacity consistent with the offer being tested.</w:t>
      </w:r>
    </w:p>
    <w:p>
      <w:pPr>
        <w:pStyle w:val="Heading2"/>
      </w:pPr>
      <w:r>
        <w:t>56.2 Research, surveys and feedback</w:t>
      </w:r>
    </w:p>
    <w:p>
      <w:pPr/>
      <w:r>
        <w:t>Support approved onsite feedback, exit-intent questions, post-conversion surveys and customer interviews with clear purpose, optional participation and bounded frequency. Do not request sensitive free text unnecessarily. Protect responses as business/research data, not generic analytics dimensions. Allow staff to code themes without publishing customer identities.</w:t>
      </w:r>
    </w:p>
    <w:p>
      <w:pPr/>
      <w:r>
        <w:t>Use accessible tasks and representative devices, including assistive technology and slow networks. Record recruitment constraints and the limits of a small sample. Heatmaps/replay remain separately consented and masked; excluding private and sensitive pages is more reliable than assuming a recording tool masks everything correctly. Do not expose transcripts, form values or account pages in replay.</w:t>
      </w:r>
    </w:p>
    <w:p>
      <w:pPr>
        <w:pStyle w:val="Heading2"/>
      </w:pPr>
      <w:r>
        <w:t>56.3 Forms and lead magnets</w:t>
      </w:r>
    </w:p>
    <w:p>
      <w:pPr/>
      <w:r>
        <w:t>Provide concise forms, clear labels, inline validation, accessible errors, appropriate autofill, progress and useful confirmation. Conditional/multi-step forms need versioned branching and server validation at final submission. An optional save-and-resume flow uses explicit customer intent, protected draft storage, expiry and a secure resumption mechanism; it is not permission to silently collect abandoned keystrokes.</w:t>
      </w:r>
    </w:p>
    <w:p>
      <w:pPr/>
      <w:r>
        <w:t>Resources can be public, explicitly form-gated, account-protected or paid. State what is received and whether follow-up is optional. A download click, authorized delivery and completed reading are different. Do not gate required pricing, legal terms or safety information merely to increase lead count. Expired resource links need a useful renewal/contact path without exposing private access tokens.</w:t>
      </w:r>
    </w:p>
    <w:p>
      <w:pPr>
        <w:pStyle w:val="Heading2"/>
      </w:pPr>
      <w:r>
        <w:t>56.4 Calculators, quizzes, configurators and offer widgets</w:t>
      </w:r>
    </w:p>
    <w:p>
      <w:pPr/>
      <w:r>
        <w:t>For activated interactive tools, specify input units/ranges, business formula, result meaning, version, assumptions, rounding, error states and accessible alternatives. Compute authoritative prices or eligibility on the server. Label estimates as estimates and avoid invented financial, medical or academic guarantees. Test extreme values, missing inputs, localization and stale configuration.</w:t>
      </w:r>
    </w:p>
    <w:p>
      <w:pPr/>
      <w:r>
        <w:t>Quizzes need an approved question/branch/result model, optional contact capture and a clear distinction between a recommendation and verified eligibility. Do not infer protected traits or silently enroll respondents into advertising audiences. Personalization and chatbot suggestions reference the same approved offer/knowledge sources. A generated summary remains a draft where a staff decision is required.</w:t>
      </w:r>
    </w:p>
    <w:p>
      <w:pPr/>
      <w:r>
        <w:t>Popups, announcement bars, sticky CTAs, coupons and referral invitations use frequency limits, keyboard access, unobstructed content, honest close controls and appropriate mobile behavior. No deceptive countdowns, fake activity notifications, forced permission prompts or back-button traps. Define conflicts among multiple widgets so the consent panel, chat, form and promotion do not cover one another.</w:t>
      </w:r>
    </w:p>
    <w:p>
      <w:pPr>
        <w:pStyle w:val="Heading2"/>
      </w:pPr>
      <w:r>
        <w:t>56.5 Experiment interaction and deployment</w:t>
      </w:r>
    </w:p>
    <w:p>
      <w:pPr/>
      <w:r>
        <w:t>Maintain an experiment/feature-conflict registry. A change to the same form, offer or CTA may invalidate a running experiment; owners see the conflict before publication. Preserve stable action IDs and pinned revisions. Accessibility, performance, spam rates, complaints and qualification are guardrails, not optional afterthoughts.</w:t>
      </w:r>
    </w:p>
    <w:p>
      <w:pPr/>
      <w:r>
        <w:t>A winning variant is promoted through the normal reviewed CMS release, not copied into production outside version history. A harmful or invalid test can be paused immediately. Store the analysis and decision even when results are inconclusive. Customer obligations created during a test remain valid after rollback.</w:t>
      </w:r>
    </w:p>
    <w:p>
      <w:pPr>
        <w:pStyle w:val="Heading2"/>
      </w:pPr>
      <w:r>
        <w:t>56.6 Acceptance</w:t>
      </w:r>
    </w:p>
    <w:p>
      <w:pPr/>
      <w:r>
        <w:t>The owner creates a feedback form, previews a resource offer, tests a calculator's bounds and runs an approved synthetic experiment. Verify optional tracking refusal, denied location, accessible widget dismissal, duplicate lead prevention, accurate result labels and no data leakage. Report actual task completion and business outcomes; do not present a tool's “optimization score” as proof of improved sales.</w:t>
      </w:r>
    </w:p>
    <w:p>
      <w:pPr>
        <w:pStyle w:val="Heading1"/>
        <w:pageBreakBefore/>
      </w:pPr>
      <w:bookmarkStart w:id="316" w:name="v12_ch57"/>
      <w:r>
        <w:t>57 | Domain, DNS, TLS and account continuity</w:t>
      </w:r>
      <w:bookmarkEnd w:id="316"/>
      <w:bookmarkStart w:id="607" w:name="tocfinal_ch_57"/>
      <w:bookmarkEnd w:id="607"/>
    </w:p>
    <w:p>
      <w:pPr>
        <w:pStyle w:val="Heading2"/>
      </w:pPr>
      <w:r>
        <w:t>57.1 Business ownership and recovery independence</w:t>
      </w:r>
    </w:p>
    <w:p>
      <w:pPr/>
      <w:r>
        <w:t>Maintain an asset register for domains, registrar, DNS/CDN, hosting, email, source repositories, CMS, certificates, payment, advertising, analytics and communication providers. Record business owner, delegated admins, billing contact, renewal dates, recovery channels, MFA methods, support path and last access review. Store secret references, never passwords or recovery codes in the blueprint.</w:t>
      </w:r>
    </w:p>
    <w:p>
      <w:pPr/>
      <w:r>
        <w:t>Use business-owned accounts, individual staff identities and at least one tested recovery path independent of the affected domain's mailbox. A developer's personal email or laptop must not be the sole authority for recovering the business. Staff departure triggers access revocation, ownership verification and rotation of shared service credentials where required.</w:t>
      </w:r>
    </w:p>
    <w:p>
      <w:pPr>
        <w:pStyle w:val="Heading2"/>
      </w:pPr>
      <w:r>
        <w:t>57.2 Registrar and renewal controls</w:t>
      </w:r>
    </w:p>
    <w:p>
      <w:pPr/>
      <w:r>
        <w:t>Configure renewal responsibility, payment validity, reminders, escalation and actual renewal confirmation. Automatic renewal is a convenience, not proof it succeeded. Alert on failed payments, expired cards, transfer attempts, unauthorized contact changes and approaching domain expiry. Keep an approved policy for domain/registry locks and transfer authorization.</w:t>
      </w:r>
    </w:p>
    <w:p>
      <w:pPr/>
      <w:r>
        <w:t xml:space="preserve">A domain transfer and a DNS/hosting change are different procedures. Review the registrar's actual eligibility, locks, authorization process and timing; ICANN's transfer guidance is a reference, not a promise of a universal instant transfer. Preserve service and mail continuity throughout the chosen procedure. </w:t>
      </w:r>
      <w:hyperlink w:anchor="ref_R64" w:history="1">
        <w:r>
          <w:rPr>
            <w:color w:val="087F83"/>
            <w:b/>
          </w:rPr>
          <w:t>[R64]</w:t>
        </w:r>
      </w:hyperlink>
    </w:p>
    <w:p>
      <w:pPr>
        <w:pStyle w:val="Heading2"/>
      </w:pPr>
      <w:r>
        <w:t>57.3 DNS and certificate configuration</w:t>
      </w:r>
    </w:p>
    <w:p>
      <w:pPr/>
      <w:r>
        <w:t>Inventory A/AAAA/CNAME/MX/TXT/CAA and other required records with purpose, owner, provider, TTL and change history. Use least-privilege DNS credentials. Validate new records in staging or a controlled change window, include propagation expectations and monitor both IPv4/IPv6 where published. Do not leave dangling records pointing to abandoned services.</w:t>
      </w:r>
    </w:p>
    <w:p>
      <w:pPr/>
      <w:r>
        <w:t xml:space="preserve">DNSSEC activation/rotation requires coordinated signing and parent DS records, provider support and tested rollback; an incorrect chain can make the domain unreachable. Certificate issuance/renewal requires verified domain control, an automated challenge path, renewal monitoring and expiry alerts. Follow the selected DNS/certificate provider's supported process instead of treating a toggle as sufficient evidence. </w:t>
      </w:r>
      <w:hyperlink w:anchor="ref_R65" w:history="1">
        <w:r>
          <w:rPr>
            <w:color w:val="087F83"/>
            <w:b/>
          </w:rPr>
          <w:t>[R65]</w:t>
        </w:r>
      </w:hyperlink>
      <w:r>
        <w:t xml:space="preserve"> </w:t>
      </w:r>
      <w:hyperlink w:anchor="ref_R66" w:history="1">
        <w:r>
          <w:rPr>
            <w:color w:val="087F83"/>
            <w:b/>
          </w:rPr>
          <w:t>[R66]</w:t>
        </w:r>
      </w:hyperlink>
    </w:p>
    <w:p>
      <w:pPr/>
      <w:r>
        <w:t>TLS redirects, HSTS and certificate coverage must be tested for canonical hostnames, subdomains, legacy routes and integrations. Apply HSTS scope/preload only after reviewing affected subdomains and recovery impact. Keep an intentional CAA policy where supported. A certificate renewal test must include the challenge after WAF/proxy changes.</w:t>
      </w:r>
    </w:p>
    <w:p>
      <w:pPr>
        <w:pStyle w:val="Heading2"/>
      </w:pPr>
      <w:r>
        <w:t>57.4 Controlled changes and migration</w:t>
      </w:r>
    </w:p>
    <w:p>
      <w:pPr/>
      <w:r>
        <w:t>A DNS or domain change request records requested records, business reason, before/after values, approver, affected services, execution window, verification and rollback. Export the current zone and preserve recovery credentials. Test web, email authentication, inbound mail, API/webhooks, private downloads, analytics ownership and ad destination verification after cutover.</w:t>
      </w:r>
    </w:p>
    <w:p>
      <w:pPr/>
      <w:r>
        <w:t>Plan TTL changes before a migration, but do not assume every resolver immediately respects the desired timing. Keep the old service available for the approved overlap period when possible. Use synthetic requests from relevant regions and confirm mail delivery, not only the homepage. Domain redirects must preserve intended customer journeys and eligible acquisition parameters without leaking secrets.</w:t>
      </w:r>
    </w:p>
    <w:p>
      <w:pPr>
        <w:pStyle w:val="Heading2"/>
      </w:pPr>
      <w:r>
        <w:t>57.5 Incident and shutdown runbooks</w:t>
      </w:r>
    </w:p>
    <w:p>
      <w:pPr/>
      <w:r>
        <w:t>Document unauthorized domain transfer, DNS hijack, certificate expiry, registrar lockout, email outage, CDN/origin outage and accidental zone deletion. Define emergency contacts, proof of ownership, containment and safe restoration. Do not disable security controls globally as a routine troubleshooting shortcut.</w:t>
      </w:r>
    </w:p>
    <w:p>
      <w:pPr/>
      <w:r>
        <w:t>Site retirement has a plan for customer obligations, final notices, URL redirection or intentional removal, records retention, cancellation of paid services, webhook shutdown, account revocation and lawful disposal. Keep domain ownership long enough to prevent harmful reassignment under the approved business/risk policy; do not specify an arbitrary universal period.</w:t>
      </w:r>
    </w:p>
    <w:p>
      <w:pPr>
        <w:pStyle w:val="Heading2"/>
      </w:pPr>
      <w:r>
        <w:t>57.6 Acceptance evidence</w:t>
      </w:r>
    </w:p>
    <w:p>
      <w:pPr/>
      <w:r>
        <w:t>Deliver verified ownership/access, renewal and certificate alerts, a reviewed DNS inventory, independent account recovery, a test zone/certificate exercise and a cutover/rollback rehearsal. The owner demonstrates recovery without contacting the original developer. Production changes remain approved external actions, not automatic consequences of editing this document.</w:t>
      </w:r>
    </w:p>
    <w:p>
      <w:pPr>
        <w:pStyle w:val="Heading1"/>
        <w:pageBreakBefore/>
      </w:pPr>
      <w:bookmarkStart w:id="317" w:name="v12_ch58"/>
      <w:r>
        <w:t>58 | Security, identity, supply chain and abuse resistance</w:t>
      </w:r>
      <w:bookmarkEnd w:id="317"/>
      <w:bookmarkStart w:id="608" w:name="tocfinal_ch_58"/>
      <w:bookmarkEnd w:id="608"/>
    </w:p>
    <w:p>
      <w:pPr>
        <w:pStyle w:val="Heading2"/>
      </w:pPr>
      <w:r>
        <w:t>58.1 Threat model and assurance scope</w:t>
      </w:r>
    </w:p>
    <w:p>
      <w:pPr/>
      <w:r>
        <w:t>Threat-model public pages, forms, CMS, APIs, integrations, chatbot tools, analytics collectors, exports, databases, queues, storage and deployment pipelines. Identify assets, trust boundaries, attacker capabilities, abuse cases and recovery requirements. Include malicious content editors, compromised integration keys, forged callbacks, cross-site access, prompt injection, unauthorized exports and deletion attempts. Select a risk-appropriate verification standard and record its version.</w:t>
      </w:r>
    </w:p>
    <w:p>
      <w:pPr/>
      <w:r>
        <w:t xml:space="preserve">Use the existing ASVS plan together with API-specific review and secure-development practices. OWASP's API risks include object/property authorization, resource consumption and unsafe third-party consumption; NIST SSDF provides a secure-development framework. These references support the assurance programme, not a claim of certification. </w:t>
      </w:r>
      <w:hyperlink w:anchor="ref_R34" w:history="1">
        <w:r>
          <w:rPr>
            <w:color w:val="087F83"/>
            <w:b/>
          </w:rPr>
          <w:t>[R34]</w:t>
        </w:r>
      </w:hyperlink>
      <w:r>
        <w:t xml:space="preserve"> </w:t>
      </w:r>
      <w:hyperlink w:anchor="ref_R93" w:history="1">
        <w:r>
          <w:rPr>
            <w:color w:val="087F83"/>
            <w:b/>
          </w:rPr>
          <w:t>[R93]</w:t>
        </w:r>
      </w:hyperlink>
      <w:r>
        <w:t xml:space="preserve"> </w:t>
      </w:r>
      <w:hyperlink w:anchor="ref_R92" w:history="1">
        <w:r>
          <w:rPr>
            <w:color w:val="087F83"/>
            <w:b/>
          </w:rPr>
          <w:t>[R92]</w:t>
        </w:r>
      </w:hyperlink>
    </w:p>
    <w:p>
      <w:pPr>
        <w:pStyle w:val="Heading2"/>
      </w:pPr>
      <w:r>
        <w:t>58.2 Identity and privileged access</w:t>
      </w:r>
    </w:p>
    <w:p>
      <w:pPr/>
      <w:r>
        <w:t>Use individual accounts, least privilege, MFA for staff and stronger reauthentication for destructive operations, credentials, exports and spending changes. Prefer phishing-resistant authentication where the chosen identity system and recovery process support it. Customer authentication must not share staff permissions. Support session review/revocation, account invitation expiry, safe password reset, rate limiting and account-enumeration resistance.</w:t>
      </w:r>
    </w:p>
    <w:p>
      <w:pPr/>
      <w:r>
        <w:t>SSO, enterprise federation and automated provisioning are conditional modules with tested joiner/mover/leaver flows, emergency access and tenant boundaries. Social login must use supported authorization flows and cannot trust an email string supplied by a browser. Account linking requires proof of control. Preserve minimal attributable actor history after staff deactivation without retaining unnecessary personal data forever.</w:t>
      </w:r>
    </w:p>
    <w:p>
      <w:pPr/>
      <w:r>
        <w:t xml:space="preserve">Use OAuth security best practices for connectors: appropriate authorization-code flow, proof-key protection where applicable, state/redirect validation, scoped tokens and secure refresh/revocation handling. Do not put client secrets in public apps or accept arbitrary redirect URIs. Confirm the actual provider contract rather than inventing a universal login flow. </w:t>
      </w:r>
      <w:hyperlink w:anchor="ref_R94" w:history="1">
        <w:r>
          <w:rPr>
            <w:color w:val="087F83"/>
            <w:b/>
          </w:rPr>
          <w:t>[R94]</w:t>
        </w:r>
      </w:hyperlink>
    </w:p>
    <w:p>
      <w:pPr>
        <w:pStyle w:val="Heading2"/>
      </w:pPr>
      <w:r>
        <w:t>58.3 Application and API hardening</w:t>
      </w:r>
    </w:p>
    <w:p>
      <w:pPr/>
      <w:r>
        <w:t>Validate all external input at runtime; use parameterized database access, safe rich-text/HTML sanitization, context-aware output encoding and controlled uploads. Enforce object/field/tenant authorization in application use cases, not only UI hiding. Public collectors cannot create authoritative purchases, set qualification or choose arbitrary destinations. CORS is not authentication, and a hidden URL is not access control.</w:t>
      </w:r>
    </w:p>
    <w:p>
      <w:pPr/>
      <w:r>
        <w:t>Protect cookie-authenticated writes from CSRF. Apply safe content/security headers, CSP, clickjacking controls, restrictive referrer behavior, TLS and correct MIME handling. Review SSRF in content importers, link previews, webhook testing, AI URL tools and remote image processing. Validate final destinations after redirects, restrict internal-network access, bound decompression and prevent active uploaded content from executing on the main origin.</w:t>
      </w:r>
    </w:p>
    <w:p>
      <w:pPr/>
      <w:r>
        <w:t>For GraphQL, enforce object/field authorization, depth/complexity limits, bounded pagination and controlled operations. SOAP/XML adapters disable unsafe entities and constrain size/depth. WebSocket/SSE chat connections require scoped authentication, origin checks where applicable, message validation, expiry and reconnect handling. API keys are scoped, rotated and stored by reference; public embedded keys are never treated as secrets.</w:t>
      </w:r>
    </w:p>
    <w:p>
      <w:pPr>
        <w:pStyle w:val="Heading2"/>
      </w:pPr>
      <w:r>
        <w:t>58.4 Third-party script and tag governance</w:t>
      </w:r>
    </w:p>
    <w:p>
      <w:pPr/>
      <w:r>
        <w:t>Keep a script/widget inventory with owner, purpose, route scope, vendor, loaded resources, collected fields, consent category, performance budget, access risk, version/change policy and removal plan. Only approved templates and destinations can be published through GTM/CMS. Separate content editing, container publication and security administration. Require review for new tags, custom HTML and remote embeds.</w:t>
      </w:r>
    </w:p>
    <w:p>
      <w:pPr/>
      <w:r>
        <w:t xml:space="preserve">Monitor unexpected scripts/network destinations, consent violations and performance regressions. Use integrity controls where technically appropriate and supported; dynamically changing vendor tags need a different reviewed control than a static asset hash. Sandbox untrusted embeds and limit frame permissions. OWASP's third-party JavaScript guidance highlights that outsourced scripts can affect the site's data and security boundary. </w:t>
      </w:r>
      <w:hyperlink w:anchor="ref_R91" w:history="1">
        <w:r>
          <w:rPr>
            <w:color w:val="087F83"/>
            <w:b/>
          </w:rPr>
          <w:t>[R91]</w:t>
        </w:r>
      </w:hyperlink>
    </w:p>
    <w:p>
      <w:pPr/>
      <w:r>
        <w:t>Provide independent kill switches for optional tags, replay, chat, automation and external writes. Test that turning off marketing code leaves navigation, lead acceptance and payments working. Keep critical audit and content preservation always enforced. No marketing user may disable redaction or grant a model unrestricted tools.</w:t>
      </w:r>
    </w:p>
    <w:p>
      <w:pPr>
        <w:pStyle w:val="Heading2"/>
      </w:pPr>
      <w:r>
        <w:t>58.5 Supply chain, secrets and deployment</w:t>
      </w:r>
    </w:p>
    <w:p>
      <w:pPr/>
      <w:r>
        <w:t>Pin dependencies and container images appropriately, maintain SBOM/license/provenance records, scan dependencies/secrets/code/images and triage findings with owners and deadlines. Distinguish exploited/critical issues from low-risk informational findings; record accepted exceptions and expiry. Do not silently ignore a vulnerable transitive package because it was not added directly.</w:t>
      </w:r>
    </w:p>
    <w:p>
      <w:pPr/>
      <w:r>
        <w:t>Use protected branches, reviewed releases, isolated CI jobs and minimal credentials. Prefer short-lived workload identity where supported; restrict production secrets from pull-request builds. Sign or attest artifacts where the assurance level requires it, deploy immutable artifacts and keep a release manifest. Test upgrades against content revisions, API clients, migrations and rollback compatibility. Remove unused plugins and endpoints.</w:t>
      </w:r>
    </w:p>
    <w:p>
      <w:pPr>
        <w:pStyle w:val="Heading2"/>
      </w:pPr>
      <w:r>
        <w:t>58.6 Abuse, fraud and bot handling</w:t>
      </w:r>
    </w:p>
    <w:p>
      <w:pPr/>
      <w:r>
        <w:t>Layer request budgets, payload limits, honeypots/timing signals, reputation and accessible challenges where justified. Include email/SMS/OTP abuse, fake leads, mass downloads, coupon/referral abuse, credential stuffing, event inflation and expensive AI/search requests. Rate limits combine service/tenant/session signals with approved network evidence; shared IP addresses must not automatically imply one person or fraud.</w:t>
      </w:r>
    </w:p>
    <w:p>
      <w:pPr/>
      <w:r>
        <w:t>Keep suspected abuse separate from verified legitimate conversions. Staff can review false positives through a safe queue. Ad-click anomalies can trigger investigation and supported provider processes, not a guarantee that all invalid traffic is identifiable or refundable. Never manufacture conversion events to compensate for suspected fraud or browser blocking.</w:t>
      </w:r>
    </w:p>
    <w:p>
      <w:pPr>
        <w:pStyle w:val="Heading2"/>
      </w:pPr>
      <w:r>
        <w:t>58.7 Security acceptance and disclosure</w:t>
      </w:r>
    </w:p>
    <w:p>
      <w:pPr/>
      <w:r>
        <w:t>Test cross-tenant/object access, privilege escalation, forged proxy headers, malicious uploads/imports, CSRF, XSS, SSRF, webhook replay, token leakage, prompt injection, log injection and resource exhaustion. Use authorized test environments and synthetic data. Provide a vulnerability-reporting route, triage process, incident contacts and patch verification. Independent testing is required where the project risk/contract specifies it; a scanner report alone is not a penetration test.</w:t>
      </w:r>
    </w:p>
    <w:p>
      <w:pPr>
        <w:pStyle w:val="Heading1"/>
        <w:pageBreakBefore/>
      </w:pPr>
      <w:bookmarkStart w:id="318" w:name="v12_ch59"/>
      <w:r>
        <w:t>59 | Privacy policy engine, rights and jurisdictional controls</w:t>
      </w:r>
      <w:bookmarkEnd w:id="318"/>
      <w:bookmarkStart w:id="609" w:name="tocfinal_ch_59"/>
      <w:bookmarkEnd w:id="609"/>
    </w:p>
    <w:p>
      <w:pPr>
        <w:pStyle w:val="Heading2"/>
      </w:pPr>
      <w:r>
        <w:t>59.1 Data inventory and legal applicability</w:t>
      </w:r>
    </w:p>
    <w:p>
      <w:pPr/>
      <w:r>
        <w:t>Maintain a field-and-purpose inventory spanning content, leads, accounts, IP/location, chat, recordings, analytics, advertising, automation, audiences, exports and backups. Each entry identifies source, collection trigger, lawful-processing assessment, notice, sensitivity, access roles, destinations/processors, region, retention, deletion/hold and evidence. Distinguish truly necessary service state from optional analytics or advertising.</w:t>
      </w:r>
    </w:p>
    <w:p>
      <w:pPr/>
      <w:r>
        <w:t xml:space="preserve">A qualified reviewer determines the actual applicable jurisdictions and sector rules. Geography from an IP is only an uncertain hint, not a complete legal analysis. The inherited India reference describes phased commencement of the 2025 rules; current notifications and business applicability need confirmation. Do not equate a website consent banner with a statutory registered Consent Manager or universal compliance. </w:t>
      </w:r>
      <w:hyperlink w:anchor="ref_R41" w:history="1">
        <w:r>
          <w:rPr>
            <w:color w:val="087F83"/>
            <w:b/>
          </w:rPr>
          <w:t>[R41]</w:t>
        </w:r>
      </w:hyperlink>
    </w:p>
    <w:p>
      <w:pPr>
        <w:pStyle w:val="Heading2"/>
      </w:pPr>
      <w:r>
        <w:t>59.2 Purpose-aware policy service</w:t>
      </w:r>
    </w:p>
    <w:p>
      <w:pPr/>
      <w:r>
        <w:t>Centralize decisions in a versioned policy service used by web SDKs, forms, chatbot, location, workflow dispatch, reporting exports and ad adapters. Inputs include task/purpose, data class, authenticated role, current user choices, account/site configuration, legal applicability and destination eligibility. Outputs are allow/deny/minimize, reason, field projection, expiry and policy version. No widget invents its own independent permission model.</w:t>
      </w:r>
    </w:p>
    <w:p>
      <w:pPr/>
      <w:r>
        <w:t xml:space="preserve">Default optional tracking remains off under this standard's conservative blocking policy until the applicable permission is satisfied. Distinguish analytics_storage, advertising storage/use/personalization and service communication controls where relevant; map supported provider consent signals correctly. Advanced cookieless measurement is a separate approved decision, not an automatic workaround. </w:t>
      </w:r>
      <w:hyperlink w:anchor="ref_R21" w:history="1">
        <w:r>
          <w:rPr>
            <w:color w:val="087F83"/>
            <w:b/>
          </w:rPr>
          <w:t>[R21]</w:t>
        </w:r>
      </w:hyperlink>
    </w:p>
    <w:p>
      <w:pPr>
        <w:pStyle w:val="Heading2"/>
      </w:pPr>
      <w:r>
        <w:t>59.3 User controls, withdrawal and browser signals</w:t>
      </w:r>
    </w:p>
    <w:p>
      <w:pPr/>
      <w:r>
        <w:t>Provide accessible accept/reject/manage choices, a persistent preference entry point, clear purpose descriptions, versioned records and a tested withdrawal path. Do not use preselected optional choices, repeated coercive prompts or make a service enquiry conditional on unrelated marketing consent. A browser's geolocation grant is separate from advertising consent and from the stated purpose for saving coordinates.</w:t>
      </w:r>
    </w:p>
    <w:p>
      <w:pPr/>
      <w:r>
        <w:t xml:space="preserve">Where applicable, implement recognized opt-out preference signals and account-level rights. California's Attorney General describes GPC as a valid opt-out signal that covered businesses must honor for sale/sharing. Applicability and the permitted scope of processing must be reviewed; it is not a universal instruction to erase necessary service records. </w:t>
      </w:r>
      <w:hyperlink w:anchor="ref_R90" w:history="1">
        <w:r>
          <w:rPr>
            <w:color w:val="087F83"/>
            <w:b/>
          </w:rPr>
          <w:t>[R90]</w:t>
        </w:r>
      </w:hyperlink>
    </w:p>
    <w:p>
      <w:pPr/>
      <w:r>
        <w:t>Resolve conflicting choices through the approved policy, favoring applicable withdrawal/opt-out restrictions rather than silently re-enabling tracking. Propagate changes to queued work, projections, segments and destination eligibility. Do not reconstruct earlier unconsented activity after later consent. Record limited suppression evidence so delayed imports or restored backups do not revive prohibited processing.</w:t>
      </w:r>
    </w:p>
    <w:p>
      <w:pPr>
        <w:pStyle w:val="Heading2"/>
      </w:pPr>
      <w:r>
        <w:t>59.4 Rights-request workflow and processor propagation</w:t>
      </w:r>
    </w:p>
    <w:p>
      <w:pPr/>
      <w:r>
        <w:t>Provide request intake, proportionate requester verification where required, scope selection, deadline tracking, exceptions/legal holds, approval, execution, processor notifications and completion evidence. Access/deletion requests may need identity checks; a simple unsubscribe or legally recognized opt-out must not be obstructed by unnecessary account creation or identity demands. Define the distinctions in the jurisdictional matrix.</w:t>
      </w:r>
    </w:p>
    <w:p>
      <w:pPr/>
      <w:r>
        <w:t>Map rights actions across operational tables, event stores, chat summaries/attachments, search/vector indexes, warehouse extracts, exports, audience destinations and providers. Separate deleted, anonymized, suppressed, legally retained and backup-expiry-pending states. A deletion request is not complete merely because one database row disappeared. Reapply valid deletion/suppression records after restore before exposing the system.</w:t>
      </w:r>
    </w:p>
    <w:p>
      <w:pPr/>
      <w:r>
        <w:t>Preserved blogs may contain personal or licensed content. The manual-only editorial policy cannot override lawful removal, security containment or legal hold. Preserve safe deletion evidence, not full sensitive text in immutable audit diffs. Retain raw IP, precise coordinates and transcripts only for their independently approved schedules, not indefinitely because “everything is logged.”</w:t>
      </w:r>
    </w:p>
    <w:p>
      <w:pPr>
        <w:pStyle w:val="Heading2"/>
      </w:pPr>
      <w:r>
        <w:t>59.5 Sensitive audiences and sector decisions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Site/audience context</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decision before activation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Children or school students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Age-appropriate experience, guardian/consent requirements where applicable, restricted profiling/ads, limited public profiles and careful contact capture.</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Health, care or counseling</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Separation of public marketing from protected intake/records, tracking exclusions, provider contracts, escalation and qualified content review.</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Finance, insurance, credit or legal services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Claim/licensing review, sensitive-input minimization, secure applications, eligible advertising and fair decision controls.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Employment, housing or other restricted ads</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Actual platform category/targeting restrictions, lawful intake and transparent business criteria.</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Global commerce/subscriptions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Taxes/fees, cancellation/consumer notices, cross-border processing and regional payment/marketing rules.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Community or public submissions</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Moderation, reporting, takedown, rights, safety and access boundaries.</w:t>
            </w:r>
          </w:p>
        </w:tc>
      </w:tr>
    </w:tbl>
    <w:p>
      <w:pPr>
        <w:spacing w:after="60"/>
      </w:pPr>
    </w:p>
    <w:p>
      <w:pPr/>
      <w:r>
        <w:t>The table is a review gate, not legal advice or a declaration that one worldwide rule applies. Store the actual legal decision, reviewer, effective date and next review trigger. Do not expose private application or patient data to general-purpose marketing tags even when the public site uses them.</w:t>
      </w:r>
    </w:p>
    <w:p>
      <w:pPr>
        <w:pStyle w:val="Heading2"/>
      </w:pPr>
      <w:r>
        <w:t>59.6 Retention, contracts and evidence</w:t>
      </w:r>
    </w:p>
    <w:p>
      <w:pPr/>
      <w:r>
        <w:t>Maintain processor/subprocessor records, contracts, permitted training/use of AI data, region choices, breach responsibilities, deletion/export capabilities and exit procedures. Verify actual vendor settings; do not claim zero retention from an unverified marketing statement. Privacy/security impact assessments are required when the chosen risk or law calls for them.</w:t>
      </w:r>
    </w:p>
    <w:p>
      <w:pPr/>
      <w:r>
        <w:t>Test data minimization before storage and at every outbound adapter, not only after a leak appears in a dashboard. Use synthetic secret/contact/location markers and inspect payloads, logs, recordings, exports and model/tool context. Audit preference changes, policy publication, sensitive reveals, rights execution and legal exceptions. A privacy release gate must fail on prohibited collection even if conversions increase.</w:t>
      </w:r>
    </w:p>
    <w:p>
      <w:pPr>
        <w:pStyle w:val="Heading1"/>
        <w:pageBreakBefore/>
      </w:pPr>
      <w:bookmarkStart w:id="319" w:name="v12_ch60"/>
      <w:r>
        <w:t>60 | Reliability, database operations, DevOps and cost control</w:t>
      </w:r>
      <w:bookmarkEnd w:id="319"/>
      <w:bookmarkStart w:id="610" w:name="tocfinal_ch_60"/>
      <w:bookmarkEnd w:id="610"/>
    </w:p>
    <w:p>
      <w:pPr>
        <w:pStyle w:val="Heading2"/>
      </w:pPr>
      <w:r>
        <w:t>60.1 Service objectives and workload model</w:t>
      </w:r>
    </w:p>
    <w:p>
      <w:pPr/>
      <w:r>
        <w:t>Approve measurable service objectives separately for public rendering, lead acceptance, CMS publication, chat, payments, automation and reporting freshness. Define workload assumptions, traffic peaks, message bursts, asset size, database growth and external quotas. Availability, latency and recovery targets are engineering commitments only when the deployed design and staffing can support them.</w:t>
      </w:r>
    </w:p>
    <w:p>
      <w:pPr/>
      <w:r>
        <w:t xml:space="preserve">Load-test realistic route mixes and business transactions, including consent choices, warmed/cold caches, mobile networks and concurrent workers. A homepage benchmark is not a test of lead durability, inbox concurrency or feed generation. Track field and laboratory performance separately; field Core Web Vitals depend on real eligible measurements and cannot be proven by one local score. </w:t>
      </w:r>
      <w:hyperlink w:anchor="ref_R04" w:history="1">
        <w:r>
          <w:rPr>
            <w:color w:val="087F83"/>
            <w:b/>
          </w:rPr>
          <w:t>[R04]</w:t>
        </w:r>
      </w:hyperlink>
    </w:p>
    <w:p>
      <w:pPr>
        <w:pStyle w:val="Heading2"/>
      </w:pPr>
      <w:r>
        <w:t>60.2 Database integrity and operational maintenance</w:t>
      </w:r>
    </w:p>
    <w:p>
      <w:pPr/>
      <w:r>
        <w:t>Use migrations, constraints, restricted roles, connection pools, bounded queries, indexes justified by plans and optimistic concurrency. Monitor slow queries, lock contention, deadlocks, replication lag where used, disk growth and maintenance. Set statement/connection budgets and test cancellation so reports do not starve form submission. Analyze tenant-specific load and isolate noisy workloads.</w:t>
      </w:r>
    </w:p>
    <w:p>
      <w:pPr/>
      <w:r>
        <w:t xml:space="preserve">Backups and point-in-time recovery must match the approved RPO/RTO. PostgreSQL continuous archiving combines base backups with the necessary WAL history for recovery; successful backup creation alone does not prove recoverability. Exercise restoration, required keys, object assets, configuration and independent deletion/audit ledgers. </w:t>
      </w:r>
      <w:hyperlink w:anchor="ref_R96" w:history="1">
        <w:r>
          <w:rPr>
            <w:color w:val="087F83"/>
            <w:b/>
          </w:rPr>
          <w:t>[R96]</w:t>
        </w:r>
      </w:hyperlink>
    </w:p>
    <w:p>
      <w:pPr/>
      <w:r>
        <w:t>Define upgrade/maintenance windows, storage expansion, vacuum/maintenance ownership, credential rotation and failover testing. A replica is not a substitute for an independent recoverable backup. High availability does not prevent logical deletion or corruption. Keep the source-blog deletion restrictions active during migrations, cleanup and database-owner operations.</w:t>
      </w:r>
    </w:p>
    <w:p>
      <w:pPr>
        <w:pStyle w:val="Heading2"/>
      </w:pPr>
      <w:r>
        <w:t>60.3 Failure isolation and graceful degradation</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Failure</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behavior</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CMS read outage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Serve a tested last-known-good public snapshot when safe; no draft exposure.</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CRM/email/ad API outage</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Accept valid leads durably, queue eligible external effects and show delay.</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Analytics/tag failure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Core navigation, forms and checkout continue without optional tracking.</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AI/chat provider outage</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Deterministic FAQ/form or human-contact fallback; no false lead confirmation.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Geo provider/permission failure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Unknown or manual location selection; no invented coordinates.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Queue/worker restart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Reconstruct eligible work from durable state with idempotent execution.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Audit exporter failure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Preserve local transactional evidence, alert on lag; stop high-risk actions when required guarantees fail.</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Payment uncertainty</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Reconcile trusted provider state; do not charge again or grant access from guesswork.</w:t>
            </w:r>
          </w:p>
        </w:tc>
      </w:tr>
    </w:tbl>
    <w:p>
      <w:pPr>
        <w:spacing w:after="60"/>
      </w:pPr>
    </w:p>
    <w:p>
      <w:pPr/>
      <w:r>
        <w:t>Use timeouts, circuit breakers where appropriate, bounded retry/backoff, dead-letter queues and operator remediation. Avoid cascading retries across layers. Keep critical business transactions independent of optional remote services. A fallback must not bypass authentication, consent, pricing or audit invariants.</w:t>
      </w:r>
    </w:p>
    <w:p>
      <w:pPr>
        <w:pStyle w:val="Heading2"/>
      </w:pPr>
      <w:r>
        <w:t>60.4 Deployment profiles and infrastructure change</w:t>
      </w:r>
    </w:p>
    <w:p>
      <w:pPr/>
      <w:r>
        <w:t>Maintain native and Docker profiles with equivalent business behavior, environment validation, supervised processes, logs, health checks and persistent storage. Managed containers and Kubernetes are selected by scale/operations needs, not required for every site. Terraform/infrastructure code must preserve secrets, remote state, review and destruction safeguards. No bootstrap command may overwrite secrets or reset production data.</w:t>
      </w:r>
    </w:p>
    <w:p>
      <w:pPr/>
      <w:r>
        <w:t>Deploy immutable artifacts through reviewed CI/CD. Test unit/integration/contract/security/accessibility/performance behavior and production smoke tests. Use expand-and-contract changes where versions coexist. Application, database and content rollback have different constraints; document forward-fix and restore tradeoffs. Canary or blue/green deployment is useful only with health criteria, data compatibility and an actual rollback procedure.</w:t>
      </w:r>
    </w:p>
    <w:p>
      <w:pPr/>
      <w:r>
        <w:t>Protect the origin, private database, object storage and administrative endpoints. Test forwarded headers, DNS/TLS, cache keys, multi-instance invalidation and authenticated responses. Shared public caches must never contain visitor context, draft content, personal prices or session cookies. Limit autoscaling so it does not overwhelm database connections or external quotas.</w:t>
      </w:r>
    </w:p>
    <w:p>
      <w:pPr>
        <w:pStyle w:val="Heading2"/>
      </w:pPr>
      <w:r>
        <w:t>60.5 Observability, incident response and cost</w:t>
      </w:r>
    </w:p>
    <w:p>
      <w:pPr/>
      <w:r>
        <w:t>Provide correlated structured logs, metrics and traces with redaction and distinct audit/business streams. Monitor domain/TLS, route and form synthetics, errors, latency, queues, publication freshness, lead assignment, conversion rejection, consent violations, feed health, workflow backlog and unexpected content loss. Alert thresholds require owners, response windows and escalation; dashboards alone are not response procedures.</w:t>
      </w:r>
    </w:p>
    <w:p>
      <w:pPr/>
      <w:r>
        <w:t>Maintain incident severity, on-call contacts, containment, customer communication, evidence preservation, recovery and post-incident review. Test a database restore, compromised integration, unavailable form, broken tag and accidental content removal. Public status/maintenance communication must remain truthful and avoid exposing sensitive topology or customer data.</w:t>
      </w:r>
    </w:p>
    <w:p>
      <w:pPr/>
      <w:r>
        <w:t>Budget infrastructure, database/storage/egress, backups, licenses, messages, calls, geo lookups, AI tokens, analytics, staff support, content and ad spend separately. Use per-tenant/provider quotas, spend alerts, idle-environment cleanup and rate controls. Do not auto-delete preserved blogs to save space; expand storage or raise a human-reviewed retention decision. A cost cap for AI must degrade to a useful non-AI path.</w:t>
      </w:r>
    </w:p>
    <w:p>
      <w:pPr>
        <w:pStyle w:val="Heading2"/>
      </w:pPr>
      <w:r>
        <w:t>60.6 Reliability evidence</w:t>
      </w:r>
    </w:p>
    <w:p>
      <w:pPr/>
      <w:r>
        <w:t>Deliver measured load results, restore times, observed data loss boundaries, failure-mode tests, monitoring/alert proof and an owner-readable runbook. Re-run after significant framework, database, provider or infrastructure changes. Record residual single points of failure and accepted tradeoffs honestly; a Dockerfile or multi-node diagram is not evidence of resilience.</w:t>
      </w:r>
    </w:p>
    <w:p>
      <w:pPr>
        <w:pStyle w:val="Heading1"/>
        <w:pageBreakBefore/>
      </w:pPr>
      <w:bookmarkStart w:id="320" w:name="v12_ch61"/>
      <w:r>
        <w:t>61 | Conditional business and industry capability catalogue</w:t>
      </w:r>
      <w:bookmarkEnd w:id="320"/>
      <w:bookmarkStart w:id="611" w:name="tocfinal_ch_61"/>
      <w:bookmarkEnd w:id="611"/>
    </w:p>
    <w:p>
      <w:pPr>
        <w:pStyle w:val="Heading2"/>
      </w:pPr>
      <w:r>
        <w:t>61.1 Activation is a full lifecycle commitment</w:t>
      </w:r>
    </w:p>
    <w:p>
      <w:pPr/>
      <w:r>
        <w:t>This catalogue prevents common business-site capabilities from being overlooked. It does not assert that every industry-specific law, device or future feature can be implemented by one generic platform. Each selected module receives its own business rules, data model, permissions, customer journey, integration contracts, failure states, operating owner and acceptance pack. An unselected module remains documented but does not add public routes, scripts or cost.</w:t>
      </w:r>
    </w:p>
    <w:p>
      <w:pPr/>
      <w:r>
        <w:t>For every module, specify create/read/update/archive behavior, legitimate deletion exceptions, customer obligations, notifications, billing where applicable, accessibility, consent, logging, import/export, migration and recovery. Administrative audit and source-blog preservation are inherited, not reimplemented inconsistently.</w:t>
      </w:r>
    </w:p>
    <w:p>
      <w:pPr>
        <w:pStyle w:val="Heading2"/>
      </w:pPr>
      <w:r>
        <w:t>61.2 Commerce, booking and education</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Module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business lifecycle and controls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Acceptance example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Retail and digital products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Product/variant, discovery, stock/access, cart, payment, fulfillment, returns, refunds, support and feeds.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Concurrent purchase, delayed payment and partial refund remain consistent.</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Services and appointments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Service areas/resources, availability, buffers, holds, booking, reminders, rescheduling, cancellation and staff override.</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Two users cannot reserve the last available capacity twice.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Events and webinars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Event revisions, capacity/waitlist, registration, payment if used, reminders, attendance evidence, recordings/rights and cancellation.</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Canceled event stops reminders and handles refunds/access correctly.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Courses and memberships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Programme/enrollment, payment/entitlement, lessons, progress, assessments, certificates where implemented, support and expiry rules.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 refunded/revoked enrollment loses only the access required by policy.</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Student/guardian experience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Age-appropriate onboarding, verified relationships where necessary, private records, consent, communications and limited profiling.</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One guardian cannot access another student's records by changing an ID.</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Subscriptions/SaaS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Trial, plan, usage/quotas, renewal, dunning, upgrades/downgrades, cancellation, invoices and entitlements.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 late billing webhook cannot restore access after an overriding verified cancellation without a defined rule.</w:t>
            </w:r>
          </w:p>
        </w:tc>
      </w:tr>
    </w:tbl>
    <w:p>
      <w:pPr>
        <w:spacing w:after="60"/>
      </w:pPr>
    </w:p>
    <w:p>
      <w:pPr/>
      <w:r>
        <w:t>Live meetings/WebRTC, examinations, proctoring and extensive learning-management functions are separate systems with their own scale, safety and privacy requirements. A webinar landing page does not imply a meeting platform exists. Embedded providers require real access/recording and deletion contracts.</w:t>
      </w:r>
    </w:p>
    <w:p>
      <w:pPr>
        <w:pStyle w:val="Heading2"/>
      </w:pPr>
      <w:r>
        <w:t>61.3 Portals, B2B, directories and marketplaces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Module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business lifecycle and controls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Acceptance example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Customer/support portal</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Authentication, profile, case/order/document access, notifications, preferences, support and rights requests.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Object-level access applies to APIs, exports and signed downloads.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B2B sales/quotes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Organization roles, catalogues, negotiated prices, quote versions, approval, validity, acceptance and sales handoff.</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Accepting a quote preserves its agreed price despite later CMS changes.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Partner/franchise multisite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Scoped staff, approved shared content, local overrides, domains, branch data, reporting and offboarding.</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 branch can edit permitted local data without changing the global legal policy.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Directory/listings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Submission, verification, owner claim, categories, search/map, correction, expiry/publication and moderation.</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An unverified claimant cannot take over a listing or see private contact data.</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Marketplace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Seller onboarding, listings, availability, order flow, fees, provider-led payouts, disputes, reviews and fraud review.</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Refund/dispute affects seller settlement and buyer access consistently.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Referral/affiliate/loyalty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Enrollment, referral evidence, attribution rule, reward eligibility, caps, fraud checks, payout/credit and reversals.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Self-referral or a refunded sale cannot create an unearned irreversible reward.</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Careers/applications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Real jobs, accessible applications, private files, stage workflows, interview communication, retention and closed-job discovery handling.</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Closing a job changes public availability without silently deleting retained applications.</w:t>
            </w:r>
          </w:p>
        </w:tc>
      </w:tr>
    </w:tbl>
    <w:p>
      <w:pPr>
        <w:spacing w:after="60"/>
      </w:pPr>
    </w:p>
    <w:p>
      <w:pPr/>
      <w:r>
        <w:t>Payment splitting, identity verification, tax reporting, commission accounting and credit facilities require specialized provider/legal decisions. Do not implement them as unreviewed arithmetic in the page builder. A marketplace is not merely a product grid with multiple authors.</w:t>
      </w:r>
    </w:p>
    <w:p>
      <w:pPr>
        <w:pStyle w:val="Heading2"/>
      </w:pPr>
      <w:r>
        <w:t>61.4 Publishing, community, media and donations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Module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business lifecycle and controls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Acceptance example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News/magazine/resource publisher</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Editorial roles, evidence/corrections, feeds, archives, search, media rights, subscription/paywall where used.</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Draft/private content never leaks through RSS, search or chatbot indexes.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Publisher advertising/sponsorship</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Ad inventory, approved provider, consent, performance/layout budgets, sponsored labels, unsuitable-content review and revenue reporting.</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Ads cannot obscure controls, leak private context or shift critical content outside the approved budget.</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Forum/comments/community</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Member roles, post/report/moderation, appeals, spam controls, safe links/files, suspension and rights handling.</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 removal/report action is attributable and cannot be used to expose private complainant details.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Reviews/testimonials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Authentic source, permissions, disclosure, fair moderation, correction and dispute workflow.</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 fake/unauthorized review cannot enter structured data or campaign proof.</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Podcast/video/media library</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Episode/video metadata, accessible transcript/captions, licensing, player, feeds, downloads and playback events.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Revoked media is removed from public distribution without destroying retained lawful source records automatically.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Donations/fundraising</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Real beneficiary, disclosures, amount/frequency, verified payment, receipt, refund/cancellation and accounting.</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Recurring-donation cancellation stops future eligible charges and preserves receipt history.</w:t>
            </w:r>
          </w:p>
        </w:tc>
      </w:tr>
    </w:tbl>
    <w:p>
      <w:pPr>
        <w:spacing w:after="60"/>
      </w:pPr>
    </w:p>
    <w:p>
      <w:pPr/>
      <w:r>
        <w:t xml:space="preserve">Publisher ad monetization is distinct from buying Google/Meta ads. Where an ad network requires authorized-seller declarations, consent integrations or supply-chain files, implement its current specification and verification. For applicable web publisher inventory, IAB Tech Lab documents ads.txt as an authorized-seller declaration; it is not a requirement for simply buying Google/Meta ads. </w:t>
      </w:r>
      <w:hyperlink w:anchor="ref_R106" w:history="1">
        <w:r>
          <w:rPr>
            <w:color w:val="087F83"/>
            <w:b/>
          </w:rPr>
          <w:t>[R106]</w:t>
        </w:r>
      </w:hyperlink>
      <w:r>
        <w:t xml:space="preserve"> Do not insert an ad-network script globally and call the publisher module complete.</w:t>
      </w:r>
    </w:p>
    <w:p>
      <w:pPr>
        <w:pStyle w:val="Heading2"/>
      </w:pPr>
      <w:r>
        <w:t>61.5 Specialized sectors and international delivery</w:t>
      </w:r>
    </w:p>
    <w:p>
      <w:pPr/>
      <w:r>
        <w:t>Health/home-care, finance/insurance, legal services, real estate, travel/hospitality, public services and regulated products require a sector activation pack. It should define verified claims/licenses, safe intake, eligibility, availability, professional review, consumer obligations, records access, approved advertising and escalation. The generic marketing tracker remains excluded from protected applications and sensitive portals unless specifically reviewed and permitted.</w:t>
      </w:r>
    </w:p>
    <w:p>
      <w:pPr/>
      <w:r>
        <w:t>Localization is more than translating text: routes, metadata, currencies, units, timezones, legal notices, content approvals, customer support and accessibility need local ownership. Right-to-left, pluralization, Unicode names and address/phone formats require tests. Geography must not silently substitute for language, nationality or tax residency.</w:t>
      </w:r>
    </w:p>
    <w:p>
      <w:pPr/>
      <w:r>
        <w:t>PWA/offline reading, push notifications, install prompts, maps, voice input, device integrations and live location are conditional enhancements. Offline caches must not expose private content to another user or pretend an unsent form reached the server. Push and device permissions are requested in context, with unsubscribe/revocation and unsupported-device fallbacks. Continuous location, microphone or camera use requires a distinct visible purpose and explicit controls.</w:t>
      </w:r>
    </w:p>
    <w:p>
      <w:pPr>
        <w:pStyle w:val="Heading2"/>
      </w:pPr>
      <w:r>
        <w:t>61.6 Module completion gate</w:t>
      </w:r>
    </w:p>
    <w:p>
      <w:pPr/>
      <w:r>
        <w:t>For each activated row, deliver a module brief, state diagram expressed as a precise transition contract, entities/constraints, APIs, owner screens, public states, event map, permission/retention rules, provider capability matrix, tests and operating guide. Test a happy path, refusal/error path, duplicate/retry, unauthorized access, correction/cancellation and recovery. An inactive module is Not Applicable with rationale; an activated but unfinished module is Not Implemented or Blocked, never Passed.</w:t>
      </w:r>
    </w:p>
    <w:p>
      <w:pPr>
        <w:pStyle w:val="Heading1"/>
        <w:pageBreakBefore/>
      </w:pPr>
      <w:bookmarkStart w:id="321" w:name="v12_ch62"/>
      <w:r>
        <w:t>62 | Extensibility, multisite, interoperability and portability</w:t>
      </w:r>
      <w:bookmarkEnd w:id="321"/>
      <w:bookmarkStart w:id="612" w:name="tocfinal_ch_62"/>
      <w:bookmarkEnd w:id="612"/>
    </w:p>
    <w:p>
      <w:pPr>
        <w:pStyle w:val="Heading2"/>
      </w:pPr>
      <w:r>
        <w:t>62.1 Extension boundary and shared platform design</w:t>
      </w:r>
    </w:p>
    <w:p>
      <w:pPr/>
      <w:r>
        <w:t>Use a shared core with explicitly registered modules. Each extension declares version, compatible core/schema versions, public/admin routes, components, permissions, entities/migrations, jobs, events, providers, secrets and operating costs. Enablement validates dependencies; disablement stops eligible jobs/tags/routes while preserving existing customer obligations and legally retained records.</w:t>
      </w:r>
    </w:p>
    <w:p>
      <w:pPr/>
      <w:r>
        <w:t>The owner may configure approved behavior but cannot install arbitrary executable code into production through a CMS text field. Review extension licenses, maintenance, supply-chain risk and export support. Keep product-specific branding/content separate from platform code. Custom CSS/HTML, when explicitly permitted, is sandboxed/restricted and cannot bypass accessibility or security controls.</w:t>
      </w:r>
    </w:p>
    <w:p>
      <w:pPr>
        <w:pStyle w:val="Heading2"/>
      </w:pPr>
      <w:r>
        <w:t>62.2 API and integration standards</w:t>
      </w:r>
    </w:p>
    <w:p>
      <w:pPr/>
      <w:r>
        <w:t xml:space="preserve">REST/OpenAPI remains the default. Document schemas, authentication, object scope, idempotency, concurrency, pagination, errors, rate limits and compatibility. OpenAPI is the interface description; generated types do not remove the need for runtime validation and deployed contract tests. Pin an implementation-compatible specification version instead of assuming every tool supports the latest release. </w:t>
      </w:r>
      <w:hyperlink w:anchor="ref_R101" w:history="1">
        <w:r>
          <w:rPr>
            <w:color w:val="087F83"/>
            <w:b/>
          </w:rPr>
          <w:t>[R101]</w:t>
        </w:r>
      </w:hyperlink>
    </w:p>
    <w:p>
      <w:pPr/>
      <w:r>
        <w:t>GraphQL, SOAP, webhooks, streaming and file exchange are optional adapters that call the same domain rules. Require an actual WSDL/XSD for SOAP. Inbound/outbound webhooks use provider-specific authentication, durable receipt, retries, event identity and secret rotation. Customer-configured webhook URLs need SSRF protection, ownership/authorization checks, bounded payloads and a delivery log.</w:t>
      </w:r>
    </w:p>
    <w:p>
      <w:pPr/>
      <w:r>
        <w:t>Use provider adapters for CMS, storage, email, CRM, geo, analytics, experiments, AI, payments and ads. An adapter's capability matrix distinguishes login, read, write, backfill, incremental sync, webhook, deletion, export and production evidence. A provider logo or OAuth connection proves none of the remaining capabilities.</w:t>
      </w:r>
    </w:p>
    <w:p>
      <w:pPr>
        <w:pStyle w:val="Heading2"/>
      </w:pPr>
      <w:r>
        <w:t>62.3 Multisite and tenant isolation</w:t>
      </w:r>
    </w:p>
    <w:p>
      <w:pPr/>
      <w:r>
        <w:t>Decide isolated deployments/databases versus shared tenants explicitly. Shared tenancy requires trusted site resolution, tenant-scoped keys/constraints, non-owner database roles, object authorization, cache isolation, separate provider mappings, per-tenant queues/quotas and restricted exports. A browser-supplied site_id is never sufficient authorization.</w:t>
      </w:r>
    </w:p>
    <w:p>
      <w:pPr/>
      <w:r>
        <w:t>Domain onboarding verifies control, uniqueness, certificate setup and route binding before serving content. Prevent a tenant from claiming another organization's domain. Test shared assets, global templates, local overrides, account recovery, background jobs, reports and restored backups for cross-site leakage. Platform administrators use time-limited audited support access rather than invisible impersonation.</w:t>
      </w:r>
    </w:p>
    <w:p>
      <w:pPr>
        <w:pStyle w:val="Heading2"/>
      </w:pPr>
      <w:r>
        <w:t>62.4 Feature flags and configuration governance</w:t>
      </w:r>
    </w:p>
    <w:p>
      <w:pPr/>
      <w:r>
        <w:t xml:space="preserve">Version feature capability, rollout rules and permissions separately. A flag's default, owner, intended lifetime, fallback, required data, dependencies and cleanup date are documented. Standards such as OpenFeature can reduce coupling to one feature-flag provider, but a flag service is not an authorization or consent system. </w:t>
      </w:r>
      <w:hyperlink w:anchor="ref_R100" w:history="1">
        <w:r>
          <w:rPr>
            <w:color w:val="087F83"/>
            <w:b/>
          </w:rPr>
          <w:t>[R100]</w:t>
        </w:r>
      </w:hyperlink>
    </w:p>
    <w:p>
      <w:pPr/>
      <w:r>
        <w:t>A disabled module must stop its outbound data and recurring cost where appropriate, not merely hide a menu. Keep schema migrations and retained records compatible. Test emergency deactivation, missing configuration, old clients, multiple instances and a provider outage. Configuration changes affecting tags, targeting, prices or privacy require the same review/audit discipline as code.</w:t>
      </w:r>
    </w:p>
    <w:p>
      <w:pPr>
        <w:pStyle w:val="Heading2"/>
      </w:pPr>
      <w:r>
        <w:t>62.5 Search, AI and content interoperability</w:t>
      </w:r>
    </w:p>
    <w:p>
      <w:pPr/>
      <w:r>
        <w:t>Export structured content with schema/revision IDs, locale relationships, asset manifests, rights, routes and redirect history. Search/AI indexes are derived and rebuildable from approved sources; they do not become the only copy of content. Include deletion/unpublication invalidation and permission filters at retrieval time. A stale index must not expose a newly private or removed resource.</w:t>
      </w:r>
    </w:p>
    <w:p>
      <w:pPr/>
      <w:r>
        <w:t>AI gateways specify models by approved capability/version, purpose, data projection, region/retention, cost, latency, tools and evaluation results. Keep deterministic forms/FAQ fallback. Export bot flows, approved knowledge manifests and safe conversation data under policy. Avoid hardcoded model brands as a permanent architectural dependency and never give the model raw database or purge authority.</w:t>
      </w:r>
    </w:p>
    <w:p>
      <w:pPr>
        <w:pStyle w:val="Heading2"/>
      </w:pPr>
      <w:r>
        <w:t>62.6 Portability and migration proof</w:t>
      </w:r>
    </w:p>
    <w:p>
      <w:pPr/>
      <w:r>
        <w:t>The exit package includes code, dependency locks, migrations, content/media exports, form revisions, consent/suppression, campaign/experiment/workflow definitions, provider mappings, operational runbooks and required keys/recovery references transferred securely. Identify nonportable entitlements and external assets before choosing a provider.</w:t>
      </w:r>
    </w:p>
    <w:p>
      <w:pPr/>
      <w:r>
        <w:t>A second qualified team must install the documented native/Docker profile, import data, publish content, accept a lead, restore a backup and rotate a provider without the original developer's machine. Test provider replacement using adapters and reconciliation; preserve identifiers and pending obligations. A migration must not seed demo content over production or reintroduce legally deleted data. Ownership and portability are demonstrated tasks, not marketing labels.</w:t>
      </w:r>
    </w:p>
    <w:p>
      <w:pPr>
        <w:pStyle w:val="Heading1"/>
        <w:pageBreakBefore/>
      </w:pPr>
      <w:bookmarkStart w:id="322" w:name="v12_ch63"/>
      <w:r>
        <w:t>63 | Integrated frontend, backend, database and delivery work packages</w:t>
      </w:r>
      <w:bookmarkEnd w:id="322"/>
      <w:bookmarkStart w:id="613" w:name="tocfinal_ch_63"/>
      <w:bookmarkEnd w:id="613"/>
    </w:p>
    <w:p>
      <w:pPr>
        <w:pStyle w:val="Heading2"/>
      </w:pPr>
      <w:r>
        <w:t>63.1 Build the owner workflows, not disconnected screens</w:t>
      </w:r>
    </w:p>
    <w:p>
      <w:pPr/>
      <w:r>
        <w:t>The public site, owner console, API, worker, analytical layer and integration adapters share versioned content/event/policy contracts. A visible control must map to an authorized use case and durable state. Do not create empty folders or mock success endpoints merely to match this document. Code, migrations, tests, diagnostics, failure states and runbooks are delivered together.</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Capability</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Public/owner frontend</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Backend and durable records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Advanced CMS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Draft save/recovery, conflict review, collection builder, imports and release preview.</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ContentSchemaService, DraftService, ImportService, ReleaseService; schema/revision/import/release tables.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Automation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Visual graph, simulation, approvals, execution timeline, pause/stop.</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WorkflowService, Scheduler, ActionDispatcher; versions/runs/nodes/timers/reservations.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Scoring/segments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Rule editor, preview, explanation, membership and overrides.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ScoringService, SegmentService; rule versions, snapshots, contributions and memberships.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Communication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Templates, sender setup, preference center, unified inbox, delivery review.</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MessageService, SuppressionService, ChannelGateway; subscriptions, messages, receipts and cases.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Ads/audiences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Campaign registry, connector diagnostics, audience preview, optional change approval.</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Provider adapters, AudienceSync, ReportingExtractors; mappings, batches, receipts and change requests.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Commerce/feeds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Product editor, feed diagnostics, checkout/orders/returns when activated.</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Catalogue/Price/Inventory/Order/Feed services; product, transaction, ledger and feed snapshots.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Governance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Asset register, privacy requests, audit, monitoring and release evidence.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PolicyService, AuditService, RightsOrchestrator, HealthService; decisions, ledgers and evidence references.</w:t>
            </w:r>
          </w:p>
        </w:tc>
      </w:tr>
    </w:tbl>
    <w:p>
      <w:pPr>
        <w:spacing w:after="60"/>
      </w:pPr>
    </w:p>
    <w:p>
      <w:pPr>
        <w:pStyle w:val="Heading2"/>
      </w:pPr>
      <w:r>
        <w:t>63.2 Repository expansion</w:t>
      </w:r>
    </w:p>
    <w:p>
      <w:pPr/>
      <w:r>
        <w:t>Extend Chapter 27 and Chapter 40 with the following responsibilities. Names can be refined by an architecture decision; boundaries and tests cannot disappear.</w:t>
      </w:r>
    </w:p>
    <w:p>
      <w:pPr>
        <w:pStyle w:val="CodeBlock"/>
        <w:keepNext/>
        <w:keepLines/>
      </w:pPr>
      <w:r>
        <w:t>apps/admin/src/features/</w:t>
      </w:r>
    </w:p>
    <w:p>
      <w:pPr>
        <w:pStyle w:val="CodeBlock"/>
        <w:keepNext/>
        <w:keepLines/>
      </w:pPr>
      <w:r>
        <w:t xml:space="preserve">  marketing-calendar/ offers/ creative-library/</w:t>
      </w:r>
    </w:p>
    <w:p>
      <w:pPr>
        <w:pStyle w:val="CodeBlock"/>
        <w:keepNext/>
        <w:keepLines/>
      </w:pPr>
      <w:r>
        <w:t xml:space="preserve">  cms-drafts/ content-models/ import-center/ release-bundles/</w:t>
      </w:r>
    </w:p>
    <w:p>
      <w:pPr>
        <w:pStyle w:val="CodeBlock"/>
        <w:keepNext/>
        <w:keepLines/>
      </w:pPr>
      <w:r>
        <w:t xml:space="preserve">  automations/ scoring/ segments/ audiences/</w:t>
      </w:r>
    </w:p>
    <w:p>
      <w:pPr>
        <w:pStyle w:val="CodeBlock"/>
        <w:keepNext/>
        <w:keepLines/>
      </w:pPr>
      <w:r>
        <w:t xml:space="preserve">  sender-domains/ message-templates/ unified-inbox/</w:t>
      </w:r>
    </w:p>
    <w:p>
      <w:pPr>
        <w:pStyle w:val="CodeBlock"/>
        <w:keepNext/>
        <w:keepLines/>
      </w:pPr>
      <w:r>
        <w:t xml:space="preserve">  feeds/ reporting/ asset-register/ release-evidence/</w:t>
      </w:r>
    </w:p>
    <w:p>
      <w:pPr>
        <w:pStyle w:val="CodeBlock"/>
        <w:keepNext/>
        <w:keepLines/>
      </w:pPr>
      <w:r>
        <w:t>apps/api/src/modules/</w:t>
      </w:r>
    </w:p>
    <w:p>
      <w:pPr>
        <w:pStyle w:val="CodeBlock"/>
        <w:keepNext/>
        <w:keepLines/>
      </w:pPr>
      <w:r>
        <w:t xml:space="preserve">  content-models/ draft-recovery/ content-releases/ imports/</w:t>
      </w:r>
    </w:p>
    <w:p>
      <w:pPr>
        <w:pStyle w:val="CodeBlock"/>
        <w:keepNext/>
        <w:keepLines/>
      </w:pPr>
      <w:r>
        <w:t xml:space="preserve">  automation/ scoring/ segmentation/ communication/</w:t>
      </w:r>
    </w:p>
    <w:p>
      <w:pPr>
        <w:pStyle w:val="CodeBlock"/>
        <w:keepNext/>
        <w:keepLines/>
      </w:pPr>
      <w:r>
        <w:t xml:space="preserve">  audience-sync/ reporting/ catalog-feeds/ domain-registry/</w:t>
      </w:r>
    </w:p>
    <w:p>
      <w:pPr>
        <w:pStyle w:val="CodeBlock"/>
        <w:keepNext/>
        <w:keepLines/>
      </w:pPr>
      <w:r>
        <w:t>apps/worker/src/jobs/</w:t>
      </w:r>
    </w:p>
    <w:p>
      <w:pPr>
        <w:pStyle w:val="CodeBlock"/>
        <w:keepNext/>
        <w:keepLines/>
      </w:pPr>
      <w:r>
        <w:t xml:space="preserve">  workflow-timers/ message-dispatch/ audience-sync/</w:t>
      </w:r>
    </w:p>
    <w:p>
      <w:pPr>
        <w:pStyle w:val="CodeBlock"/>
        <w:keepNext/>
        <w:keepLines/>
      </w:pPr>
      <w:r>
        <w:t xml:space="preserve">  report-extraction/ feed-reconciliation/ policy-propagation/</w:t>
      </w:r>
    </w:p>
    <w:p>
      <w:pPr>
        <w:pStyle w:val="CodeBlock"/>
        <w:keepNext/>
        <w:keepLines/>
      </w:pPr>
      <w:r>
        <w:t>packages/</w:t>
      </w:r>
    </w:p>
    <w:p>
      <w:pPr>
        <w:pStyle w:val="CodeBlock"/>
        <w:keepNext/>
        <w:keepLines/>
      </w:pPr>
      <w:r>
        <w:t xml:space="preserve">  workflow-schema/ segment-schema/ policy-contracts/</w:t>
      </w:r>
    </w:p>
    <w:p>
      <w:pPr>
        <w:pStyle w:val="CodeBlock"/>
        <w:keepNext/>
        <w:keepLines/>
      </w:pPr>
      <w:r>
        <w:t xml:space="preserve">  provider-contracts/ metric-definitions/ content-migrations/</w:t>
      </w:r>
    </w:p>
    <w:p>
      <w:pPr>
        <w:pStyle w:val="CodeBlock"/>
        <w:keepNext/>
        <w:keepLines/>
      </w:pPr>
      <w:r>
        <w:t>tests/</w:t>
      </w:r>
    </w:p>
    <w:p>
      <w:pPr>
        <w:pStyle w:val="CodeBlock"/>
        <w:keepNext/>
        <w:keepLines/>
      </w:pPr>
      <w:r>
        <w:t xml:space="preserve">  cms-recovery/ workflow-retries/ audience-suppression/</w:t>
      </w:r>
    </w:p>
    <w:p>
      <w:pPr>
        <w:pStyle w:val="CodeBlock"/>
        <w:keepNext/>
        <w:keepLines/>
      </w:pPr>
      <w:r>
        <w:t xml:space="preserve">  sender-auth/ channel-provenance/ feed-consistency/</w:t>
      </w:r>
    </w:p>
    <w:p>
      <w:pPr>
        <w:pStyle w:val="CodeBlock"/>
        <w:keepNext/>
        <w:keepLines/>
      </w:pPr>
      <w:r>
        <w:t xml:space="preserve">  tenant-isolation/ restore-reconciliation/ owner-journeys/</w:t>
      </w:r>
    </w:p>
    <w:p>
      <w:pPr>
        <w:pStyle w:val="CodeBlock"/>
        <w:keepNext/>
        <w:keepLines/>
      </w:pPr>
      <w:r>
        <w:t>docs/</w:t>
      </w:r>
    </w:p>
    <w:p>
      <w:pPr>
        <w:pStyle w:val="CodeBlock"/>
        <w:keepNext/>
        <w:keepLines/>
      </w:pPr>
      <w:r>
        <w:t xml:space="preserve">  capability-register/ provider-verification/ legal-decisions/</w:t>
      </w:r>
    </w:p>
    <w:p>
      <w:pPr>
        <w:pStyle w:val="CodeBlock"/>
        <w:keepNext w:val="0"/>
        <w:keepLines/>
      </w:pPr>
      <w:r>
        <w:t xml:space="preserve">  campaign-runbooks/ data-dictionary/ release-evidence/</w:t>
      </w:r>
    </w:p>
    <w:p>
      <w:pPr>
        <w:spacing w:after="80"/>
      </w:pPr>
    </w:p>
    <w:p>
      <w:pPr>
        <w:pStyle w:val="Heading2"/>
      </w:pPr>
      <w:r>
        <w:t>63.3 Database integrity and entity ownership</w:t>
      </w:r>
    </w:p>
    <w:p>
      <w:pPr/>
      <w:r>
        <w:t>Keep content schemas and workflow definitions as validated versioned structures; store critical identity, amount, lifecycle and unique keys relationally. Enforce site-scoped foreign keys, idempotency keys, immutable published definitions and restricted source-content deletion roles. Use timestamps for occurrence, collection, dispatch and processing separately. Preserve exact money/currency and source timezone.</w:t>
      </w:r>
    </w:p>
    <w:p>
      <w:pPr/>
      <w:r>
        <w:t>Additional tables include offer_versions, creative_assets, content_schema_versions, draft_sessions, import_manifests, content_releases, workflow_versions, workflow_runs, workflow_timers, action_executions, score_snapshots, segment_memberships, message_intents, subscription_preferences, audience_actions, feed_runs, report_sync_runs and asset_register_entries. Every table has an owner, access class, retention/hold policy, indexes and migration fixtures. Do not place raw IP, coordinates or transcripts into every join table for convenience.</w:t>
      </w:r>
    </w:p>
    <w:p>
      <w:pPr/>
      <w:r>
        <w:t>Use transactional outbox for state changes with external effects. Maintain delivery ledgers and stable operation IDs. Separate operational data from analytics and keep sensitive fields encrypted/restricted where justified. A deleted actor or source object must not cascade-delete the minimal audit/tombstone evidence required to explain the action.</w:t>
      </w:r>
    </w:p>
    <w:p>
      <w:pPr>
        <w:pStyle w:val="Heading2"/>
      </w:pPr>
      <w:r>
        <w:t>63.4 API and command additions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Use case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Representative route</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contract</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Save draft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PATCH /v1/admin/content/{id}/draft</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Expected version, schema validation, acknowledged revision; conflict response.</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Preview import</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POST /v1/admin/imports/preview</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Protected source file, mapping, dry-run manifest and errors; no side effects.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Publish release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POST /v1/admin/releases/{id}/publish</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Pinned approved manifest, permissions, audit and invalidation jobs.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Simulate automation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POST /v1/admin/workflows/{id}/simulate</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Synthetic fixtures, virtual clock, no production sends.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Publish/stop workflow</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POST /v1/admin/workflows/{id}/{action}</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Versioned approval, bounded effects, reason and run policy.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Explain score</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GET /v1/admin/leads/{id}/score</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Authorized safe contributions and rule version, not hidden sensitive features.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Preview segment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POST /v1/admin/segments/{id}/preview</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Bounded typed query, permission filter, count/freshness and exclusions.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Reconcile audience</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POST /v1/admin/audiences/{id}/sync</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Current eligibility, approved destination, idempotent batch and safe receipts.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Unsubscribe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POST /v1/preferences/unsubscribe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Appropriate opaque proof; idempotent suppression, no forced login.</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Request campaign change</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POST /v1/admin/ad-changes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Explicit write scope, budget authority, preflight and remote-state tracking.</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Export report</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POST /v1/admin/reports/{id}/exports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Permission-filtered snapshot, expiry, safe formatting and audit.</w:t>
            </w:r>
          </w:p>
        </w:tc>
      </w:tr>
    </w:tbl>
    <w:p>
      <w:pPr>
        <w:spacing w:after="60"/>
      </w:pPr>
    </w:p>
    <w:p>
      <w:pPr/>
      <w:r>
        <w:t>These routes are illustrative; implementation must generate/test OpenAPI against real handlers. All transport styles share domain authorization. Appendix J supplies representative envelopes and state examples, not a complete application codebase.</w:t>
      </w:r>
    </w:p>
    <w:p>
      <w:pPr>
        <w:pStyle w:val="Heading2"/>
      </w:pPr>
      <w:r>
        <w:t>63.5 Events and service boundaries</w:t>
      </w:r>
    </w:p>
    <w:p>
      <w:pPr/>
      <w:r>
        <w:t>Use explicit events such as draft_saved, content_release_published, workflow_enrolled, workflow_action_suppressed, score_recalculated, segment_membership_changed, message_delivery_updated, audience_sync_completed and feed_item_rejected. Define authority, schema, fields, privacy, duplicate scope and consumers. Administrative events do not automatically become GA4 or ad conversions.</w:t>
      </w:r>
    </w:p>
    <w:p>
      <w:pPr/>
      <w:r>
        <w:t>The workflow engine calls approved business commands; the chatbot calls scoped tools; reporting reads governed views. None bypass the policy service through unrestricted SQL. A provider webhook is validated before it becomes trusted input. Public behavior collectors remain unable to assert sales, qualification or successful delivery.</w:t>
      </w:r>
    </w:p>
    <w:p>
      <w:pPr>
        <w:pStyle w:val="Heading2"/>
      </w:pPr>
      <w:r>
        <w:t>63.6 Ordered implementation and evidence</w:t>
      </w:r>
    </w:p>
    <w:p>
      <w:pPr/>
      <w:r>
        <w:t>Build policy/identity/audit and source-content integrity first; then CMS draft/collection/release operations; then attribution/form/chat transactions; then workflow and communication dispatch; then scoring/segments/audiences; then feed/reporting/campaign integrations and conditional business modules. Finish owner operations, load/security/privacy tests, backup/portability proof and launch preflight.</w:t>
      </w:r>
    </w:p>
    <w:p>
      <w:pPr/>
      <w:r>
        <w:t>Every work package includes a dependency list, completed owner task, tested API/database behavior, synthetic fixtures, negative tests, provider evidence, operational alerts and documentation. Code review and passing mocks are not enough to mark an external integration complete. The release register states Passed, Failed, Blocked, Not Implemented or Not Applicable with reasons.</w:t>
      </w:r>
    </w:p>
    <w:p>
      <w:pPr>
        <w:pStyle w:val="Heading1"/>
        <w:pageBreakBefore/>
      </w:pPr>
      <w:bookmarkStart w:id="323" w:name="v12_ch64"/>
      <w:r>
        <w:t>64 | Master testing, acceptance and release evidence</w:t>
      </w:r>
      <w:bookmarkEnd w:id="323"/>
      <w:bookmarkStart w:id="614" w:name="tocfinal_ch_64"/>
      <w:bookmarkEnd w:id="614"/>
    </w:p>
    <w:p>
      <w:pPr>
        <w:pStyle w:val="Heading2"/>
      </w:pPr>
      <w:r>
        <w:t>64.1 Trace every activated requirement to a test</w:t>
      </w:r>
    </w:p>
    <w:p>
      <w:pPr/>
      <w:r>
        <w:t>Retain Chapter 30, Appendix B and Appendix G. Execute the additional tests in Appendix I for the new capabilities. Each case specifies setup, action, expected result, environment, evidence, owner and status. Default status is Not executed. Include both code and configuration changes: a CMS edit, tag publication, new audience or DNS change can break production without a Git commit.</w:t>
      </w:r>
    </w:p>
    <w:p>
      <w:pPr/>
      <w:r>
        <w:t>Use unit, integration, contract, end-to-end, visual/accessibility, security/privacy, performance, recovery and real-provider tests. Mocks isolate logic but do not prove permissions, webhook authenticity, platform acceptance or provider policy eligibility. Test the selected deployment profile and actual supported browsers, including in-app browsers used by paid campaigns.</w:t>
      </w:r>
    </w:p>
    <w:p>
      <w:pPr>
        <w:pStyle w:val="Heading2"/>
      </w:pPr>
      <w:r>
        <w:t>64.2 Synthetic data and environment controls</w:t>
      </w:r>
    </w:p>
    <w:p>
      <w:pPr/>
      <w:r>
        <w:t>Use nonreal identities, dedicated test recipients/accounts/campaigns and clearly marked fixtures. Prevent staging from sending real customer messages or polluting ad optimization. Test modes must be enforced at dispatcher/account configuration, not just a UI badge. Protect staging access and prevent accidental indexing while still testing production crawlability at launch.</w:t>
      </w:r>
    </w:p>
    <w:p>
      <w:pPr/>
      <w:r>
        <w:t>Prepare fixtures for Unicode names, international phone/address formats, long translated copy, narrow screens, missing media, stale content, old schema revisions, opt-outs, sensitive markers, duplicate events, invalid payloads and out-of-order callbacks. Use a virtual clock for expiry/retention and workflow tests, including a date beyond one year to prove no automatic source-blog or trash purge.</w:t>
      </w:r>
    </w:p>
    <w:p>
      <w:pPr>
        <w:pStyle w:val="Heading2"/>
      </w:pPr>
      <w:r>
        <w:t>64.3 Golden end-to-end journey</w:t>
      </w:r>
    </w:p>
    <w:p>
      <w:pPr/>
      <w:r>
        <w:t>Demonstrate the user's original journey: tagged visit → approved consent choice → eligible A/B variant → CTA click → qualifying pricing visibility → resource click → form or chat capture → committed lead → owner assignment → eligible follow-up → trusted qualification → sale/booking where activated → permitted ad feedback → reporting reconciliation. Optional precise location is a separate deliberate service task with refusal/manual fallback.</w:t>
      </w:r>
    </w:p>
    <w:p>
      <w:pPr/>
      <w:r>
        <w:t>Repeat with optional tracking refused: the site, form, chatbot and core service still work; no prohibited earlier history, audience membership or ad sends appear. Repeat with malformed UTMs, disabled storage, blocked tags, provider outage and duplicate submission. The report must show unknown/not collected where appropriate, not fabricate a complete journey.</w:t>
      </w:r>
    </w:p>
    <w:p>
      <w:pPr>
        <w:pStyle w:val="Heading2"/>
      </w:pPr>
      <w:r>
        <w:t>64.4 Owner independence and preservation demonstration</w:t>
      </w:r>
    </w:p>
    <w:p>
      <w:pPr/>
      <w:r>
        <w:t>The owner creates a custom collection from approved fields, edits a page, recovers a draft, resolves a conflict, imports synthetic content, publishes a release and rolls back safely. They build a campaign URL, simulate/publish/pause a workflow, inspect a score, review a segment, manage an inbox case and resolve a feed or delivery error where activated.</w:t>
      </w:r>
    </w:p>
    <w:p>
      <w:pPr/>
      <w:r>
        <w:t>Then an editor manually trashes a blog with a reason. Verify actor/time, route/search/chat invalidation, no automatic expiry, safe restore and separate independent purge approval. Run cleanup jobs after advancing the clock, attempt unauthorized deletion, deactivate the deleting actor and restore a backup. Source preservation and attributable audit must remain correct; lawfully purged data must not be resurrected.</w:t>
      </w:r>
    </w:p>
    <w:p>
      <w:pPr>
        <w:pStyle w:val="Heading2"/>
      </w:pPr>
      <w:r>
        <w:t>64.5 Release gates and evidence packet</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Gate</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proof</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Blocking failures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Content and UX</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Real content/claims, responsive/keyboard flows, working destinations and owner tasks.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Broken primary journeys, inaccessible essential actions, fabricated claims.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SEO and paid readiness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Route/index policy, rendered crawl, approved goals/accounts, test destinations and diagnostics.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Accidental production blocking, invalid destinations, known misleading conversion goals.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Data and privacy</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Field maps, choices, suppression, sensitive-data negative tests and rights workflow.</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Unauthorized collection/disclosure or bypassed withdrawal.</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Security and integrity</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Scoped access, secret/upload/API tests, durable transactions and protected audit.</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Data leakage, unauthorized changes or unaudited destructive action.</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Reliability and operations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Load results, real restore, alerts, runbooks and named support.</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Lost acknowledged leads, untested recovery or unowned critical alerts.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Integrations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Real permissions, validated receipts, retry/correction and reconciliation.</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Mock-only claims, unverified consequential writes or provider-policy blockers.</w:t>
            </w:r>
          </w:p>
        </w:tc>
      </w:tr>
    </w:tbl>
    <w:p>
      <w:pPr>
        <w:spacing w:after="60"/>
      </w:pPr>
    </w:p>
    <w:p>
      <w:pPr/>
      <w:r>
        <w:t>Store the evidence packet with release commit/build, migrations, configuration versions, content manifest, provider/API versions, test reports, accessibility/performance results, risk exceptions, backup/restore evidence, owner training and approval. Sensitive traces remain restricted. A checklist tick without a linked observation is not evidence.</w:t>
      </w:r>
    </w:p>
    <w:p>
      <w:pPr>
        <w:pStyle w:val="Heading2"/>
      </w:pPr>
      <w:r>
        <w:t>64.6 Production activation and aftercare</w:t>
      </w:r>
    </w:p>
    <w:p>
      <w:pPr/>
      <w:r>
        <w:t>Use approved change windows, backups, migration checks, cache/domain validation and production smoke tests. Activate optional tags, messaging, audiences and spend in controlled stages only after their prerequisites pass. Monitor live destination errors, rejected conversions, lead routing, consent, billing and support load. Confirm both success and fallback paths with synthetic data.</w:t>
      </w:r>
    </w:p>
    <w:p>
      <w:pPr/>
      <w:r>
        <w:t>Define rollback/stop thresholds and who can act. A critical privacy/security issue stops affected processing even when campaign performance appears positive. After stabilization, review defects and update the master requirements through change control. Completion means the approved scope passed with disclosed residual risks, not that no future maintenance will ever be needed.</w:t>
      </w:r>
    </w:p>
    <w:p>
      <w:pPr>
        <w:pStyle w:val="SmallNote"/>
        <w:spacing w:before="120"/>
      </w:pPr>
      <w:r>
        <w:t>Final edition integration: Execute Appendix N in addition to inherited tests; use Chapter 78 and Appendix P for final status and sign-off.</w:t>
      </w:r>
    </w:p>
    <w:p>
      <w:pPr>
        <w:pStyle w:val="Heading1"/>
        <w:pageBreakBefore/>
      </w:pPr>
      <w:bookmarkStart w:id="324" w:name="v12_ch65"/>
      <w:r>
        <w:t>65 | Delivery governance, operating calendar and living standard</w:t>
      </w:r>
      <w:bookmarkEnd w:id="324"/>
      <w:bookmarkStart w:id="615" w:name="tocfinal_ch_65"/>
      <w:bookmarkEnd w:id="615"/>
    </w:p>
    <w:p>
      <w:pPr>
        <w:pStyle w:val="Heading2"/>
        <w:spacing w:before="200" w:after="100"/>
      </w:pPr>
      <w:r>
        <w:t>65.1 Scope, procurement and accountable ownership</w:t>
      </w:r>
    </w:p>
    <w:p>
      <w:pPr>
        <w:spacing w:after="80" w:line="250" w:lineRule="auto"/>
      </w:pPr>
      <w:r>
        <w:t>The owner approves business objectives, content, activated modules, budgets, data purposes and service expectations. Product/design owns journeys; engineering owns implementation and integrity; marketing owns campaigns and metric interpretation; operations owns deployment/recovery; a qualified privacy/security/legal reviewer owns applicable decisions. Name a backup for critical roles. Small teams may combine roles but must preserve independent approval where required.</w:t>
      </w:r>
    </w:p>
    <w:p>
      <w:pPr>
        <w:spacing w:after="80" w:line="250" w:lineRule="auto"/>
      </w:pPr>
      <w:r>
        <w:t>Evaluate build-versus-buy against owner workflow, accessibility, security support, integration/export quality, licensing, price, limits, region and operational skill. A self-hosted product still has dependencies and maintenance. A managed product may be appropriate when it passes ownership/exit requirements. No paid tool is mandatory solely because it appears as an example in a source reference.</w:t>
      </w:r>
    </w:p>
    <w:p>
      <w:pPr>
        <w:pStyle w:val="Heading2"/>
        <w:spacing w:before="200" w:after="100"/>
      </w:pPr>
      <w:r>
        <w:t>65.2 Phased delivery and revised estimation</w:t>
      </w:r>
    </w:p>
    <w:p>
      <w:pPr>
        <w:spacing w:after="80" w:line="250" w:lineRule="auto"/>
      </w:pPr>
      <w:r>
        <w:t>The earlier core schedule is an illustrative historical baseline, not a commitment for the expanded profile. Estimate the selected v1.2 work packages, content readiness, provider approvals, statistical design, legal review, migration, owner training and operating support separately. Do not pretend a complete custom CMS/workflow/ads platform fits a brochure-site budget.</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spacing w:after="40" w:line="245" w:lineRule="auto"/>
            </w:pPr>
            <w:r>
              <w:rPr>
                <w:rFonts w:ascii="Lato" w:hAnsi="Lato"/>
                <w:b/>
                <w:color w:val="FFFFFF"/>
                <w:sz w:val="18"/>
              </w:rPr>
              <w:t>Phase</w:t>
            </w:r>
          </w:p>
        </w:tc>
        <w:tc>
          <w:tcPr>
            <w:tcW w:type="dxa" w:w="6783"/>
            <w:vAlign w:val="top"/>
            <w:shd w:fill="163349"/>
            <w:tcMar>
              <w:top w:w="90" w:type="dxa"/>
              <w:bottom w:w="85" w:type="dxa"/>
              <w:left w:w="105" w:type="dxa"/>
              <w:right w:w="105" w:type="dxa"/>
            </w:tcMar>
          </w:tcPr>
          <w:p>
            <w:pPr>
              <w:pStyle w:val="TableText"/>
              <w:keepNext w:val="0"/>
              <w:keepLines w:val="0"/>
              <w:spacing w:after="40" w:line="245" w:lineRule="auto"/>
            </w:pPr>
            <w:r>
              <w:rPr>
                <w:rFonts w:ascii="Lato" w:hAnsi="Lato"/>
                <w:b/>
                <w:color w:val="FFFFFF"/>
                <w:sz w:val="18"/>
              </w:rPr>
              <w:t>Exit deliverables</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Discover and approve</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Site brief, activation matrix, business/data decisions, sitemap, account ownership and cost assumptions.</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Design foundations</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Design system, content/event/policy schemas, auth, database, audit and deployment skeleton with tests.</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Content and owner operations</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CMS safety, collections, imports, releases, blogs/media, SEO controls and owner task evidence.</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Business and measurement</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Durable forms/chat, attribution, experiments, CRM and trusted conversion feedback.</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Growth operations</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Automation, communication, segments/audiences, feeds/reporting and selected campaign-management adapters.</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Conditional modules</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Complete chosen commerce/booking/portal/industry workflows with their own gates.</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Harden and launch</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Security/privacy/accessibility/load/recovery/migration proof, real integrations, training and controlled activation.</w:t>
            </w:r>
          </w:p>
        </w:tc>
      </w:tr>
    </w:tbl>
    <w:p>
      <w:pPr>
        <w:spacing w:after="80" w:line="250" w:lineRule="auto"/>
      </w:pPr>
    </w:p>
    <w:p>
      <w:pPr>
        <w:spacing w:after="80" w:line="250" w:lineRule="auto"/>
      </w:pPr>
      <w:r>
        <w:t>No phase is complete because a menu exists. Dependencies, blocked provider permissions and unfinished business inputs remain explicit. A reduced first release is allowed only through an approved scope profile, not an undocumented omission.</w:t>
      </w:r>
    </w:p>
    <w:p>
      <w:pPr>
        <w:pStyle w:val="Heading2"/>
        <w:spacing w:before="200" w:after="100"/>
      </w:pPr>
      <w:r>
        <w:t>65.3 Cost and capacity worksheet</w:t>
      </w:r>
    </w:p>
    <w:p>
      <w:pPr>
        <w:spacing w:after="80" w:line="250" w:lineRule="auto"/>
      </w:pPr>
      <w:r>
        <w:t>Budget one-time discovery/design/build/migration/training separately from recurring infrastructure, maintenance, content, ad spend, messaging/calls, tools, analytics, AI, geo and transaction charges. Include logs, backups, export/egress, retries, staging, security review, support and taxes. Recheck current vendor prices when estimating a real project rather than putting transient prices into an evergreen standard.</w:t>
      </w:r>
    </w:p>
    <w:p>
      <w:pPr>
        <w:spacing w:after="80" w:line="250" w:lineRule="auto"/>
      </w:pPr>
      <w:r>
        <w:t>Model traffic and business volume, not only registered users. Estimate page transfer, eligible events, messages, peak concurrency, database growth, storage retention, index overhead and restored-data size. Use low/base/high scenarios and an explicit margin for uncertainty. Cost controls must degrade optional services safely and never discard acknowledged leads or preserved source content.</w:t>
      </w:r>
    </w:p>
    <w:p>
      <w:pPr>
        <w:pStyle w:val="Heading2"/>
        <w:spacing w:before="200" w:after="100"/>
      </w:pPr>
      <w:r>
        <w:t>65.4 Operating calendar</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spacing w:after="40" w:line="245" w:lineRule="auto"/>
            </w:pPr>
            <w:r>
              <w:rPr>
                <w:rFonts w:ascii="Lato" w:hAnsi="Lato"/>
                <w:b/>
                <w:color w:val="FFFFFF"/>
                <w:sz w:val="18"/>
              </w:rPr>
              <w:t>Cadence/trigger</w:t>
            </w:r>
          </w:p>
        </w:tc>
        <w:tc>
          <w:tcPr>
            <w:tcW w:type="dxa" w:w="6783"/>
            <w:vAlign w:val="top"/>
            <w:shd w:fill="163349"/>
            <w:tcMar>
              <w:top w:w="90" w:type="dxa"/>
              <w:bottom w:w="85" w:type="dxa"/>
              <w:left w:w="105" w:type="dxa"/>
              <w:right w:w="105" w:type="dxa"/>
            </w:tcMar>
          </w:tcPr>
          <w:p>
            <w:pPr>
              <w:pStyle w:val="TableText"/>
              <w:keepNext w:val="0"/>
              <w:keepLines w:val="0"/>
              <w:spacing w:after="40" w:line="245" w:lineRule="auto"/>
            </w:pPr>
            <w:r>
              <w:rPr>
                <w:rFonts w:ascii="Lato" w:hAnsi="Lato"/>
                <w:b/>
                <w:color w:val="FFFFFF"/>
                <w:sz w:val="18"/>
              </w:rPr>
              <w:t>Required review</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Before publication/campaign</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Claims, prices, links, locale, consent, tracking goal, real test lead, staff capacity and budget approval.</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Daily during active operations</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Unassigned leads/chats, failed delivery, destination errors, account/feed health, alerts and suspicious changes.</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Weekly</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Campaign quality/spend, search/content backlog, experiment guardrails, automation failures, broken links and reporting freshness.</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Monthly</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Permissions, authentication/delivery, dependency/security updates, retention/rights tasks, usage/cost and owner usability.</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Quarterly or risk-based</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Restore/portability exercise, incident rehearsal, provider/API/policy review, accessibility/performance regression and legal applicability.</w:t>
            </w:r>
          </w:p>
        </w:tc>
      </w:tr>
      <w:tr>
        <w:trPr>
          <w:cantSplit/>
        </w:trPr>
        <w:tc>
          <w:tcPr>
            <w:tcW w:type="dxa" w:w="3048"/>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Annual editorial review</w:t>
            </w:r>
          </w:p>
        </w:tc>
        <w:tc>
          <w:tcPr>
            <w:tcW w:type="dxa" w:w="6783"/>
            <w:vAlign w:val="top"/>
            <w:shd w:fill="FFFFFF"/>
            <w:tcMar>
              <w:top w:w="90" w:type="dxa"/>
              <w:bottom w:w="85" w:type="dxa"/>
              <w:left w:w="105" w:type="dxa"/>
              <w:right w:w="105" w:type="dxa"/>
            </w:tcMar>
          </w:tcPr>
          <w:p>
            <w:pPr>
              <w:pStyle w:val="TableText"/>
              <w:keepNext w:val="0"/>
              <w:keepLines w:val="0"/>
              <w:spacing w:after="40" w:line="245" w:lineRule="auto"/>
            </w:pPr>
            <w:r>
              <w:rPr>
                <w:rFonts w:ascii="Lato" w:hAnsi="Lato"/>
                <w:sz w:val="18"/>
              </w:rPr>
              <w:t>Review articles, ownership, claims and relevance; create human tasks only, never automatic blog deletion.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Urgent change</w:t>
            </w:r>
          </w:p>
        </w:tc>
        <w:tc>
          <w:tcPr>
            <w:tcW w:type="dxa" w:w="6783"/>
            <w:vAlign w:val="top"/>
            <w:shd w:fill="F1F6F9"/>
            <w:tcMar>
              <w:top w:w="90" w:type="dxa"/>
              <w:bottom w:w="85" w:type="dxa"/>
              <w:left w:w="105" w:type="dxa"/>
              <w:right w:w="105" w:type="dxa"/>
            </w:tcMar>
          </w:tcPr>
          <w:p>
            <w:pPr>
              <w:pStyle w:val="TableText"/>
              <w:keepNext w:val="0"/>
              <w:keepLines w:val="0"/>
              <w:spacing w:after="40" w:line="245" w:lineRule="auto"/>
            </w:pPr>
            <w:r>
              <w:rPr>
                <w:rFonts w:ascii="Lato" w:hAnsi="Lato"/>
                <w:sz w:val="18"/>
              </w:rPr>
              <w:t>Exploited vulnerability, privacy incident, provider deprecation, restricted account, law/policy change or business-model change triggers immediate triage.</w:t>
            </w:r>
          </w:p>
        </w:tc>
      </w:tr>
    </w:tbl>
    <w:p>
      <w:pPr>
        <w:spacing w:after="80" w:line="250" w:lineRule="auto"/>
      </w:pPr>
    </w:p>
    <w:p>
      <w:pPr>
        <w:spacing w:after="80" w:line="250" w:lineRule="auto"/>
      </w:pPr>
      <w:r>
        <w:t>The exact cadence is approved per risk. Time-critical security or legal action must not wait for the next scheduled meeting. Appendices K and L provide operating and verification templates.</w:t>
      </w:r>
    </w:p>
    <w:p>
      <w:pPr>
        <w:pStyle w:val="Heading2"/>
        <w:spacing w:before="200" w:after="100"/>
      </w:pPr>
      <w:r>
        <w:t>65.5 Handover and independence</w:t>
      </w:r>
    </w:p>
    <w:p>
      <w:pPr>
        <w:spacing w:after="80" w:line="250" w:lineRule="auto"/>
      </w:pPr>
      <w:r>
        <w:t>Deliver business-owned accounts, source, deployment and rollback instructions, migrations, content/media and configuration exports, event/metric dictionaries, provider maps, privacy/retention decisions, tests, monitoring, recovery and support contacts. Transfer credentials securely, revoke temporary access and validate recovery. A second developer deploys from repository instructions; a second operator completes core owner tasks.</w:t>
      </w:r>
    </w:p>
    <w:p>
      <w:pPr>
        <w:spacing w:after="80" w:line="250" w:lineRule="auto"/>
      </w:pPr>
      <w:r>
        <w:t>The owner can manage approved content, templates, forms, campaigns, workflows and settings without routine code edits. New executable components, sensitive processing, infrastructure changes and major upgrades remain qualified maintenance work. This boundary protects independence without granting unsafe arbitrary production access.</w:t>
      </w:r>
    </w:p>
    <w:p>
      <w:pPr>
        <w:pStyle w:val="Heading2"/>
        <w:spacing w:before="200" w:after="100"/>
      </w:pPr>
      <w:r>
        <w:t>65.6 Standard maintenance and final implementation instruction</w:t>
      </w:r>
    </w:p>
    <w:p>
      <w:pPr>
        <w:spacing w:after="80" w:line="250" w:lineRule="auto"/>
      </w:pPr>
      <w:r>
        <w:t>Use this edition with a completed site brief and the activated requirement register. Preserve the original Chapters 01–41 and the v1.2 additions. Complete every applicable requirement across frontend, API, database, provider, owner workflow, security/privacy, logs, tests and runbook. Report statuses honestly and attach evidence. Never fabricate business facts, tracking identities, precise coordinates, provider acceptance, test results or rankings.</w:t>
      </w:r>
    </w:p>
    <w:p>
      <w:pPr>
        <w:spacing w:after="80" w:line="250" w:lineRule="auto"/>
      </w:pPr>
      <w:r>
        <w:t>Maintain a version history and deprecation register. For each external rule/API, record official source, last checked date, applicable account/version, owner, next review trigger and tests. New platform features or industry requirements are evaluated through the same completeness process. A reusable website bible is a maintained standard with accountable evidence, not a promise that one document can freeze the entire future web.</w:t>
      </w:r>
    </w:p>
    <w:p>
      <w:pPr>
        <w:pStyle w:val="SmallNote"/>
        <w:spacing w:before="120" w:after="80" w:line="250" w:lineRule="auto"/>
      </w:pPr>
      <w:r>
        <w:t>Final edition integration: Use the v1.3 source-merge and clarification register in Appendix M. Freeze this edition per project and maintain reviewed provider/business changes.</w:t>
      </w:r>
    </w:p>
    <w:p>
      <w:pPr>
        <w:pStyle w:val="Heading1"/>
        <w:keepNext/>
      </w:pPr>
      <w:r>
        <w:t>66 | Current search surfaces, AI discovery and platform-change controls</w:t>
      </w:r>
      <w:bookmarkStart w:id="510" w:name="final_ch_66"/>
      <w:bookmarkEnd w:id="510"/>
      <w:bookmarkStart w:id="616" w:name="tocfinal_ch_66"/>
      <w:bookmarkEnd w:id="616"/>
    </w:p>
    <w:p>
      <w:pPr>
        <w:pStyle w:val="Heading2"/>
        <w:keepNext/>
      </w:pPr>
      <w:r>
        <w:t>66.1 The search-surface register</w:t>
      </w:r>
    </w:p>
    <w:p>
      <w:r>
        <w:t>This chapter extends Chapters 10, 11, 49 and 50. Deliver an owner-visible Search Readiness register with a separate row for ordinary web search, local discovery, product results, image/video search, news/Discover, eligible jobs/events, generative search and any selected regional search feature. Record the intended audience, canonical routes, required business facts, public/private boundary, provider account, supported markup/feed, evidence, status and review owner. A page may be eligible for several surfaces without obtaining exposure on any of them. Do not aggregate eligibility flags into a fabricated Google ranking score.</w:t>
      </w:r>
    </w:p>
    <w:p>
      <w:r>
        <w:t>For each surface, distinguish not applicable, configured, technically validated, submitted where applicable, observed in provider reporting, restricted and awaiting evidence. The public site must remain usable while a verification or reporting feature is unavailable. Search Console property ownership, domain variants and staff recovery are business assets, not agency-only access.</w:t>
      </w:r>
    </w:p>
    <w:p>
      <w:pPr>
        <w:pStyle w:val="Heading2"/>
        <w:keepNext/>
      </w:pPr>
      <w:r>
        <w:t>66.2 Generative search: eligibility and observable reporting</w:t>
      </w:r>
    </w:p>
    <w:p>
      <w:r>
        <w:t xml:space="preserve">The official AI optimization guidance consulted for this edition requires ordinary indexing/snippet eligibility and inclusion in Search generative AI features through Search Console. It does not prescribe special AI markup or llms.txt as a ranking mechanism. Treat that account setting as a specific launch check rather than assuming technical SEO alone confirms activation. </w:t>
      </w:r>
      <w:hyperlink w:anchor="ref_R107">
        <w:r>
          <w:rPr>
            <w:color w:val="087F83"/>
            <w:rFonts w:ascii="Lato" w:hAnsi="Lato"/>
          </w:rPr>
          <w:t xml:space="preserve">[R107]</w:t>
        </w:r>
      </w:hyperlink>
      <w:r/>
    </w:p>
    <w:p>
      <w:r>
        <w:t xml:space="preserve">Google now documents a Generative AI performance report for Search, including AI Overviews and AI Mode impressions. The report may be absent when there are insufficient impressions. Its dimensions and timezone must be preserved; absence is not evidence of a broken website, and impressions are not a visitor identity or a sale. </w:t>
      </w:r>
      <w:hyperlink w:anchor="ref_R108">
        <w:r>
          <w:rPr>
            <w:color w:val="087F83"/>
            <w:rFonts w:ascii="Lato" w:hAnsi="Lato"/>
          </w:rPr>
          <w:t xml:space="preserve">[R108]</w:t>
        </w:r>
      </w:hyperlink>
      <w:r/>
    </w:p>
    <w:p>
      <w:r>
        <w:t>Implementation: add search_surface_settings and search_report_snapshots with property, surface, source period, timezone, canonical URL, metric definition, ingestion time and provenance. Check supported API/export access independently from UI availability. When an API does not expose a report, provide a documented manual evidence upload instead of scraping authenticated interfaces or fabricating a connector. Label unavailable dimensions and never join aggregate AI impressions to named visitors.</w:t>
      </w:r>
    </w:p>
    <w:p>
      <w:pPr>
        <w:pStyle w:val="Heading2"/>
        <w:keepNext/>
      </w:pPr>
      <w:r>
        <w:t>66.3 Additional discovery features and other search engines</w:t>
      </w:r>
    </w:p>
    <w:p>
      <w:r>
        <w:t xml:space="preserve">For an eligible publication, record whether readers can select it as a preferred source. Google's current guidance supports domain/subdomain-level sources and gives button/deep-link options; a blog subdirectory is not itself an eligible source identity. This is a reader-controlled discovery feature, not a purchased or universal ranking boost. </w:t>
      </w:r>
      <w:hyperlink w:anchor="ref_R109">
        <w:r>
          <w:rPr>
            <w:color w:val="087F83"/>
            <w:rFonts w:ascii="Lato" w:hAnsi="Lato"/>
          </w:rPr>
          <w:t xml:space="preserve">[R109]</w:t>
        </w:r>
      </w:hyperlink>
      <w:r/>
    </w:p>
    <w:p>
      <w:r>
        <w:t xml:space="preserve">The regional search-feature register must evaluate the company's actual location, query category and published eligibility. Google's documented regional experiences include supplier/aggregator and other specialized units; they are not available to every business in every country. </w:t>
      </w:r>
      <w:hyperlink w:anchor="ref_R110">
        <w:r>
          <w:rPr>
            <w:color w:val="087F83"/>
            <w:rFonts w:ascii="Lato" w:hAnsi="Lato"/>
          </w:rPr>
          <w:t xml:space="preserve">[R110]</w:t>
        </w:r>
      </w:hyperlink>
      <w:r>
        <w:t xml:space="preserve"> Keep eligibility evidence and a meaningful fallback; never create a false address to qualify.</w:t>
      </w:r>
    </w:p>
    <w:p>
      <w:r>
        <w:t xml:space="preserve">Include Bing Webmaster Tools and other search/discovery providers selected by the audience in the account register. For participating search engines, IndexNow can notify changed URLs after ownership-key validation; acceptance does not mean indexing, and it is not a general Google indexing mechanism. </w:t>
      </w:r>
      <w:hyperlink w:anchor="ref_R111">
        <w:r>
          <w:rPr>
            <w:color w:val="087F83"/>
            <w:rFonts w:ascii="Lato" w:hAnsi="Lato"/>
          </w:rPr>
          <w:t xml:space="preserve">[R111]</w:t>
        </w:r>
      </w:hyperlink>
      <w:r>
        <w:t xml:space="preserve"> Use one publication event to enqueue eligible sitemap/feed/index-notification updates. Keep provider-specific adapters, rate limits, duplicate handling, last-known state and disabled-provider behavior.</w:t>
      </w:r>
    </w:p>
    <w:p>
      <w:pPr>
        <w:pStyle w:val="Heading2"/>
        <w:keepNext/>
      </w:pPr>
      <w:r>
        <w:t>66.4 AI-generated media: preserve provenance while removing private metadata</w:t>
      </w:r>
    </w:p>
    <w:p>
      <w:r>
        <w:t xml:space="preserve">The updated Google guidance explicitly extends human review to generated titles, descriptions, structured data and alt text. It also describes Merchant Center requirements for AI-generated image metadata and separately labeled generated product data. </w:t>
      </w:r>
      <w:hyperlink w:anchor="ref_R112">
        <w:r>
          <w:rPr>
            <w:color w:val="087F83"/>
            <w:rFonts w:ascii="Lato" w:hAnsi="Lato"/>
          </w:rPr>
          <w:t xml:space="preserve">[R112]</w:t>
        </w:r>
      </w:hyperlink>
      <w:r>
        <w:t xml:space="preserve"> The media pipeline must therefore remove unnecessary private EXIF data without blindly stripping mandatory provenance, rights or AI-generation metadata.</w:t>
      </w:r>
    </w:p>
    <w:p>
      <w:r>
        <w:t>Classify metadata fields as private/remove, rights/preserve, required-by-destination/preserve, or unknown/review. Record whether the original is human-created, generated, materially edited or uncertain. Save source permission, approved transformations and a derivative manifest. Validate the actual exported image/feed, not merely the original upload. A loss of required metadata blocks the affected feed, not deletion of the source asset. Avoid representing an AI-generated person as a real employee or customer testimonial.</w:t>
      </w:r>
    </w:p>
    <w:p>
      <w:pPr>
        <w:pStyle w:val="Heading2"/>
        <w:keepNext/>
      </w:pPr>
      <w:r>
        <w:t>66.5 Agent-compatible sites without weakening authorization</w:t>
      </w:r>
    </w:p>
    <w:p>
      <w:r>
        <w:t xml:space="preserve">Semantic labels, stable controls, explicit prices, accessible states and durable confirmations also help browser agents interact with sites. Current web.dev guidance discusses screenshots, DOM and accessibility-tree interaction and identifies WebMCP as an evolving proposal. </w:t>
      </w:r>
      <w:hyperlink w:anchor="ref_R113">
        <w:r>
          <w:rPr>
            <w:color w:val="087F83"/>
            <w:rFonts w:ascii="Lato" w:hAnsi="Lato"/>
          </w:rPr>
          <w:t xml:space="preserve">[R113]</w:t>
        </w:r>
      </w:hyperlink>
      <w:r>
        <w:t xml:space="preserve"> Agent compatibility is a conditional interface capability, not a Google ranking requirement.</w:t>
      </w:r>
    </w:p>
    <w:p>
      <w:r>
        <w:t>An agent action must pass the same account, object, payment, consent and confirmation controls as a human action. Reading a page does not grant permission to submit an order or export records. Any WebMCP, MCP, commerce protocol or machine-action adapter needs a version-pinned schema, supported-client decision, delegated authority, short-lived credentials, replay protection, transaction preview and cancellation policy. Do not expose an unauthenticated tool that bypasses checkout or allows content purge. Unsupported agents retain the ordinary accessible human workflow.</w:t>
      </w:r>
    </w:p>
    <w:p>
      <w:pPr>
        <w:pStyle w:val="Heading2"/>
        <w:keepNext/>
      </w:pPr>
      <w:r>
        <w:t>66.6 Completion and source freshness</w:t>
      </w:r>
    </w:p>
    <w:p>
      <w:r>
        <w:t xml:space="preserve">Deliver the surface register, approved Search Console settings record, source-appropriate schema/feed fixtures, AI-media metadata tests and a reporting capability matrix. Check the official update register before implementation and launch; changes affecting an active surface create a reviewed migration task. </w:t>
      </w:r>
      <w:hyperlink w:anchor="ref_R114">
        <w:r>
          <w:rPr>
            <w:color w:val="087F83"/>
            <w:rFonts w:ascii="Lato" w:hAnsi="Lato"/>
          </w:rPr>
          <w:t xml:space="preserve">[R114]</w:t>
        </w:r>
      </w:hyperlink>
      <w:r>
        <w:t xml:space="preserve"> The exact UI labels and account availability are recorded in the project's evidence, not assumed from a permanent document screenshot.</w:t>
      </w:r>
    </w:p>
    <w:p>
      <w:pPr>
        <w:pStyle w:val="Heading1"/>
        <w:keepNext/>
      </w:pPr>
      <w:r>
        <w:t>67 | Google Ads visibility, bidding economics and operating playbook</w:t>
      </w:r>
      <w:bookmarkStart w:id="511" w:name="final_ch_67"/>
      <w:bookmarkEnd w:id="511"/>
      <w:bookmarkStart w:id="617" w:name="tocfinal_ch_67"/>
      <w:bookmarkEnd w:id="617"/>
    </w:p>
    <w:p>
      <w:pPr>
        <w:pStyle w:val="Heading2"/>
        <w:keepNext/>
      </w:pPr>
      <w:r>
        <w:t>67.1 Translate “rank at the top” into a business objective</w:t>
      </w:r>
    </w:p>
    <w:p>
      <w:r>
        <w:t xml:space="preserve">Separate visibility, qualified demand and profitable revenue. Google's Ad Rank depends on auction-time factors, and the displayed Quality Score is diagnostic rather than an auction input. Top and absolute-top impression rates describe served impressions; impression-share metrics use eligible opportunities and are different denominators. </w:t>
      </w:r>
      <w:hyperlink w:anchor="ref_R115">
        <w:r>
          <w:rPr>
            <w:color w:val="087F83"/>
            <w:rFonts w:ascii="Lato" w:hAnsi="Lato"/>
          </w:rPr>
          <w:t xml:space="preserve">[R115]</w:t>
        </w:r>
      </w:hyperlink>
      <w:r>
        <w:t xml:space="preserve"> The owner must select which outcome matters before choosing a bid strategy.</w:t>
      </w:r>
    </w:p>
    <w:p>
      <w:r>
        <w:t xml:space="preserve">Target impression share can seek top, absolute-top or other Search placement, with a maximum CPC bid limit. It is a visibility strategy, not a guarantee that every auction will be won or that leads will be profitable. </w:t>
      </w:r>
      <w:hyperlink w:anchor="ref_R116">
        <w:r>
          <w:rPr>
            <w:color w:val="087F83"/>
            <w:rFonts w:ascii="Lato" w:hAnsi="Lato"/>
          </w:rPr>
          <w:t xml:space="preserve">[R116]</w:t>
        </w:r>
      </w:hyperlink>
      <w:r>
        <w:t xml:space="preserve"> For a conversion-led business, test economic outcomes before choosing maximum visibility as the default. Do not click the business's own live ads to inspect position; use available preview/diagnostic tools and account evidence.</w:t>
      </w:r>
    </w:p>
    <w:p>
      <w:pPr>
        <w:pStyle w:val="Heading2"/>
        <w:keepNext/>
      </w:pPr>
      <w:r>
        <w:t>67.2 Campaign architecture and exclusions</w:t>
      </w:r>
    </w:p>
    <w:p>
      <w:r>
        <w:t>Create an account/campaign/ad-group/asset/destination map. Separate objectives, markets, budget owners, conversion definitions and business economics when those differences justify separate campaigns. Record brand/non-brand treatment, competitor-term policy, search partners, language, geography, location-option semantics, device behavior, schedule, landing locale and existing-customer policy. Do not fragment campaigns merely to increase the number of rows in the console.</w:t>
      </w:r>
    </w:p>
    <w:p>
      <w:r>
        <w:t>Each keyword and negative-keyword change needs the match type, scope, language, reason and reviewer. Search-term review must distinguish unsuitable intent, actual out-of-area demand, policy risk, ambiguous queries and potentially useful discovery. A negative at account level has a different impact from an ad-group negative. Test conflicts that block intended services. Keep available search-term coverage limitations visible; an omitted row is not proof no query occurred.</w:t>
      </w:r>
    </w:p>
    <w:p>
      <w:r>
        <w:t>Automated URL expansion, generated copy, brand controls and final-URL exclusions require a pinned approved configuration. Never allow a campaign to route people into login, staff, draft, expired-offer or irrelevant blog routes. Restrict source feeds and public content used to generate claims. A crawler must see the same substantive offer, prices and eligibility as ordinary users under equivalent state.</w:t>
      </w:r>
    </w:p>
    <w:p>
      <w:pPr>
        <w:pStyle w:val="Heading2"/>
        <w:keepNext/>
      </w:pPr>
      <w:r>
        <w:t>67.3 Goals: inspect effective bidding, not just labels</w:t>
      </w:r>
    </w:p>
    <w:p>
      <w:r>
        <w:t xml:space="preserve">Maintain one business conversion catalogue across website, CRM and the advertising account. Resolve effective goals at campaign level: account-default goals, campaign-specific standard goals, custom goals and included actions. Google's current documentation states that an action included in a custom goal can be used for bidding even when labeled secondary. Therefore, checking only the primary/secondary column is insufficient. </w:t>
      </w:r>
      <w:hyperlink w:anchor="ref_R117">
        <w:r>
          <w:rPr>
            <w:color w:val="087F83"/>
            <w:rFonts w:ascii="Lato" w:hAnsi="Lato"/>
          </w:rPr>
          <w:t xml:space="preserve">[R117]</w:t>
        </w:r>
      </w:hyperlink>
      <w:r/>
    </w:p>
    <w:p>
      <w:r>
        <w:t>Create a goal-resolution test that exports the campaign's effective actions and compares them with the approved list. Flag pricing views, downloads, chat opens and repeated lifecycle updates when accidentally biddable. A website event name, GA4 key event and Google Ads conversion action are different configuration objects; maintain their exact mapping. A changed goal requires marketing approval, impact review and a dated reporting annotation.</w:t>
      </w:r>
    </w:p>
    <w:p>
      <w:pPr>
        <w:pStyle w:val="Heading2"/>
        <w:keepNext/>
      </w:pPr>
      <w:r>
        <w:t>67.4 Value, budget and maturation decisions</w:t>
      </w:r>
    </w:p>
    <w:p>
      <w:r>
        <w:t>Store the conversion value policy, currency, tax/shipping treatment, refund adjustment and whether value is observed revenue, expected value or a nonmonetary proxy. Do not submit full customer lifetime value as collected cash. Lead qualification lag, repeat enquiries and repeat purchases need separate counting decisions. Reconcile the conversion cohort before concluding that this week's clicks produced this week's sales.</w:t>
      </w:r>
    </w:p>
    <w:p>
      <w:r>
        <w:t>Use a preapproved low/base/high acquisition model. For illustration only: 1,000 paid clicks at 20 currency units cost 20,000; 5% accepted leads gives 50; 40% qualification gives 20; 20% close gives four customers. Cost per customer is 5,000. With 6,000 contribution before advertising per customer, contribution after advertising is 4,000 total, before other operating costs. A higher top-impression rate that doubles CPC without improving outcomes can erase that margin. These are hypothetical inputs, not predicted results.</w:t>
      </w:r>
    </w:p>
    <w:p>
      <w:r>
        <w:t>Budgets need daily/account limits where genuinely supported, approval thresholds, currency, tax/fee assumptions, observation lag and emergency authority. Treat local alerts as alerts, not absolute remote spend caps. Do not automatically scale budgets from an immature cohort or a data outage. Review provider recommendations individually; an optimization score is not a substitute for the business objective.</w:t>
      </w:r>
    </w:p>
    <w:p>
      <w:pPr>
        <w:pStyle w:val="Heading2"/>
        <w:keepNext/>
      </w:pPr>
      <w:r>
        <w:t>67.5 Diagnose before changing bids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Observation</w:t>
            </w:r>
          </w:p>
        </w:tc>
        <w:tc>
          <w:tcPr>
            <w:tcW w:type="dxa" w:w="3528"/>
            <w:shd w:fill="163349"/>
          </w:tcPr>
          <w:p>
            <w:pPr>
              <w:pStyle w:val="TableText"/>
              <w:keepNext/>
            </w:pPr>
            <w:r>
              <w:rPr>
                <w:rFonts w:ascii="Lato" w:hAnsi="Lato"/>
                <w:b/>
                <w:color w:val="FFFFFF"/>
                <w:sz w:val="18"/>
              </w:rPr>
              <w:t>Investigation order</w:t>
            </w:r>
          </w:p>
        </w:tc>
        <w:tc>
          <w:tcPr>
            <w:tcW w:type="dxa" w:w="3999"/>
            <w:shd w:fill="163349"/>
          </w:tcPr>
          <w:p>
            <w:pPr>
              <w:pStyle w:val="TableText"/>
              <w:keepNext/>
            </w:pPr>
            <w:r>
              <w:rPr>
                <w:rFonts w:ascii="Lato" w:hAnsi="Lato"/>
                <w:b/>
                <w:color w:val="FFFFFF"/>
                <w:sz w:val="18"/>
              </w:rPr>
              <w:t>Controlled response</w:t>
            </w:r>
          </w:p>
        </w:tc>
      </w:tr>
      <w:tr>
        <w:trPr>
          <w:cantSplit/>
        </w:trPr>
        <w:tc>
          <w:tcPr>
            <w:tcW w:type="dxa" w:w="2304"/>
            <w:shd w:fill="F2F7FA"/>
          </w:tcPr>
          <w:p>
            <w:pPr>
              <w:pStyle w:val="TableText"/>
              <w:keepNext w:val="0"/>
            </w:pPr>
            <w:r>
              <w:rPr>
                <w:rFonts w:ascii="Lato" w:hAnsi="Lato"/>
                <w:b/>
                <w:color w:val="163349"/>
                <w:sz w:val="18"/>
              </w:rPr>
              <w:t>No or low delivery</w:t>
            </w:r>
          </w:p>
        </w:tc>
        <w:tc>
          <w:tcPr>
            <w:tcW w:type="dxa" w:w="3528"/>
            <w:shd w:fill="F2F7FA"/>
          </w:tcPr>
          <w:p>
            <w:pPr>
              <w:pStyle w:val="TableText"/>
              <w:keepNext w:val="0"/>
            </w:pPr>
            <w:r>
              <w:rPr>
                <w:rFonts w:ascii="Lato" w:hAnsi="Lato"/>
                <w:sz w:val="18"/>
              </w:rPr>
              <w:t>Policy, billing, dates, account access, eligible inventory, targeting conflicts, bids/budget, goal restrictions</w:t>
            </w:r>
          </w:p>
        </w:tc>
        <w:tc>
          <w:tcPr>
            <w:tcW w:type="dxa" w:w="3999"/>
            <w:shd w:fill="F2F7FA"/>
          </w:tcPr>
          <w:p>
            <w:pPr>
              <w:pStyle w:val="TableText"/>
              <w:keepNext w:val="0"/>
            </w:pPr>
            <w:r>
              <w:rPr>
                <w:rFonts w:ascii="Lato" w:hAnsi="Lato"/>
                <w:sz w:val="18"/>
              </w:rPr>
              <w:t>Fix the identified cause; do not blindly raise spend.</w:t>
            </w:r>
          </w:p>
        </w:tc>
      </w:tr>
      <w:tr>
        <w:trPr>
          <w:cantSplit/>
        </w:trPr>
        <w:tc>
          <w:tcPr>
            <w:tcW w:type="dxa" w:w="2304"/>
            <w:shd w:fill="FFFFFF"/>
          </w:tcPr>
          <w:p>
            <w:pPr>
              <w:pStyle w:val="TableText"/>
              <w:keepNext w:val="0"/>
            </w:pPr>
            <w:r>
              <w:rPr>
                <w:rFonts w:ascii="Lato" w:hAnsi="Lato"/>
                <w:b/>
                <w:color w:val="163349"/>
                <w:sz w:val="18"/>
              </w:rPr>
              <w:t>Low visibility with acceptable economics</w:t>
            </w:r>
          </w:p>
        </w:tc>
        <w:tc>
          <w:tcPr>
            <w:tcW w:type="dxa" w:w="3528"/>
            <w:shd w:fill="FFFFFF"/>
          </w:tcPr>
          <w:p>
            <w:pPr>
              <w:pStyle w:val="TableText"/>
              <w:keepNext w:val="0"/>
            </w:pPr>
            <w:r>
              <w:rPr>
                <w:rFonts w:ascii="Lato" w:hAnsi="Lato"/>
                <w:sz w:val="18"/>
              </w:rPr>
              <w:t>Relevant opportunity, available impression-share/lost-share evidence, auction context, bid limit, creative/landing relevance</w:t>
            </w:r>
          </w:p>
        </w:tc>
        <w:tc>
          <w:tcPr>
            <w:tcW w:type="dxa" w:w="3999"/>
            <w:shd w:fill="FFFFFF"/>
          </w:tcPr>
          <w:p>
            <w:pPr>
              <w:pStyle w:val="TableText"/>
              <w:keepNext w:val="0"/>
            </w:pPr>
            <w:r>
              <w:rPr>
                <w:rFonts w:ascii="Lato" w:hAnsi="Lato"/>
                <w:sz w:val="18"/>
              </w:rPr>
              <w:t>Test a bounded change with a cost guardrail.</w:t>
            </w:r>
          </w:p>
        </w:tc>
      </w:tr>
      <w:tr>
        <w:trPr>
          <w:cantSplit/>
        </w:trPr>
        <w:tc>
          <w:tcPr>
            <w:tcW w:type="dxa" w:w="2304"/>
            <w:shd w:fill="F2F7FA"/>
          </w:tcPr>
          <w:p>
            <w:pPr>
              <w:pStyle w:val="TableText"/>
              <w:keepNext w:val="0"/>
            </w:pPr>
            <w:r>
              <w:rPr>
                <w:rFonts w:ascii="Lato" w:hAnsi="Lato"/>
                <w:b/>
                <w:color w:val="163349"/>
                <w:sz w:val="18"/>
              </w:rPr>
              <w:t>Clicks but few landing sessions</w:t>
            </w:r>
          </w:p>
        </w:tc>
        <w:tc>
          <w:tcPr>
            <w:tcW w:type="dxa" w:w="3528"/>
            <w:shd w:fill="F2F7FA"/>
          </w:tcPr>
          <w:p>
            <w:pPr>
              <w:pStyle w:val="TableText"/>
              <w:keepNext w:val="0"/>
            </w:pPr>
            <w:r>
              <w:rPr>
                <w:rFonts w:ascii="Lato" w:hAnsi="Lato"/>
                <w:sz w:val="18"/>
              </w:rPr>
              <w:t>Redirect chain, consent/measurement coverage, load failure, in-app browser, accidental destination</w:t>
            </w:r>
          </w:p>
        </w:tc>
        <w:tc>
          <w:tcPr>
            <w:tcW w:type="dxa" w:w="3999"/>
            <w:shd w:fill="F2F7FA"/>
          </w:tcPr>
          <w:p>
            <w:pPr>
              <w:pStyle w:val="TableText"/>
              <w:keepNext w:val="0"/>
            </w:pPr>
            <w:r>
              <w:rPr>
                <w:rFonts w:ascii="Lato" w:hAnsi="Lato"/>
                <w:sz w:val="18"/>
              </w:rPr>
              <w:t>Separate lost measurement from actual failed visits.</w:t>
            </w:r>
          </w:p>
        </w:tc>
      </w:tr>
      <w:tr>
        <w:trPr>
          <w:cantSplit/>
        </w:trPr>
        <w:tc>
          <w:tcPr>
            <w:tcW w:type="dxa" w:w="2304"/>
            <w:shd w:fill="FFFFFF"/>
          </w:tcPr>
          <w:p>
            <w:pPr>
              <w:pStyle w:val="TableText"/>
              <w:keepNext w:val="0"/>
            </w:pPr>
            <w:r>
              <w:rPr>
                <w:rFonts w:ascii="Lato" w:hAnsi="Lato"/>
                <w:b/>
                <w:color w:val="163349"/>
                <w:sz w:val="18"/>
              </w:rPr>
              <w:t>Leads but poor qualification</w:t>
            </w:r>
          </w:p>
        </w:tc>
        <w:tc>
          <w:tcPr>
            <w:tcW w:type="dxa" w:w="3528"/>
            <w:shd w:fill="FFFFFF"/>
          </w:tcPr>
          <w:p>
            <w:pPr>
              <w:pStyle w:val="TableText"/>
              <w:keepNext w:val="0"/>
            </w:pPr>
            <w:r>
              <w:rPr>
                <w:rFonts w:ascii="Lato" w:hAnsi="Lato"/>
                <w:sz w:val="18"/>
              </w:rPr>
              <w:t>Offer clarity, search intent, spam, geography, form expectation, staff response</w:t>
            </w:r>
          </w:p>
        </w:tc>
        <w:tc>
          <w:tcPr>
            <w:tcW w:type="dxa" w:w="3999"/>
            <w:shd w:fill="FFFFFF"/>
          </w:tcPr>
          <w:p>
            <w:pPr>
              <w:pStyle w:val="TableText"/>
              <w:keepNext w:val="0"/>
            </w:pPr>
            <w:r>
              <w:rPr>
                <w:rFonts w:ascii="Lato" w:hAnsi="Lato"/>
                <w:sz w:val="18"/>
              </w:rPr>
              <w:t>Improve targeting/offer or qualification feedback, not fake values.</w:t>
            </w:r>
          </w:p>
        </w:tc>
      </w:tr>
      <w:tr>
        <w:trPr>
          <w:cantSplit/>
        </w:trPr>
        <w:tc>
          <w:tcPr>
            <w:tcW w:type="dxa" w:w="2304"/>
            <w:shd w:fill="F2F7FA"/>
          </w:tcPr>
          <w:p>
            <w:pPr>
              <w:pStyle w:val="TableText"/>
              <w:keepNext w:val="0"/>
            </w:pPr>
            <w:r>
              <w:rPr>
                <w:rFonts w:ascii="Lato" w:hAnsi="Lato"/>
                <w:b/>
                <w:color w:val="163349"/>
                <w:sz w:val="18"/>
              </w:rPr>
              <w:t>Reported conversions exceed business outcomes</w:t>
            </w:r>
          </w:p>
        </w:tc>
        <w:tc>
          <w:tcPr>
            <w:tcW w:type="dxa" w:w="3528"/>
            <w:shd w:fill="F2F7FA"/>
          </w:tcPr>
          <w:p>
            <w:pPr>
              <w:pStyle w:val="TableText"/>
              <w:keepNext w:val="0"/>
            </w:pPr>
            <w:r>
              <w:rPr>
                <w:rFonts w:ascii="Lato" w:hAnsi="Lato"/>
                <w:sz w:val="18"/>
              </w:rPr>
              <w:t>Duplicate sources, goal configuration, counts, imported events, test data, attribution windows</w:t>
            </w:r>
          </w:p>
        </w:tc>
        <w:tc>
          <w:tcPr>
            <w:tcW w:type="dxa" w:w="3999"/>
            <w:shd w:fill="F2F7FA"/>
          </w:tcPr>
          <w:p>
            <w:pPr>
              <w:pStyle w:val="TableText"/>
              <w:keepNext w:val="0"/>
            </w:pPr>
            <w:r>
              <w:rPr>
                <w:rFonts w:ascii="Lato" w:hAnsi="Lato"/>
                <w:sz w:val="18"/>
              </w:rPr>
              <w:t>Reconcile identities and settings before using the figures.</w:t>
            </w:r>
          </w:p>
        </w:tc>
      </w:tr>
      <w:tr>
        <w:trPr>
          <w:cantSplit/>
        </w:trPr>
        <w:tc>
          <w:tcPr>
            <w:tcW w:type="dxa" w:w="2304"/>
            <w:shd w:fill="FFFFFF"/>
          </w:tcPr>
          <w:p>
            <w:pPr>
              <w:pStyle w:val="TableText"/>
              <w:keepNext w:val="0"/>
            </w:pPr>
            <w:r>
              <w:rPr>
                <w:rFonts w:ascii="Lato" w:hAnsi="Lato"/>
                <w:b/>
                <w:color w:val="163349"/>
                <w:sz w:val="18"/>
              </w:rPr>
              <w:t>Sudden apparent performance decline</w:t>
            </w:r>
          </w:p>
        </w:tc>
        <w:tc>
          <w:tcPr>
            <w:tcW w:type="dxa" w:w="3528"/>
            <w:shd w:fill="FFFFFF"/>
          </w:tcPr>
          <w:p>
            <w:pPr>
              <w:pStyle w:val="TableText"/>
              <w:keepNext w:val="0"/>
            </w:pPr>
            <w:r>
              <w:rPr>
                <w:rFonts w:ascii="Lato" w:hAnsi="Lato"/>
                <w:sz w:val="18"/>
              </w:rPr>
              <w:t>Freshness, outages, conversion lag, account changes, seasonality, real funnel behavior</w:t>
            </w:r>
          </w:p>
        </w:tc>
        <w:tc>
          <w:tcPr>
            <w:tcW w:type="dxa" w:w="3999"/>
            <w:shd w:fill="FFFFFF"/>
          </w:tcPr>
          <w:p>
            <w:pPr>
              <w:pStyle w:val="TableText"/>
              <w:keepNext w:val="0"/>
            </w:pPr>
            <w:r>
              <w:rPr>
                <w:rFonts w:ascii="Lato" w:hAnsi="Lato"/>
                <w:sz w:val="18"/>
              </w:rPr>
              <w:t>Annotate the cause and use a reviewed repair or experiment.</w:t>
            </w:r>
          </w:p>
        </w:tc>
      </w:tr>
    </w:tbl>
    <w:p>
      <w:pPr>
        <w:spacing w:after="40"/>
      </w:pPr>
      <w:r/>
    </w:p>
    <w:p>
      <w:pPr>
        <w:pStyle w:val="Heading2"/>
        <w:keepNext/>
      </w:pPr>
      <w:r>
        <w:t>67.6 Required evidence</w:t>
      </w:r>
    </w:p>
    <w:p>
      <w:r>
        <w:t>Deliver the campaign brief, effective-goal export, destination and asset manifest, budget authority, real-account policy status, reporting-source definitions, synthetic lead-to-CRM proof and correction/retry evidence. Reporting access, conversion ingestion, audience writes and campaign writes must be independently tested. A campaign must not begin or resume active spend while its intended destination, lead durability or known conversion configuration is broken.</w:t>
      </w:r>
    </w:p>
    <w:p>
      <w:pPr>
        <w:pStyle w:val="Heading1"/>
        <w:keepNext/>
      </w:pPr>
      <w:r>
        <w:t>68 | Meta Ads delivery, creative testing and lead-quality operations</w:t>
      </w:r>
      <w:bookmarkStart w:id="512" w:name="final_ch_68"/>
      <w:bookmarkEnd w:id="512"/>
      <w:bookmarkStart w:id="618" w:name="tocfinal_ch_68"/>
      <w:bookmarkEnd w:id="618"/>
    </w:p>
    <w:p>
      <w:pPr>
        <w:pStyle w:val="Heading2"/>
        <w:keepNext/>
      </w:pPr>
      <w:r>
        <w:t>68.1 Define success without a fictitious website rank</w:t>
      </w:r>
    </w:p>
    <w:p>
      <w:r>
        <w:t xml:space="preserve">Meta placements do not give a website one permanent numbered position comparable to an organic search result. The operating objective is useful delivery to eligible audiences and verified business outcomes at acceptable cost. Meta's public auction help describes estimated action rates and ad-quality considerations; several full help/API pages require authenticated access, so account-specific controls remain evidence checks. </w:t>
      </w:r>
      <w:hyperlink w:anchor="ref_R118">
        <w:r>
          <w:rPr>
            <w:color w:val="087F83"/>
            <w:rFonts w:ascii="Lato" w:hAnsi="Lato"/>
          </w:rPr>
          <w:t xml:space="preserve">[R118]</w:t>
        </w:r>
      </w:hyperlink>
      <w:r/>
    </w:p>
    <w:p>
      <w:r>
        <w:t>Maintain an objective/performance-goal/conversion-location register for awareness, traffic, engagement, leads, app promotion and sales where available. Treat these as planning categories; validate actual current account choices and the API mapping before activating a control. Website, instant-form, messaging, app and shop destinations have different observable journeys and cannot share fabricated website session evidence.</w:t>
      </w:r>
    </w:p>
    <w:p>
      <w:pPr>
        <w:pStyle w:val="Heading2"/>
        <w:keepNext/>
      </w:pPr>
      <w:r>
        <w:t>68.2 Creative operations as a maintained system</w:t>
      </w:r>
    </w:p>
    <w:p>
      <w:r>
        <w:t>For each creative, store a concept ID distinct from individual exports, intended audience/problem, hook, proof, offer, CTA, source content, asset rights, creator consent, brand guidelines, expiry, subtitles, thumbnail, disclosure and allowed placements. Produce approved landscape, square and vertical derivatives as needed; preview current safe areas and UI overlays rather than relying on one hardcoded ratio forever.</w:t>
      </w:r>
    </w:p>
    <w:p>
      <w:r>
        <w:t>Test concept changes separately from small copy changes where the analysis needs isolation. Keep a control and a predeclared outcome window. Review landing message match, mobile readability, sound-off comprehension and claims before release. A higher video-view rate does not by itself establish better customer acquisition. Automated creative enhancements require a documented review and rollback path; generated scarcity, altered prices or invented proof must be rejected.</w:t>
      </w:r>
    </w:p>
    <w:p>
      <w:r>
        <w:t>Manage comment moderation and customer questions under a fair policy. Escalate complaints, accessibility issues, fraudulent impersonation and broken destinations to a named operator. Do not delete legitimate criticism solely to manufacture social proof. Creator/partnership advertising needs the relevant rights, account permissions, revocation process and ad-use approval; a public social post is not blanket advertising permission.</w:t>
      </w:r>
    </w:p>
    <w:p>
      <w:pPr>
        <w:pStyle w:val="Heading2"/>
        <w:keepNext/>
      </w:pPr>
      <w:r>
        <w:t>68.3 Audience, placement and budget decisions</w:t>
      </w:r>
    </w:p>
    <w:p>
      <w:r>
        <w:t>Record hard targeting controls separately from platform suggestions or expansion inputs. Include geography, language where supported, audience source, exclusions, special-category applicability, existing-customer treatment, placement configuration, attribution settings, optimization event, schedule, budget and bid/cost strategy. Preview the effective configuration after remote publication; a local form's saved values are not proof of applied settings.</w:t>
      </w:r>
    </w:p>
    <w:p>
      <w:r>
        <w:t>Use experiments to evaluate broad versus approved first-party audiences when eligible rather than assuming one is universally superior. Document audience overlap and shared budgets across tests. Prevent website personalization from making discriminatory or sensitive-trait assumptions. Do not invent a fixed universal learning-period duration, daily event threshold, frequency limit or ideal click-through rate; record the current account guidance and an explicit business guardrail.</w:t>
      </w:r>
    </w:p>
    <w:p>
      <w:pPr>
        <w:pStyle w:val="Heading2"/>
        <w:keepNext/>
      </w:pPr>
      <w:r>
        <w:t>68.4 Three lead paths with separate truth</w:t>
      </w:r>
    </w:p>
    <w:p>
      <w:r>
        <w:t>Website lead: the backend commits an enquiry and stores the conversion event ID before the browser or server represents it as an accepted lead. Native lead: authenticate the provider retrieval, preserve native lead/form/ad identifiers and disclosed capture purpose, and create a lead without a fictional page-view chain. Messaging lead: distinguish click-to-message, actual inbound message, support conversation, confirmed structured capture and staff qualification.</w:t>
      </w:r>
    </w:p>
    <w:p>
      <w:r>
        <w:t>All three paths must deduplicate provider retries without merging genuinely separate enquiries merely because phone or email matches. Use one qualification rubric and record rejection reasons such as spam, duplicate attempt, wrong service, unserviceable area or unreachable declared contact. Keep reason descriptions and private transcript details out of ad payloads. Measure response time from a trusted arrival time; a bot greeting is not a human agent response.</w:t>
      </w:r>
    </w:p>
    <w:p>
      <w:pPr>
        <w:pStyle w:val="Heading2"/>
        <w:keepNext/>
      </w:pPr>
      <w:r>
        <w:t>68.5 Diagnostics and conversion health</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Diagnostic dimension</w:t>
            </w:r>
          </w:p>
        </w:tc>
        <w:tc>
          <w:tcPr>
            <w:tcW w:type="dxa" w:w="6879"/>
            <w:shd w:fill="163349"/>
          </w:tcPr>
          <w:p>
            <w:pPr>
              <w:pStyle w:val="TableText"/>
              <w:keepNext/>
            </w:pPr>
            <w:r>
              <w:rPr>
                <w:rFonts w:ascii="Lato" w:hAnsi="Lato"/>
                <w:b/>
                <w:color w:val="FFFFFF"/>
                <w:sz w:val="18"/>
              </w:rPr>
              <w:t>Required owner interpretation</w:t>
            </w:r>
          </w:p>
        </w:tc>
      </w:tr>
      <w:tr>
        <w:trPr>
          <w:cantSplit/>
        </w:trPr>
        <w:tc>
          <w:tcPr>
            <w:tcW w:type="dxa" w:w="2952"/>
            <w:shd w:fill="F2F7FA"/>
          </w:tcPr>
          <w:p>
            <w:pPr>
              <w:pStyle w:val="TableText"/>
              <w:keepNext w:val="0"/>
            </w:pPr>
            <w:r>
              <w:rPr>
                <w:rFonts w:ascii="Lato" w:hAnsi="Lato"/>
                <w:b/>
                <w:color w:val="163349"/>
                <w:sz w:val="18"/>
              </w:rPr>
              <w:t>Delivery and reach</w:t>
            </w:r>
          </w:p>
        </w:tc>
        <w:tc>
          <w:tcPr>
            <w:tcW w:type="dxa" w:w="6879"/>
            <w:shd w:fill="F2F7FA"/>
          </w:tcPr>
          <w:p>
            <w:pPr>
              <w:pStyle w:val="TableText"/>
              <w:keepNext w:val="0"/>
            </w:pPr>
            <w:r>
              <w:rPr>
                <w:rFonts w:ascii="Lato" w:hAnsi="Lato"/>
                <w:sz w:val="18"/>
              </w:rPr>
              <w:t>Placement-specific exposure and aggregate reach; not a named visitor list.</w:t>
            </w:r>
          </w:p>
        </w:tc>
      </w:tr>
      <w:tr>
        <w:trPr>
          <w:cantSplit/>
        </w:trPr>
        <w:tc>
          <w:tcPr>
            <w:tcW w:type="dxa" w:w="2952"/>
            <w:shd w:fill="FFFFFF"/>
          </w:tcPr>
          <w:p>
            <w:pPr>
              <w:pStyle w:val="TableText"/>
              <w:keepNext w:val="0"/>
            </w:pPr>
            <w:r>
              <w:rPr>
                <w:rFonts w:ascii="Lato" w:hAnsi="Lato"/>
                <w:b/>
                <w:color w:val="163349"/>
                <w:sz w:val="18"/>
              </w:rPr>
              <w:t>Creative engagement</w:t>
            </w:r>
          </w:p>
        </w:tc>
        <w:tc>
          <w:tcPr>
            <w:tcW w:type="dxa" w:w="6879"/>
            <w:shd w:fill="FFFFFF"/>
          </w:tcPr>
          <w:p>
            <w:pPr>
              <w:pStyle w:val="TableText"/>
              <w:keepNext w:val="0"/>
            </w:pPr>
            <w:r>
              <w:rPr>
                <w:rFonts w:ascii="Lato" w:hAnsi="Lato"/>
                <w:sz w:val="18"/>
              </w:rPr>
              <w:t>Video, click and message milestones with their actual definitions; not sales.</w:t>
            </w:r>
          </w:p>
        </w:tc>
      </w:tr>
      <w:tr>
        <w:trPr>
          <w:cantSplit/>
        </w:trPr>
        <w:tc>
          <w:tcPr>
            <w:tcW w:type="dxa" w:w="2952"/>
            <w:shd w:fill="F2F7FA"/>
          </w:tcPr>
          <w:p>
            <w:pPr>
              <w:pStyle w:val="TableText"/>
              <w:keepNext w:val="0"/>
            </w:pPr>
            <w:r>
              <w:rPr>
                <w:rFonts w:ascii="Lato" w:hAnsi="Lato"/>
                <w:b/>
                <w:color w:val="163349"/>
                <w:sz w:val="18"/>
              </w:rPr>
              <w:t>Destination completion</w:t>
            </w:r>
          </w:p>
        </w:tc>
        <w:tc>
          <w:tcPr>
            <w:tcW w:type="dxa" w:w="6879"/>
            <w:shd w:fill="F2F7FA"/>
          </w:tcPr>
          <w:p>
            <w:pPr>
              <w:pStyle w:val="TableText"/>
              <w:keepNext w:val="0"/>
            </w:pPr>
            <w:r>
              <w:rPr>
                <w:rFonts w:ascii="Lato" w:hAnsi="Lato"/>
                <w:sz w:val="18"/>
              </w:rPr>
              <w:t>Page availability, successful form/native-lead retrieval, in-app browser and support workflow.</w:t>
            </w:r>
          </w:p>
        </w:tc>
      </w:tr>
      <w:tr>
        <w:trPr>
          <w:cantSplit/>
        </w:trPr>
        <w:tc>
          <w:tcPr>
            <w:tcW w:type="dxa" w:w="2952"/>
            <w:shd w:fill="FFFFFF"/>
          </w:tcPr>
          <w:p>
            <w:pPr>
              <w:pStyle w:val="TableText"/>
              <w:keepNext w:val="0"/>
            </w:pPr>
            <w:r>
              <w:rPr>
                <w:rFonts w:ascii="Lato" w:hAnsi="Lato"/>
                <w:b/>
                <w:color w:val="163349"/>
                <w:sz w:val="18"/>
              </w:rPr>
              <w:t>Matching and deduplication</w:t>
            </w:r>
          </w:p>
        </w:tc>
        <w:tc>
          <w:tcPr>
            <w:tcW w:type="dxa" w:w="6879"/>
            <w:shd w:fill="FFFFFF"/>
          </w:tcPr>
          <w:p>
            <w:pPr>
              <w:pStyle w:val="TableText"/>
              <w:keepNext w:val="0"/>
            </w:pPr>
            <w:r>
              <w:rPr>
                <w:rFonts w:ascii="Lato" w:hAnsi="Lato"/>
                <w:sz w:val="18"/>
              </w:rPr>
              <w:t>Safe same-action IDs, field eligibility, current diagnostics and final serialized request; not permission to collect more.</w:t>
            </w:r>
          </w:p>
        </w:tc>
      </w:tr>
      <w:tr>
        <w:trPr>
          <w:cantSplit/>
        </w:trPr>
        <w:tc>
          <w:tcPr>
            <w:tcW w:type="dxa" w:w="2952"/>
            <w:shd w:fill="F2F7FA"/>
          </w:tcPr>
          <w:p>
            <w:pPr>
              <w:pStyle w:val="TableText"/>
              <w:keepNext w:val="0"/>
            </w:pPr>
            <w:r>
              <w:rPr>
                <w:rFonts w:ascii="Lato" w:hAnsi="Lato"/>
                <w:b/>
                <w:color w:val="163349"/>
                <w:sz w:val="18"/>
              </w:rPr>
              <w:t>Lead quality</w:t>
            </w:r>
          </w:p>
        </w:tc>
        <w:tc>
          <w:tcPr>
            <w:tcW w:type="dxa" w:w="6879"/>
            <w:shd w:fill="F2F7FA"/>
          </w:tcPr>
          <w:p>
            <w:pPr>
              <w:pStyle w:val="TableText"/>
              <w:keepNext w:val="0"/>
            </w:pPr>
            <w:r>
              <w:rPr>
                <w:rFonts w:ascii="Lato" w:hAnsi="Lato"/>
                <w:sz w:val="18"/>
              </w:rPr>
              <w:t>Mature accepted/qualified/won cohorts, spam reasons, staff response and realized value.</w:t>
            </w:r>
          </w:p>
        </w:tc>
      </w:tr>
      <w:tr>
        <w:trPr>
          <w:cantSplit/>
        </w:trPr>
        <w:tc>
          <w:tcPr>
            <w:tcW w:type="dxa" w:w="2952"/>
            <w:shd w:fill="FFFFFF"/>
          </w:tcPr>
          <w:p>
            <w:pPr>
              <w:pStyle w:val="TableText"/>
              <w:keepNext w:val="0"/>
            </w:pPr>
            <w:r>
              <w:rPr>
                <w:rFonts w:ascii="Lato" w:hAnsi="Lato"/>
                <w:b/>
                <w:color w:val="163349"/>
                <w:sz w:val="18"/>
              </w:rPr>
              <w:t>Audience/creative saturation</w:t>
            </w:r>
          </w:p>
        </w:tc>
        <w:tc>
          <w:tcPr>
            <w:tcW w:type="dxa" w:w="6879"/>
            <w:shd w:fill="FFFFFF"/>
          </w:tcPr>
          <w:p>
            <w:pPr>
              <w:pStyle w:val="TableText"/>
              <w:keepNext w:val="0"/>
            </w:pPr>
            <w:r>
              <w:rPr>
                <w:rFonts w:ascii="Lato" w:hAnsi="Lato"/>
                <w:sz w:val="18"/>
              </w:rPr>
              <w:t>Review available frequency, overlap, complaints and cost trends against a declared analysis period.</w:t>
            </w:r>
          </w:p>
        </w:tc>
      </w:tr>
      <w:tr>
        <w:trPr>
          <w:cantSplit/>
        </w:trPr>
        <w:tc>
          <w:tcPr>
            <w:tcW w:type="dxa" w:w="2952"/>
            <w:shd w:fill="F2F7FA"/>
          </w:tcPr>
          <w:p>
            <w:pPr>
              <w:pStyle w:val="TableText"/>
              <w:keepNext w:val="0"/>
            </w:pPr>
            <w:r>
              <w:rPr>
                <w:rFonts w:ascii="Lato" w:hAnsi="Lato"/>
                <w:b/>
                <w:color w:val="163349"/>
                <w:sz w:val="18"/>
              </w:rPr>
              <w:t>Account health</w:t>
            </w:r>
          </w:p>
        </w:tc>
        <w:tc>
          <w:tcPr>
            <w:tcW w:type="dxa" w:w="6879"/>
            <w:shd w:fill="F2F7FA"/>
          </w:tcPr>
          <w:p>
            <w:pPr>
              <w:pStyle w:val="TableText"/>
              <w:keepNext w:val="0"/>
            </w:pPr>
            <w:r>
              <w:rPr>
                <w:rFonts w:ascii="Lato" w:hAnsi="Lato"/>
                <w:sz w:val="18"/>
              </w:rPr>
              <w:t>Restrictions, rejected assets/events, permissions, billing, API changes and unresolved review tasks.</w:t>
            </w:r>
          </w:p>
        </w:tc>
      </w:tr>
    </w:tbl>
    <w:p>
      <w:pPr>
        <w:spacing w:after="40"/>
      </w:pPr>
      <w:r/>
    </w:p>
    <w:p>
      <w:pPr>
        <w:pStyle w:val="Heading2"/>
        <w:keepNext/>
      </w:pPr>
      <w:r>
        <w:t>68.6 Guarded optimization and completion</w:t>
      </w:r>
    </w:p>
    <w:p>
      <w:r>
        <w:t>Keep changes small enough to explain and large enough to answer a business question. Record each audience, budget, creative, goal and attribution change with date and reason. Use supported A/B or lift tools where eligible; do not interpret platform-attributed revenue as causal uplift. An automated recommendation can produce a draft change, but spending changes require explicit authority and remote-state confirmation.</w:t>
      </w:r>
    </w:p>
    <w:p>
      <w:r>
        <w:t>Acceptance requires an actual account/asset/permission map, tested selected destinations, approved final event field map, browser/server same-action deduplication evidence, native-lead or messaging delivery tests where activated, sensitive-data rejection fixtures and CRM/reporting reconciliation. Denied collection or account ineligibility must produce a truthful disabled state, not a workaround that evades user choice or platform enforcement.</w:t>
      </w:r>
    </w:p>
    <w:p>
      <w:pPr>
        <w:pStyle w:val="Heading1"/>
        <w:keepNext/>
      </w:pPr>
      <w:r>
        <w:t>69 | Conversion engineering, SDK controls and destination contracts</w:t>
      </w:r>
      <w:bookmarkStart w:id="513" w:name="final_ch_69"/>
      <w:bookmarkEnd w:id="513"/>
      <w:bookmarkStart w:id="619" w:name="tocfinal_ch_69"/>
      <w:bookmarkEnd w:id="619"/>
    </w:p>
    <w:p>
      <w:pPr>
        <w:pStyle w:val="Heading2"/>
        <w:keepNext/>
      </w:pPr>
      <w:r>
        <w:t>69.1 One authoritative event with several representations</w:t>
      </w:r>
    </w:p>
    <w:p>
      <w:r>
        <w:t>The business backend creates a stable event for a committed transition. A browser representation, an ad-platform representation and an internal warehouse row may refer to that transition, but they are not three extra leads. Store business_event_id, business_type, business_record_id, lifecycle_version, occurred_at, recorded_at, source_channel and allowed context references. Define a separate delivery identity for each destination configuration.</w:t>
      </w:r>
    </w:p>
    <w:p>
      <w:r>
        <w:t>For every destination record the exact event/action name, source authority, counting unit, value rule, timestamp format, allowed identity fields, consent mapping, deduplication rule, supported late-arrival/correction window, retry class, receipt semantics and test fixture. External contracts are versioned snapshots, not strings sprinkled through components. Persist original occurrence time and do not make an expired event “fresh” by changing its timestamp.</w:t>
      </w:r>
    </w:p>
    <w:p>
      <w:pPr>
        <w:pStyle w:val="Heading2"/>
        <w:keepNext/>
      </w:pPr>
      <w:r>
        <w:t>69.2 Google ingestion and credential changes</w:t>
      </w:r>
    </w:p>
    <w:p>
      <w:r>
        <w:t xml:space="preserve">The current offline/enhanced-lead guidance directs new integrations to Data Manager. The legacy Google Ads upload documentation retains the June 2026 access restriction and now notes a transition from developer tokens to Google Cloud projects. Use the current authentication and account-access contract rather than hardcoding a historical developer-token assumption. </w:t>
      </w:r>
      <w:hyperlink w:anchor="ref_R119">
        <w:r>
          <w:rPr>
            <w:color w:val="087F83"/>
            <w:rFonts w:ascii="Lato" w:hAnsi="Lato"/>
          </w:rPr>
          <w:t xml:space="preserve">[R119]</w:t>
        </w:r>
      </w:hyperlink>
      <w:r>
        <w:t xml:space="preserve"> Reporting and account writes still need their separately selected API and permissions.</w:t>
      </w:r>
    </w:p>
    <w:p>
      <w:r>
        <w:t xml:space="preserve">Google also documents a Data Manager path for GA4 recommended/custom server events. This has property/stream authorization and event timing requirements; it must not be silently added in parallel with an existing sender. </w:t>
      </w:r>
      <w:hyperlink w:anchor="ref_R120">
        <w:r>
          <w:rPr>
            <w:color w:val="087F83"/>
            <w:rFonts w:ascii="Lato" w:hAnsi="Lato"/>
          </w:rPr>
          <w:t xml:space="preserve">[R120]</w:t>
        </w:r>
      </w:hyperlink>
      <w:r>
        <w:t xml:space="preserve"> Select an ingestion route per event family, document any migration, run dual-path validation only with isolated test destinations, and switch ownership without duplicate production conversion delivery. Browser/session context requirements and provider diagnostics still apply.</w:t>
      </w:r>
    </w:p>
    <w:p>
      <w:r>
        <w:t>Keep ordinary GA4 event parameters free of direct contact identity. A separately supported user-provided-data feature is a distinct restricted destination contract, not permission to put email or phone into every event, user property or dataLayer field. Default it off until the actual account, purpose and field rules are approved.</w:t>
      </w:r>
    </w:p>
    <w:p>
      <w:pPr>
        <w:pStyle w:val="Heading2"/>
        <w:keepNext/>
      </w:pPr>
      <w:r>
        <w:t>69.3 Meta event and user-data mapping</w:t>
      </w:r>
    </w:p>
    <w:p>
      <w:r>
        <w:t xml:space="preserve">The official Meta server-event SDK exposes event_name, event_time, event_id, action_source, source URL and user/custom data. Its event time is expressed in Unix seconds, not JavaScript milliseconds. </w:t>
      </w:r>
      <w:hyperlink w:anchor="ref_R121">
        <w:r>
          <w:rPr>
            <w:color w:val="087F83"/>
            <w:rFonts w:ascii="Lato" w:hAnsi="Lato"/>
          </w:rPr>
          <w:t xml:space="preserve">[R121]</w:t>
        </w:r>
      </w:hyperlink>
      <w:r>
        <w:t xml:space="preserve"> Implement an explicit adapter with tested unit conversion, original event identity and action-source provenance. Do not assign website as the source to every offline or native-platform lead.</w:t>
      </w:r>
    </w:p>
    <w:p>
      <w:r>
        <w:t xml:space="preserve">Meta's official user-data implementation handles different identifiers differently: certain contact fields are normalized/hashed, while network/browser and click-derived fields have their own handling. </w:t>
      </w:r>
      <w:hyperlink w:anchor="ref_R122">
        <w:r>
          <w:rPr>
            <w:color w:val="087F83"/>
            <w:rFonts w:ascii="Lato" w:hAnsi="Lato"/>
          </w:rPr>
          <w:t xml:space="preserve">[R122]</w:t>
        </w:r>
      </w:hyperlink>
      <w:r>
        <w:t xml:space="preserve"> Never apply one generic hash function to every field, double-hash known hashed inputs, fabricate missing fbc/fbp values, or replace a visitor IP with the worker's egress IP. Preserve the original business contact unchanged; destination normalization occurs only in its reviewed projection.</w:t>
      </w:r>
    </w:p>
    <w:p>
      <w:pPr>
        <w:pStyle w:val="Heading2"/>
        <w:keepNext/>
      </w:pPr>
      <w:r>
        <w:t>69.4 Validate after SDK serialization, not only before it</w:t>
      </w:r>
    </w:p>
    <w:p>
      <w:r>
        <w:t xml:space="preserve">A concrete integration risk is automatic SDK enrichment. The inspected Meta server-event implementation can fill missing fbc, fbp, client IP, source URL and referrer URL from request context during normalization. </w:t>
      </w:r>
      <w:hyperlink w:anchor="ref_R121">
        <w:r>
          <w:rPr>
            <w:color w:val="087F83"/>
            <w:rFonts w:ascii="Lato" w:hAnsi="Lato"/>
          </w:rPr>
          <w:t xml:space="preserve">[R121]</w:t>
        </w:r>
      </w:hyperlink>
      <w:r>
        <w:t xml:space="preserve"> Therefore, a safe input object does not prove the transmitted payload is safe.</w:t>
      </w:r>
    </w:p>
    <w:p>
      <w:r>
        <w:t>Required design: disable automatic request-context enrichment by default; never pass a complete incoming request or database record into a matching SDK. Build the destination projection explicitly, serialize with a pinned supported SDK, then validate the final payload against an allowlist and sensitive-value fixture before network transmission. Re-evaluate current policy/withdrawal immediately before dispatch. A serialization-added forbidden field causes suppression and an operational alert. Audit the SDK/configuration change without logging the sensitive payload.</w:t>
      </w:r>
    </w:p>
    <w:p>
      <w:r>
        <w:t xml:space="preserve">A provider field called opt_out, limited-data-use or a similar processing control is not interchangeable with the site's consent decision. For example, the inspected server-event SDK describes opt_out as affecting optimization while still allowing attribution use. </w:t>
      </w:r>
      <w:hyperlink w:anchor="ref_R121">
        <w:r>
          <w:rPr>
            <w:color w:val="087F83"/>
            <w:rFonts w:ascii="Lato" w:hAnsi="Lato"/>
          </w:rPr>
          <w:t xml:space="preserve">[R121]</w:t>
        </w:r>
      </w:hyperlink>
      <w:r>
        <w:t xml:space="preserve"> The site's no-send decision must stop delivery; setting a field on a still-transmitted request is not an adequate substitute.</w:t>
      </w:r>
    </w:p>
    <w:p>
      <w:pPr>
        <w:pStyle w:val="Heading2"/>
        <w:keepNext/>
      </w:pPr>
      <w:r>
        <w:t>69.5 Normalization and reconciliation fixtures</w:t>
      </w:r>
    </w:p>
    <w:p>
      <w:r>
        <w:t>Create fixed synthetic fixtures for mixed-case email, whitespace, Unicode, international phone formats, country-specific postal data, invalid input, already-hashed input, genuine opaque click IDs and absent identity. Verify each against the selected destination's current formatting rules. Do not assume Google Ads, Google Analytics, Customer Match and Meta all normalize the same way. Any documented ambiguity creates a provider contract-review item instead of altering stored customer information.</w:t>
      </w:r>
    </w:p>
    <w:p>
      <w:r>
        <w:t>Reconcile committed, eligible, suppressed, queued, attempted, accepted, rejected, matched where observable and attributed outcomes separately. Capture partial batch failures by item, not only HTTP status. Network timeout is uncertain delivery, not guaranteed failure; reuse the original idempotency mechanism and reconcile before unsafe retry. Corrections/refunds are distinct immutable business facts and use only supported destination adjustment mechanisms.</w:t>
      </w:r>
    </w:p>
    <w:p>
      <w:pPr>
        <w:pStyle w:val="Heading2"/>
        <w:keepNext/>
      </w:pPr>
      <w:r>
        <w:t>69.6 Data minimization and failure contract</w:t>
      </w:r>
    </w:p>
    <w:p>
      <w:r>
        <w:t>The business must still accept a valid enquiry when optional tracking fails. An event without eligible marketing identity may be a valid internal business fact but ineligible for an ad destination. Keep unknown/refused/expired fields distinct from direct traffic or zero value. A critical policy or serializer failure suspends the affected destination, not source leads or retained blogs.</w:t>
      </w:r>
    </w:p>
    <w:p>
      <w:r>
        <w:t>Deliver destination_contract_versions, payload_validation_results, conversion_goal_snapshots, delivery_attempts and reconciliation_runs with restricted roles and retention. The owner can inspect safe reason codes, retry eligible failures and see data freshness without revealing raw identities. Appendix O supplies an internal example; it is intentionally not a copy-paste provider request.</w:t>
      </w:r>
    </w:p>
    <w:p>
      <w:pPr>
        <w:pStyle w:val="Heading1"/>
        <w:keepNext/>
      </w:pPr>
      <w:r>
        <w:t>70 | Technical SEO edge cases and operational search reliability</w:t>
      </w:r>
      <w:bookmarkStart w:id="514" w:name="final_ch_70"/>
      <w:bookmarkEnd w:id="514"/>
      <w:bookmarkStart w:id="620" w:name="tocfinal_ch_70"/>
      <w:bookmarkEnd w:id="620"/>
    </w:p>
    <w:p>
      <w:pPr>
        <w:pStyle w:val="Heading2"/>
        <w:keepNext/>
      </w:pPr>
      <w:r>
        <w:t>70.1 Test the actual edge response</w:t>
      </w:r>
    </w:p>
    <w:p>
      <w:r>
        <w:t>Validate responses at the public hostname through the real CDN/WAF, not just localhost or the origin. Compare status, redirect, content type, canonical, robots, language, main content, metadata, schema and caching for each representative route. Test desktop/mobile user agents, plain fetch, JavaScript rendering and social preview without changing substantive claims for reviewers.</w:t>
      </w:r>
    </w:p>
    <w:p>
      <w:r>
        <w:t>For streamed/server-rendered applications, establish how unknown slugs and authorization failures receive the correct status before a response is irreversibly committed. A styled Not Found component sent with HTTP 200 is not a correct removal policy. A skeleton followed by a failed client fetch is not acceptable indexable main content. Test host-header poisoning, forwarded-host normalization and canonical generation behind every supported proxy profile.</w:t>
      </w:r>
    </w:p>
    <w:p>
      <w:pPr>
        <w:pStyle w:val="Heading2"/>
        <w:keepNext/>
      </w:pPr>
      <w:r>
        <w:t>70.2 Route decision table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Route condition</w:t>
            </w:r>
          </w:p>
        </w:tc>
        <w:tc>
          <w:tcPr>
            <w:tcW w:type="dxa" w:w="3528"/>
            <w:shd w:fill="163349"/>
          </w:tcPr>
          <w:p>
            <w:pPr>
              <w:pStyle w:val="TableText"/>
              <w:keepNext/>
            </w:pPr>
            <w:r>
              <w:rPr>
                <w:rFonts w:ascii="Lato" w:hAnsi="Lato"/>
                <w:b/>
                <w:color w:val="FFFFFF"/>
                <w:sz w:val="18"/>
              </w:rPr>
              <w:t>Required default decision</w:t>
            </w:r>
          </w:p>
        </w:tc>
        <w:tc>
          <w:tcPr>
            <w:tcW w:type="dxa" w:w="3999"/>
            <w:shd w:fill="163349"/>
          </w:tcPr>
          <w:p>
            <w:pPr>
              <w:pStyle w:val="TableText"/>
              <w:keepNext/>
            </w:pPr>
            <w:r>
              <w:rPr>
                <w:rFonts w:ascii="Lato" w:hAnsi="Lato"/>
                <w:b/>
                <w:color w:val="FFFFFF"/>
                <w:sz w:val="18"/>
              </w:rPr>
              <w:t>Verification</w:t>
            </w:r>
          </w:p>
        </w:tc>
      </w:tr>
      <w:tr>
        <w:trPr>
          <w:cantSplit/>
        </w:trPr>
        <w:tc>
          <w:tcPr>
            <w:tcW w:type="dxa" w:w="2304"/>
            <w:shd w:fill="F2F7FA"/>
          </w:tcPr>
          <w:p>
            <w:pPr>
              <w:pStyle w:val="TableText"/>
              <w:keepNext w:val="0"/>
            </w:pPr>
            <w:r>
              <w:rPr>
                <w:rFonts w:ascii="Lato" w:hAnsi="Lato"/>
                <w:b/>
                <w:color w:val="163349"/>
                <w:sz w:val="18"/>
              </w:rPr>
              <w:t>Published canonical content</w:t>
            </w:r>
          </w:p>
        </w:tc>
        <w:tc>
          <w:tcPr>
            <w:tcW w:type="dxa" w:w="3528"/>
            <w:shd w:fill="F2F7FA"/>
          </w:tcPr>
          <w:p>
            <w:pPr>
              <w:pStyle w:val="TableText"/>
              <w:keepNext w:val="0"/>
            </w:pPr>
            <w:r>
              <w:rPr>
                <w:rFonts w:ascii="Lato" w:hAnsi="Lato"/>
                <w:sz w:val="18"/>
              </w:rPr>
              <w:t>Success status, coherent self-canonical, crawlable links and eligible sitemap entry</w:t>
            </w:r>
          </w:p>
        </w:tc>
        <w:tc>
          <w:tcPr>
            <w:tcW w:type="dxa" w:w="3999"/>
            <w:shd w:fill="F2F7FA"/>
          </w:tcPr>
          <w:p>
            <w:pPr>
              <w:pStyle w:val="TableText"/>
              <w:keepNext w:val="0"/>
            </w:pPr>
            <w:r>
              <w:rPr>
                <w:rFonts w:ascii="Lato" w:hAnsi="Lato"/>
                <w:sz w:val="18"/>
              </w:rPr>
              <w:t>Raw response plus rendered fixture.</w:t>
            </w:r>
          </w:p>
        </w:tc>
      </w:tr>
      <w:tr>
        <w:trPr>
          <w:cantSplit/>
        </w:trPr>
        <w:tc>
          <w:tcPr>
            <w:tcW w:type="dxa" w:w="2304"/>
            <w:shd w:fill="FFFFFF"/>
          </w:tcPr>
          <w:p>
            <w:pPr>
              <w:pStyle w:val="TableText"/>
              <w:keepNext w:val="0"/>
            </w:pPr>
            <w:r>
              <w:rPr>
                <w:rFonts w:ascii="Lato" w:hAnsi="Lato"/>
                <w:b/>
                <w:color w:val="163349"/>
                <w:sz w:val="18"/>
              </w:rPr>
              <w:t>Permanent equivalent move</w:t>
            </w:r>
          </w:p>
        </w:tc>
        <w:tc>
          <w:tcPr>
            <w:tcW w:type="dxa" w:w="3528"/>
            <w:shd w:fill="FFFFFF"/>
          </w:tcPr>
          <w:p>
            <w:pPr>
              <w:pStyle w:val="TableText"/>
              <w:keepNext w:val="0"/>
            </w:pPr>
            <w:r>
              <w:rPr>
                <w:rFonts w:ascii="Lato" w:hAnsi="Lato"/>
                <w:sz w:val="18"/>
              </w:rPr>
              <w:t>Intentional permanent redirect to a relevant equivalent, preserving permitted campaign data</w:t>
            </w:r>
          </w:p>
        </w:tc>
        <w:tc>
          <w:tcPr>
            <w:tcW w:type="dxa" w:w="3999"/>
            <w:shd w:fill="FFFFFF"/>
          </w:tcPr>
          <w:p>
            <w:pPr>
              <w:pStyle w:val="TableText"/>
              <w:keepNext w:val="0"/>
            </w:pPr>
            <w:r>
              <w:rPr>
                <w:rFonts w:ascii="Lato" w:hAnsi="Lato"/>
                <w:sz w:val="18"/>
              </w:rPr>
              <w:t>No loops, open redirects or unrelated target.</w:t>
            </w:r>
          </w:p>
        </w:tc>
      </w:tr>
      <w:tr>
        <w:trPr>
          <w:cantSplit/>
        </w:trPr>
        <w:tc>
          <w:tcPr>
            <w:tcW w:type="dxa" w:w="2304"/>
            <w:shd w:fill="F2F7FA"/>
          </w:tcPr>
          <w:p>
            <w:pPr>
              <w:pStyle w:val="TableText"/>
              <w:keepNext w:val="0"/>
            </w:pPr>
            <w:r>
              <w:rPr>
                <w:rFonts w:ascii="Lato" w:hAnsi="Lato"/>
                <w:b/>
                <w:color w:val="163349"/>
                <w:sz w:val="18"/>
              </w:rPr>
              <w:t>Temporary A/B split</w:t>
            </w:r>
          </w:p>
        </w:tc>
        <w:tc>
          <w:tcPr>
            <w:tcW w:type="dxa" w:w="3528"/>
            <w:shd w:fill="F2F7FA"/>
          </w:tcPr>
          <w:p>
            <w:pPr>
              <w:pStyle w:val="TableText"/>
              <w:keepNext w:val="0"/>
            </w:pPr>
            <w:r>
              <w:rPr>
                <w:rFonts w:ascii="Lato" w:hAnsi="Lato"/>
                <w:sz w:val="18"/>
              </w:rPr>
              <w:t>Temporary test routing and declared canonical treatment</w:t>
            </w:r>
          </w:p>
        </w:tc>
        <w:tc>
          <w:tcPr>
            <w:tcW w:type="dxa" w:w="3999"/>
            <w:shd w:fill="F2F7FA"/>
          </w:tcPr>
          <w:p>
            <w:pPr>
              <w:pStyle w:val="TableText"/>
              <w:keepNext w:val="0"/>
            </w:pPr>
            <w:r>
              <w:rPr>
                <w:rFonts w:ascii="Lato" w:hAnsi="Lato"/>
                <w:sz w:val="18"/>
              </w:rPr>
              <w:t>Same eligible audience, safe control and test removal.</w:t>
            </w:r>
          </w:p>
        </w:tc>
      </w:tr>
      <w:tr>
        <w:trPr>
          <w:cantSplit/>
        </w:trPr>
        <w:tc>
          <w:tcPr>
            <w:tcW w:type="dxa" w:w="2304"/>
            <w:shd w:fill="FFFFFF"/>
          </w:tcPr>
          <w:p>
            <w:pPr>
              <w:pStyle w:val="TableText"/>
              <w:keepNext w:val="0"/>
            </w:pPr>
            <w:r>
              <w:rPr>
                <w:rFonts w:ascii="Lato" w:hAnsi="Lato"/>
                <w:b/>
                <w:color w:val="163349"/>
                <w:sz w:val="18"/>
              </w:rPr>
              <w:t>Removed without relevant replacement</w:t>
            </w:r>
          </w:p>
        </w:tc>
        <w:tc>
          <w:tcPr>
            <w:tcW w:type="dxa" w:w="3528"/>
            <w:shd w:fill="FFFFFF"/>
          </w:tcPr>
          <w:p>
            <w:pPr>
              <w:pStyle w:val="TableText"/>
              <w:keepNext w:val="0"/>
            </w:pPr>
            <w:r>
              <w:rPr>
                <w:rFonts w:ascii="Lato" w:hAnsi="Lato"/>
                <w:sz w:val="18"/>
              </w:rPr>
              <w:t>Deliberate 404/410 with helpful navigation</w:t>
            </w:r>
          </w:p>
        </w:tc>
        <w:tc>
          <w:tcPr>
            <w:tcW w:type="dxa" w:w="3999"/>
            <w:shd w:fill="FFFFFF"/>
          </w:tcPr>
          <w:p>
            <w:pPr>
              <w:pStyle w:val="TableText"/>
              <w:keepNext w:val="0"/>
            </w:pPr>
            <w:r>
              <w:rPr>
                <w:rFonts w:ascii="Lato" w:hAnsi="Lato"/>
                <w:sz w:val="18"/>
              </w:rPr>
              <w:t>No generic redirect to home; source retention unaffected.</w:t>
            </w:r>
          </w:p>
        </w:tc>
      </w:tr>
      <w:tr>
        <w:trPr>
          <w:cantSplit/>
        </w:trPr>
        <w:tc>
          <w:tcPr>
            <w:tcW w:type="dxa" w:w="2304"/>
            <w:shd w:fill="F2F7FA"/>
          </w:tcPr>
          <w:p>
            <w:pPr>
              <w:pStyle w:val="TableText"/>
              <w:keepNext w:val="0"/>
            </w:pPr>
            <w:r>
              <w:rPr>
                <w:rFonts w:ascii="Lato" w:hAnsi="Lato"/>
                <w:b/>
                <w:color w:val="163349"/>
                <w:sz w:val="18"/>
              </w:rPr>
              <w:t>Search/filter result</w:t>
            </w:r>
          </w:p>
        </w:tc>
        <w:tc>
          <w:tcPr>
            <w:tcW w:type="dxa" w:w="3528"/>
            <w:shd w:fill="F2F7FA"/>
          </w:tcPr>
          <w:p>
            <w:pPr>
              <w:pStyle w:val="TableText"/>
              <w:keepNext w:val="0"/>
            </w:pPr>
            <w:r>
              <w:rPr>
                <w:rFonts w:ascii="Lato" w:hAnsi="Lato"/>
                <w:sz w:val="18"/>
              </w:rPr>
              <w:t>Explicit finite indexing/crawling policy and accessible navigation</w:t>
            </w:r>
          </w:p>
        </w:tc>
        <w:tc>
          <w:tcPr>
            <w:tcW w:type="dxa" w:w="3999"/>
            <w:shd w:fill="F2F7FA"/>
          </w:tcPr>
          <w:p>
            <w:pPr>
              <w:pStyle w:val="TableText"/>
              <w:keepNext w:val="0"/>
            </w:pPr>
            <w:r>
              <w:rPr>
                <w:rFonts w:ascii="Lato" w:hAnsi="Lato"/>
                <w:sz w:val="18"/>
              </w:rPr>
              <w:t>Empty/out-of-range/duplicate parameters handled.</w:t>
            </w:r>
          </w:p>
        </w:tc>
      </w:tr>
      <w:tr>
        <w:trPr>
          <w:cantSplit/>
        </w:trPr>
        <w:tc>
          <w:tcPr>
            <w:tcW w:type="dxa" w:w="2304"/>
            <w:shd w:fill="FFFFFF"/>
          </w:tcPr>
          <w:p>
            <w:pPr>
              <w:pStyle w:val="TableText"/>
              <w:keepNext w:val="0"/>
            </w:pPr>
            <w:r>
              <w:rPr>
                <w:rFonts w:ascii="Lato" w:hAnsi="Lato"/>
                <w:b/>
                <w:color w:val="163349"/>
                <w:sz w:val="18"/>
              </w:rPr>
              <w:t>Protected or draft resource</w:t>
            </w:r>
          </w:p>
        </w:tc>
        <w:tc>
          <w:tcPr>
            <w:tcW w:type="dxa" w:w="3528"/>
            <w:shd w:fill="FFFFFF"/>
          </w:tcPr>
          <w:p>
            <w:pPr>
              <w:pStyle w:val="TableText"/>
              <w:keepNext w:val="0"/>
            </w:pPr>
            <w:r>
              <w:rPr>
                <w:rFonts w:ascii="Lato" w:hAnsi="Lato"/>
                <w:sz w:val="18"/>
              </w:rPr>
              <w:t>Authentication and no public leakage; appropriate indexing/cache restrictions</w:t>
            </w:r>
          </w:p>
        </w:tc>
        <w:tc>
          <w:tcPr>
            <w:tcW w:type="dxa" w:w="3999"/>
            <w:shd w:fill="FFFFFF"/>
          </w:tcPr>
          <w:p>
            <w:pPr>
              <w:pStyle w:val="TableText"/>
              <w:keepNext w:val="0"/>
            </w:pPr>
            <w:r>
              <w:rPr>
                <w:rFonts w:ascii="Lato" w:hAnsi="Lato"/>
                <w:sz w:val="18"/>
              </w:rPr>
              <w:t>Direct URL, download, preview and API tests.</w:t>
            </w:r>
          </w:p>
        </w:tc>
      </w:tr>
      <w:tr>
        <w:trPr>
          <w:cantSplit/>
        </w:trPr>
        <w:tc>
          <w:tcPr>
            <w:tcW w:type="dxa" w:w="2304"/>
            <w:shd w:fill="F2F7FA"/>
          </w:tcPr>
          <w:p>
            <w:pPr>
              <w:pStyle w:val="TableText"/>
              <w:keepNext w:val="0"/>
            </w:pPr>
            <w:r>
              <w:rPr>
                <w:rFonts w:ascii="Lato" w:hAnsi="Lato"/>
                <w:b/>
                <w:color w:val="163349"/>
                <w:sz w:val="18"/>
              </w:rPr>
              <w:t>Temporary infrastructure failure</w:t>
            </w:r>
          </w:p>
        </w:tc>
        <w:tc>
          <w:tcPr>
            <w:tcW w:type="dxa" w:w="3528"/>
            <w:shd w:fill="F2F7FA"/>
          </w:tcPr>
          <w:p>
            <w:pPr>
              <w:pStyle w:val="TableText"/>
              <w:keepNext w:val="0"/>
            </w:pPr>
            <w:r>
              <w:rPr>
                <w:rFonts w:ascii="Lato" w:hAnsi="Lato"/>
                <w:sz w:val="18"/>
              </w:rPr>
              <w:t>Honest retryable server state; appropriate retry guidance</w:t>
            </w:r>
          </w:p>
        </w:tc>
        <w:tc>
          <w:tcPr>
            <w:tcW w:type="dxa" w:w="3999"/>
            <w:shd w:fill="F2F7FA"/>
          </w:tcPr>
          <w:p>
            <w:pPr>
              <w:pStyle w:val="TableText"/>
              <w:keepNext w:val="0"/>
            </w:pPr>
            <w:r>
              <w:rPr>
                <w:rFonts w:ascii="Lato" w:hAnsi="Lato"/>
                <w:sz w:val="18"/>
              </w:rPr>
              <w:t>No mass permanent redirects or blanket content deletion.</w:t>
            </w:r>
          </w:p>
        </w:tc>
      </w:tr>
      <w:tr>
        <w:trPr>
          <w:cantSplit/>
        </w:trPr>
        <w:tc>
          <w:tcPr>
            <w:tcW w:type="dxa" w:w="2304"/>
            <w:shd w:fill="FFFFFF"/>
          </w:tcPr>
          <w:p>
            <w:pPr>
              <w:pStyle w:val="TableText"/>
              <w:keepNext w:val="0"/>
            </w:pPr>
            <w:r>
              <w:rPr>
                <w:rFonts w:ascii="Lato" w:hAnsi="Lato"/>
                <w:b/>
                <w:color w:val="163349"/>
                <w:sz w:val="18"/>
              </w:rPr>
              <w:t>Retired product/job/event</w:t>
            </w:r>
          </w:p>
        </w:tc>
        <w:tc>
          <w:tcPr>
            <w:tcW w:type="dxa" w:w="3528"/>
            <w:shd w:fill="FFFFFF"/>
          </w:tcPr>
          <w:p>
            <w:pPr>
              <w:pStyle w:val="TableText"/>
              <w:keepNext w:val="0"/>
            </w:pPr>
            <w:r>
              <w:rPr>
                <w:rFonts w:ascii="Lato" w:hAnsi="Lato"/>
                <w:sz w:val="18"/>
              </w:rPr>
              <w:t>Business-specific availability and public retention decision</w:t>
            </w:r>
          </w:p>
        </w:tc>
        <w:tc>
          <w:tcPr>
            <w:tcW w:type="dxa" w:w="3999"/>
            <w:shd w:fill="FFFFFF"/>
          </w:tcPr>
          <w:p>
            <w:pPr>
              <w:pStyle w:val="TableText"/>
              <w:keepNext w:val="0"/>
            </w:pPr>
            <w:r>
              <w:rPr>
                <w:rFonts w:ascii="Lato" w:hAnsi="Lato"/>
                <w:sz w:val="18"/>
              </w:rPr>
              <w:t>Feed/markup/UI agree; archived source remains.</w:t>
            </w:r>
          </w:p>
        </w:tc>
      </w:tr>
    </w:tbl>
    <w:p>
      <w:pPr>
        <w:spacing w:after="40"/>
      </w:pPr>
      <w:r/>
    </w:p>
    <w:p>
      <w:pPr>
        <w:pStyle w:val="Heading2"/>
        <w:keepNext/>
      </w:pPr>
      <w:r>
        <w:t>70.3 robots.txt, XML and crawler access</w:t>
      </w:r>
    </w:p>
    <w:p>
      <w:r>
        <w:t xml:space="preserve">Serve a deliberate, versioned robots.txt at the intended host/scheme/port. Google's documented treatment of robots.txt 4xx and server failures differs; returning 403 is not a reliable way to throttle crawling. </w:t>
      </w:r>
      <w:hyperlink w:anchor="ref_R123">
        <w:r>
          <w:rPr>
            <w:color w:val="087F83"/>
            <w:rFonts w:ascii="Lato" w:hAnsi="Lato"/>
          </w:rPr>
          <w:t xml:space="preserve">[R123]</w:t>
        </w:r>
      </w:hyperlink>
      <w:r>
        <w:t xml:space="preserve"> Check the actual edge response during WAF challenges, bot mitigation, deploys and failover. Keep alerts for accidental disallow-all, invalid content type, oversized/generated files and stale cached policies.</w:t>
      </w:r>
    </w:p>
    <w:p>
      <w:r>
        <w:t>Check sitemap escaping, canonical host, deduplication, indexable status, real modification dates, size/URL limits and nested sitemap references. Remove a URL from the relevant derived feed after manual unpublication while preserving source records. Verify recognized crawlers using the current official method before granting operational exceptions; a claimed user agent never grants authenticated access or different prices. Do not assume every bot is malicious or every automated request is a human visit.</w:t>
      </w:r>
    </w:p>
    <w:p>
      <w:pPr>
        <w:pStyle w:val="Heading2"/>
        <w:keepNext/>
      </w:pPr>
      <w:r>
        <w:t>70.4 Complex URL and content behavior</w:t>
      </w:r>
    </w:p>
    <w:p>
      <w:r>
        <w:t>Test trailing slashes, percent encoding, case, Unicode normalization, repeated parameters, empty values, fragments, locale prefixes, alternate hostnames and invalid dates. Resource IDs and signed values may be case-sensitive. Normalize only according to the approved route contract. Never include personalized tokens or unbounded UTM combinations in internal links, canonicals, sitemaps or indexed page titles.</w:t>
      </w:r>
    </w:p>
    <w:p>
      <w:r>
        <w:t>For product variants, choose canonical/URL/Offer representation based on actual distinct content and selection state; do not hide all useful variants or publish an unlimited permutation space. For pagination, provide meaningful page URLs and real links; do not canonicalize different result pages indiscriminately to page one. For international content, test missing/reciprocal alternatives, fallback language, user override, region-specific pricing and date/currency display independently.</w:t>
      </w:r>
    </w:p>
    <w:p>
      <w:r>
        <w:t>Public PDFs, documents and downloadable resources need file-level index/access policy, MIME type, filename sanitation and content headers. Robots directives on the HTML download page do not automatically protect an independently public file. Media rights/provenance and privacy metadata must survive the approved derivative process. Public JSON endpoints require a deliberate discovery/security decision, not accidental exposure of every CMS field.</w:t>
      </w:r>
    </w:p>
    <w:p>
      <w:pPr>
        <w:pStyle w:val="Heading2"/>
        <w:keepNext/>
      </w:pPr>
      <w:r>
        <w:t>70.5 Search incidents and migrations</w:t>
      </w:r>
    </w:p>
    <w:p>
      <w:r>
        <w:t>Create a diagnostic order: confirm measurement freshness and scope; identify affected templates/locales/surfaces; compare release/configuration history; test edge responses, index controls and content; inspect available Search Console/manual-action/security evidence; then assess demand, competition and official change notices. Do not assume every decline is an algorithm penalty or apply automatic disavowal/mass deletion.</w:t>
      </w:r>
    </w:p>
    <w:p>
      <w:r>
        <w:t>A migration release manifest includes old URLs/assets, equivalents, redirects, domains/subdomains, external links, forms, tracking IDs, feed identities, subscriptions, signed-resource obligations and rollback constraints. Maintain redirects and monitor abandoned routes according to an approved operating period. A rollback must not lose new leads or resurrect lawfully deleted records. Track search and paid-destination recovery separately because their processing timelines differ.</w:t>
      </w:r>
    </w:p>
    <w:p>
      <w:pPr>
        <w:pStyle w:val="Heading2"/>
        <w:keepNext/>
      </w:pPr>
      <w:r>
        <w:t>70.6 Required delivery</w:t>
      </w:r>
    </w:p>
    <w:p>
      <w:r>
        <w:t>Ship the route registry, edge-response test suite, bounded crawler, sitemap/feed reconciler, preview checker, robots-diff approval, Search Health dashboard and incident runbook. Every SEO change carries an expected effect, affected routes, approver, validation evidence and rollback decision. Do not let an automated SEO repair tool change production redirects, canonical settings, published claims or deletion state without the required approval.</w:t>
      </w:r>
    </w:p>
    <w:p>
      <w:pPr>
        <w:pStyle w:val="Heading1"/>
        <w:keepNext/>
      </w:pPr>
      <w:r>
        <w:t>71 | Full-funnel marketing, distribution and customer lifecycle</w:t>
      </w:r>
      <w:bookmarkStart w:id="515" w:name="final_ch_71"/>
      <w:bookmarkEnd w:id="515"/>
      <w:bookmarkStart w:id="621" w:name="tocfinal_ch_71"/>
      <w:bookmarkEnd w:id="621"/>
    </w:p>
    <w:p>
      <w:pPr>
        <w:pStyle w:val="Heading2"/>
        <w:keepNext/>
      </w:pPr>
      <w:r>
        <w:t>71.1 Research, positioning and the offer system</w:t>
      </w:r>
    </w:p>
    <w:p>
      <w:r>
        <w:t>Maintain documented audience problems, buying triggers, decision roles, alternatives, objections, constraints, languages and accessibility needs. Use consented interviews, actual sales/support questions, permitted analytics and dated public-market research. Keep assumptions separate from observed evidence. A competitor claim must have a dated source and fair context, not an AI-generated assertion.</w:t>
      </w:r>
    </w:p>
    <w:p>
      <w:r>
        <w:t>Every offer needs a stable ID, owner, audience, outcome, inclusions, exclusions, price/fee/tax presentation, validity, delivery capacity, eligibility, proof and support promise. Map it consistently across ads, landing pages, forms, downloads, bot answers, email, quotes and transactions. A central approved offer revision prevents a cheaper old PDF or chatbot response from contradicting checkout. Preserve accepted customer terms separately from later marketing edits.</w:t>
      </w:r>
    </w:p>
    <w:p>
      <w:pPr>
        <w:pStyle w:val="Heading2"/>
        <w:keepNext/>
      </w:pPr>
      <w:r>
        <w:t>71.2 The channel portfolio</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Channel family</w:t>
            </w:r>
          </w:p>
        </w:tc>
        <w:tc>
          <w:tcPr>
            <w:tcW w:type="dxa" w:w="3528"/>
            <w:shd w:fill="163349"/>
          </w:tcPr>
          <w:p>
            <w:pPr>
              <w:pStyle w:val="TableText"/>
              <w:keepNext/>
            </w:pPr>
            <w:r>
              <w:rPr>
                <w:rFonts w:ascii="Lato" w:hAnsi="Lato"/>
                <w:b/>
                <w:color w:val="FFFFFF"/>
                <w:sz w:val="18"/>
              </w:rPr>
              <w:t>Required operating package</w:t>
            </w:r>
          </w:p>
        </w:tc>
        <w:tc>
          <w:tcPr>
            <w:tcW w:type="dxa" w:w="3999"/>
            <w:shd w:fill="163349"/>
          </w:tcPr>
          <w:p>
            <w:pPr>
              <w:pStyle w:val="TableText"/>
              <w:keepNext/>
            </w:pPr>
            <w:r>
              <w:rPr>
                <w:rFonts w:ascii="Lato" w:hAnsi="Lato"/>
                <w:b/>
                <w:color w:val="FFFFFF"/>
                <w:sz w:val="18"/>
              </w:rPr>
              <w:t>Meaningful measurement</w:t>
            </w:r>
          </w:p>
        </w:tc>
      </w:tr>
      <w:tr>
        <w:trPr>
          <w:cantSplit/>
        </w:trPr>
        <w:tc>
          <w:tcPr>
            <w:tcW w:type="dxa" w:w="2304"/>
            <w:shd w:fill="F2F7FA"/>
          </w:tcPr>
          <w:p>
            <w:pPr>
              <w:pStyle w:val="TableText"/>
              <w:keepNext w:val="0"/>
            </w:pPr>
            <w:r>
              <w:rPr>
                <w:rFonts w:ascii="Lato" w:hAnsi="Lato"/>
                <w:b/>
                <w:color w:val="163349"/>
                <w:sz w:val="18"/>
              </w:rPr>
              <w:t>Organic search and local</w:t>
            </w:r>
          </w:p>
        </w:tc>
        <w:tc>
          <w:tcPr>
            <w:tcW w:type="dxa" w:w="3528"/>
            <w:shd w:fill="F2F7FA"/>
          </w:tcPr>
          <w:p>
            <w:pPr>
              <w:pStyle w:val="TableText"/>
              <w:keepNext w:val="0"/>
            </w:pPr>
            <w:r>
              <w:rPr>
                <w:rFonts w:ascii="Lato" w:hAnsi="Lato"/>
                <w:sz w:val="18"/>
              </w:rPr>
              <w:t>Intent/topic map, useful pages, verified profiles and editorial review</w:t>
            </w:r>
          </w:p>
        </w:tc>
        <w:tc>
          <w:tcPr>
            <w:tcW w:type="dxa" w:w="3999"/>
            <w:shd w:fill="F2F7FA"/>
          </w:tcPr>
          <w:p>
            <w:pPr>
              <w:pStyle w:val="TableText"/>
              <w:keepNext w:val="0"/>
            </w:pPr>
            <w:r>
              <w:rPr>
                <w:rFonts w:ascii="Lato" w:hAnsi="Lato"/>
                <w:sz w:val="18"/>
              </w:rPr>
              <w:t>Qualified organic demand and customer tasks, not ranking alone.</w:t>
            </w:r>
          </w:p>
        </w:tc>
      </w:tr>
      <w:tr>
        <w:trPr>
          <w:cantSplit/>
        </w:trPr>
        <w:tc>
          <w:tcPr>
            <w:tcW w:type="dxa" w:w="2304"/>
            <w:shd w:fill="FFFFFF"/>
          </w:tcPr>
          <w:p>
            <w:pPr>
              <w:pStyle w:val="TableText"/>
              <w:keepNext w:val="0"/>
            </w:pPr>
            <w:r>
              <w:rPr>
                <w:rFonts w:ascii="Lato" w:hAnsi="Lato"/>
                <w:b/>
                <w:color w:val="163349"/>
                <w:sz w:val="18"/>
              </w:rPr>
              <w:t>Paid search/social/video/display</w:t>
            </w:r>
          </w:p>
        </w:tc>
        <w:tc>
          <w:tcPr>
            <w:tcW w:type="dxa" w:w="3528"/>
            <w:shd w:fill="FFFFFF"/>
          </w:tcPr>
          <w:p>
            <w:pPr>
              <w:pStyle w:val="TableText"/>
              <w:keepNext w:val="0"/>
            </w:pPr>
            <w:r>
              <w:rPr>
                <w:rFonts w:ascii="Lato" w:hAnsi="Lato"/>
                <w:sz w:val="18"/>
              </w:rPr>
              <w:t>Approved campaign, creative, spend and destination contracts</w:t>
            </w:r>
          </w:p>
        </w:tc>
        <w:tc>
          <w:tcPr>
            <w:tcW w:type="dxa" w:w="3999"/>
            <w:shd w:fill="FFFFFF"/>
          </w:tcPr>
          <w:p>
            <w:pPr>
              <w:pStyle w:val="TableText"/>
              <w:keepNext w:val="0"/>
            </w:pPr>
            <w:r>
              <w:rPr>
                <w:rFonts w:ascii="Lato" w:hAnsi="Lato"/>
                <w:sz w:val="18"/>
              </w:rPr>
              <w:t>Mature qualified outcomes with stated attribution.</w:t>
            </w:r>
          </w:p>
        </w:tc>
      </w:tr>
      <w:tr>
        <w:trPr>
          <w:cantSplit/>
        </w:trPr>
        <w:tc>
          <w:tcPr>
            <w:tcW w:type="dxa" w:w="2304"/>
            <w:shd w:fill="F2F7FA"/>
          </w:tcPr>
          <w:p>
            <w:pPr>
              <w:pStyle w:val="TableText"/>
              <w:keepNext w:val="0"/>
            </w:pPr>
            <w:r>
              <w:rPr>
                <w:rFonts w:ascii="Lato" w:hAnsi="Lato"/>
                <w:b/>
                <w:color w:val="163349"/>
                <w:sz w:val="18"/>
              </w:rPr>
              <w:t>Owned email/messaging/push</w:t>
            </w:r>
          </w:p>
        </w:tc>
        <w:tc>
          <w:tcPr>
            <w:tcW w:type="dxa" w:w="3528"/>
            <w:shd w:fill="F2F7FA"/>
          </w:tcPr>
          <w:p>
            <w:pPr>
              <w:pStyle w:val="TableText"/>
              <w:keepNext w:val="0"/>
            </w:pPr>
            <w:r>
              <w:rPr>
                <w:rFonts w:ascii="Lato" w:hAnsi="Lato"/>
                <w:sz w:val="18"/>
              </w:rPr>
              <w:t>Explicit preferences, templates, suppression, delivery and support</w:t>
            </w:r>
          </w:p>
        </w:tc>
        <w:tc>
          <w:tcPr>
            <w:tcW w:type="dxa" w:w="3999"/>
            <w:shd w:fill="F2F7FA"/>
          </w:tcPr>
          <w:p>
            <w:pPr>
              <w:pStyle w:val="TableText"/>
              <w:keepNext w:val="0"/>
            </w:pPr>
            <w:r>
              <w:rPr>
                <w:rFonts w:ascii="Lato" w:hAnsi="Lato"/>
                <w:sz w:val="18"/>
              </w:rPr>
              <w:t>Delivered/answered/converted milestones where observable.</w:t>
            </w:r>
          </w:p>
        </w:tc>
      </w:tr>
      <w:tr>
        <w:trPr>
          <w:cantSplit/>
        </w:trPr>
        <w:tc>
          <w:tcPr>
            <w:tcW w:type="dxa" w:w="2304"/>
            <w:shd w:fill="FFFFFF"/>
          </w:tcPr>
          <w:p>
            <w:pPr>
              <w:pStyle w:val="TableText"/>
              <w:keepNext w:val="0"/>
            </w:pPr>
            <w:r>
              <w:rPr>
                <w:rFonts w:ascii="Lato" w:hAnsi="Lato"/>
                <w:b/>
                <w:color w:val="163349"/>
                <w:sz w:val="18"/>
              </w:rPr>
              <w:t>Social publishing and community</w:t>
            </w:r>
          </w:p>
        </w:tc>
        <w:tc>
          <w:tcPr>
            <w:tcW w:type="dxa" w:w="3528"/>
            <w:shd w:fill="FFFFFF"/>
          </w:tcPr>
          <w:p>
            <w:pPr>
              <w:pStyle w:val="TableText"/>
              <w:keepNext w:val="0"/>
            </w:pPr>
            <w:r>
              <w:rPr>
                <w:rFonts w:ascii="Lato" w:hAnsi="Lato"/>
                <w:sz w:val="18"/>
              </w:rPr>
              <w:t>Account rights, content calendar, accessible media, moderation and escalation</w:t>
            </w:r>
          </w:p>
        </w:tc>
        <w:tc>
          <w:tcPr>
            <w:tcW w:type="dxa" w:w="3999"/>
            <w:shd w:fill="FFFFFF"/>
          </w:tcPr>
          <w:p>
            <w:pPr>
              <w:pStyle w:val="TableText"/>
              <w:keepNext w:val="0"/>
            </w:pPr>
            <w:r>
              <w:rPr>
                <w:rFonts w:ascii="Lato" w:hAnsi="Lato"/>
                <w:sz w:val="18"/>
              </w:rPr>
              <w:t>Referral and useful engagement without invented person-level attribution.</w:t>
            </w:r>
          </w:p>
        </w:tc>
      </w:tr>
      <w:tr>
        <w:trPr>
          <w:cantSplit/>
        </w:trPr>
        <w:tc>
          <w:tcPr>
            <w:tcW w:type="dxa" w:w="2304"/>
            <w:shd w:fill="F2F7FA"/>
          </w:tcPr>
          <w:p>
            <w:pPr>
              <w:pStyle w:val="TableText"/>
              <w:keepNext w:val="0"/>
            </w:pPr>
            <w:r>
              <w:rPr>
                <w:rFonts w:ascii="Lato" w:hAnsi="Lato"/>
                <w:b/>
                <w:color w:val="163349"/>
                <w:sz w:val="18"/>
              </w:rPr>
              <w:t>Partnerships/affiliates/referrals</w:t>
            </w:r>
          </w:p>
        </w:tc>
        <w:tc>
          <w:tcPr>
            <w:tcW w:type="dxa" w:w="3528"/>
            <w:shd w:fill="F2F7FA"/>
          </w:tcPr>
          <w:p>
            <w:pPr>
              <w:pStyle w:val="TableText"/>
              <w:keepNext w:val="0"/>
            </w:pPr>
            <w:r>
              <w:rPr>
                <w:rFonts w:ascii="Lato" w:hAnsi="Lato"/>
                <w:sz w:val="18"/>
              </w:rPr>
              <w:t>Agreements, disclosures, source codes, reward rules and fraud/reversal controls</w:t>
            </w:r>
          </w:p>
        </w:tc>
        <w:tc>
          <w:tcPr>
            <w:tcW w:type="dxa" w:w="3999"/>
            <w:shd w:fill="F2F7FA"/>
          </w:tcPr>
          <w:p>
            <w:pPr>
              <w:pStyle w:val="TableText"/>
              <w:keepNext w:val="0"/>
            </w:pPr>
            <w:r>
              <w:rPr>
                <w:rFonts w:ascii="Lato" w:hAnsi="Lato"/>
                <w:sz w:val="18"/>
              </w:rPr>
              <w:t>Verified referred outcomes and net cost.</w:t>
            </w:r>
          </w:p>
        </w:tc>
      </w:tr>
      <w:tr>
        <w:trPr>
          <w:cantSplit/>
        </w:trPr>
        <w:tc>
          <w:tcPr>
            <w:tcW w:type="dxa" w:w="2304"/>
            <w:shd w:fill="FFFFFF"/>
          </w:tcPr>
          <w:p>
            <w:pPr>
              <w:pStyle w:val="TableText"/>
              <w:keepNext w:val="0"/>
            </w:pPr>
            <w:r>
              <w:rPr>
                <w:rFonts w:ascii="Lato" w:hAnsi="Lato"/>
                <w:b/>
                <w:color w:val="163349"/>
                <w:sz w:val="18"/>
              </w:rPr>
              <w:t>PR, events and offline</w:t>
            </w:r>
          </w:p>
        </w:tc>
        <w:tc>
          <w:tcPr>
            <w:tcW w:type="dxa" w:w="3528"/>
            <w:shd w:fill="FFFFFF"/>
          </w:tcPr>
          <w:p>
            <w:pPr>
              <w:pStyle w:val="TableText"/>
              <w:keepNext w:val="0"/>
            </w:pPr>
            <w:r>
              <w:rPr>
                <w:rFonts w:ascii="Lato" w:hAnsi="Lato"/>
                <w:sz w:val="18"/>
              </w:rPr>
              <w:t>Authorized spokesperson/assets, registration, QR/source codes, follow-up purpose</w:t>
            </w:r>
          </w:p>
        </w:tc>
        <w:tc>
          <w:tcPr>
            <w:tcW w:type="dxa" w:w="3999"/>
            <w:shd w:fill="FFFFFF"/>
          </w:tcPr>
          <w:p>
            <w:pPr>
              <w:pStyle w:val="TableText"/>
              <w:keepNext w:val="0"/>
            </w:pPr>
            <w:r>
              <w:rPr>
                <w:rFonts w:ascii="Lato" w:hAnsi="Lato"/>
                <w:sz w:val="18"/>
              </w:rPr>
              <w:t>Declared/observed acquisition kept distinct.</w:t>
            </w:r>
          </w:p>
        </w:tc>
      </w:tr>
      <w:tr>
        <w:trPr>
          <w:cantSplit/>
        </w:trPr>
        <w:tc>
          <w:tcPr>
            <w:tcW w:type="dxa" w:w="2304"/>
            <w:shd w:fill="F2F7FA"/>
          </w:tcPr>
          <w:p>
            <w:pPr>
              <w:pStyle w:val="TableText"/>
              <w:keepNext w:val="0"/>
            </w:pPr>
            <w:r>
              <w:rPr>
                <w:rFonts w:ascii="Lato" w:hAnsi="Lato"/>
                <w:b/>
                <w:color w:val="163349"/>
                <w:sz w:val="18"/>
              </w:rPr>
              <w:t>Retention and advocacy</w:t>
            </w:r>
          </w:p>
        </w:tc>
        <w:tc>
          <w:tcPr>
            <w:tcW w:type="dxa" w:w="3528"/>
            <w:shd w:fill="F2F7FA"/>
          </w:tcPr>
          <w:p>
            <w:pPr>
              <w:pStyle w:val="TableText"/>
              <w:keepNext w:val="0"/>
            </w:pPr>
            <w:r>
              <w:rPr>
                <w:rFonts w:ascii="Lato" w:hAnsi="Lato"/>
                <w:sz w:val="18"/>
              </w:rPr>
              <w:t>Onboarding, service milestones, feedback, renewal, cancellation and ethical review requests</w:t>
            </w:r>
          </w:p>
        </w:tc>
        <w:tc>
          <w:tcPr>
            <w:tcW w:type="dxa" w:w="3999"/>
            <w:shd w:fill="F2F7FA"/>
          </w:tcPr>
          <w:p>
            <w:pPr>
              <w:pStyle w:val="TableText"/>
              <w:keepNext w:val="0"/>
            </w:pPr>
            <w:r>
              <w:rPr>
                <w:rFonts w:ascii="Lato" w:hAnsi="Lato"/>
                <w:sz w:val="18"/>
              </w:rPr>
              <w:t>Retention cohorts, satisfaction and realized repeat business.</w:t>
            </w:r>
          </w:p>
        </w:tc>
      </w:tr>
    </w:tbl>
    <w:p>
      <w:pPr>
        <w:spacing w:after="40"/>
      </w:pPr>
      <w:r/>
    </w:p>
    <w:p>
      <w:r>
        <w:t>The selected provider register can include Google, Meta, Microsoft/Bing, LinkedIn, TikTok, Pinterest, YouTube and other audience-relevant services. A name in the catalogue does not claim an implemented adapter. Each activated integration requires current permissions, supported fields, security, pricing, export, deletion and production evidence. Use native tools when safer than building unnecessary campaign-write interfaces.</w:t>
      </w:r>
    </w:p>
    <w:p>
      <w:pPr>
        <w:pStyle w:val="Heading2"/>
        <w:keepNext/>
      </w:pPr>
      <w:r>
        <w:t>71.3 Content distribution and reputation</w:t>
      </w:r>
    </w:p>
    <w:p>
      <w:r>
        <w:t>Convert one approved source into appropriate articles, videos, resources, email and social excerpts with consistent claims and rights. Track reuse, canonical/original-source decisions, translation review and takedown propagation. Do not create thin near-duplicates solely to dominate query variations. Sponsored content, affiliates and customer endorsements need the applicable disclosures and current platform/legal review.</w:t>
      </w:r>
    </w:p>
    <w:p>
      <w:r>
        <w:t>Provide a claims/evidence library, press kit, verified company information, correction contact and review-request workflow. Ask eligible customers neutrally; do not purchase fabricated reviews, selectively route only happy customers to public reviews or make a reward dependent on positive sentiment. Handle allegations and removal requests through documented fair moderation and protected audit. Never publish private customer details to rebut a complaint.</w:t>
      </w:r>
    </w:p>
    <w:p>
      <w:pPr>
        <w:pStyle w:val="Heading2"/>
        <w:keepNext/>
      </w:pPr>
      <w:r>
        <w:t>71.4 Lifecycle programmes and sales service levels</w:t>
      </w:r>
    </w:p>
    <w:p>
      <w:r>
        <w:t>Map prospect → accepted enquiry → assigned → contacted → qualified → agreed transaction → onboarding → successful service → repeat/renewal or cancellation. Each stage needs a trusted event, responsible team, entry/exit rules, response target, communication purpose and exception queue. Prospects, current customers, applicants, donors and support requesters may need different lifecycles and must not be collapsed into one universal funnel.</w:t>
      </w:r>
    </w:p>
    <w:p>
      <w:r>
        <w:t>Approved nurture examples include requested-resource delivery, consultation reminders, onboarding guidance, relevant renewal notices and eligible re-engagement. Enquiry acknowledgment is distinct from marketing subscription. A completed sale, opt-out, legal hold, complaint or service issue may stop a sequence. Review total contact frequency across channels, not only per workflow. A customer must have a practical way to reach a human and correct their details.</w:t>
      </w:r>
    </w:p>
    <w:p>
      <w:pPr>
        <w:pStyle w:val="Heading2"/>
        <w:keepNext/>
      </w:pPr>
      <w:r>
        <w:t>71.5 Economics, experimentation and reporting</w:t>
      </w:r>
    </w:p>
    <w:p>
      <w:r>
        <w:t>Define cost per accepted lead, cost per qualified lead, customer acquisition cost, realized return on ad spend, contribution after marketing, payback and retention with explicit numerator, denominator, cohort and currency. Label estimated lifetime value and modeled attribution. Avoid adding Google- and Meta-attributed sales together as extra orders. Discounting, refunds, sales labor and service capacity affect the business outcome.</w:t>
      </w:r>
    </w:p>
    <w:p>
      <w:r>
        <w:t>Maintain a prioritized growth backlog with hypothesis, evidence, expected impact range, effort, risk, owner and test design. Use interviews/usability review when traffic is too low for meaningful A/B inference. Separate creative, audience, page and lifecycle experiments where causal claims require isolation. No experiment may weaken accessibility, consent, truthful pricing or customer cancellation rights to improve a headline conversion rate.</w:t>
      </w:r>
    </w:p>
    <w:p>
      <w:pPr>
        <w:pStyle w:val="Heading2"/>
        <w:keepNext/>
      </w:pPr>
      <w:r>
        <w:t>71.6 Completion and owner control</w:t>
      </w:r>
    </w:p>
    <w:p>
      <w:r>
        <w:t>Deliver the market/offer brief, channel calendar, creative/evidence library, consented contact lifecycle, marketing automation runbooks and metric dictionary. The owner should be able to launch an approved campaign page, update an offer, prepare a resource, simulate follow-up, inspect qualification quality and see unresolved operational tasks without editing code. Real ad spending and externally published posts remain explicit authorized actions.</w:t>
      </w:r>
    </w:p>
    <w:p>
      <w:pPr>
        <w:pStyle w:val="Heading1"/>
        <w:keepNext/>
      </w:pPr>
      <w:r>
        <w:t>72 | Browser lifecycle, tracking accuracy and consent edge cases</w:t>
      </w:r>
      <w:bookmarkStart w:id="516" w:name="final_ch_72"/>
      <w:bookmarkEnd w:id="516"/>
      <w:bookmarkStart w:id="622" w:name="tocfinal_ch_72"/>
      <w:bookmarkEnd w:id="622"/>
    </w:p>
    <w:p>
      <w:pPr>
        <w:pStyle w:val="Heading2"/>
        <w:keepNext/>
      </w:pPr>
      <w:r>
        <w:t>72.1 Navigation has more than one lifecycle</w:t>
      </w:r>
    </w:p>
    <w:p>
      <w:r>
        <w:t xml:space="preserve">A new server request, a client-side route transition, a browser back/forward restoration, a prerender and a hidden tab are different observations. The browser back/forward cache can restore a page and its JavaScript state without a new document request; pageshow with persisted identifies that restoration. </w:t>
      </w:r>
      <w:hyperlink w:anchor="ref_R124">
        <w:r>
          <w:rPr>
            <w:color w:val="087F83"/>
            <w:rFonts w:ascii="Lato" w:hAnsi="Lato"/>
          </w:rPr>
          <w:t xml:space="preserve">[R124]</w:t>
        </w:r>
      </w:hyperlink>
      <w:r>
        <w:t xml:space="preserve"> Define whether restoration creates a new logical page view and ensure only one instrumentation owner implements it.</w:t>
      </w:r>
    </w:p>
    <w:p>
      <w:r>
        <w:t xml:space="preserve">Prerendering support is browser-dependent and requires feature detection. A speculative document is not automatically an actual visit or experiment exposure. </w:t>
      </w:r>
      <w:hyperlink w:anchor="ref_R125">
        <w:r>
          <w:rPr>
            <w:color w:val="087F83"/>
            <w:rFonts w:ascii="Lato" w:hAnsi="Lato"/>
          </w:rPr>
          <w:t xml:space="preserve">[R125]</w:t>
        </w:r>
      </w:hyperlink>
      <w:r>
        <w:t xml:space="preserve"> Separate prefetch, prerender, activation, visible render and user interaction. Do not emit a business conversion from page loading, nor create customer contact records because a link scanner fetched a form URL.</w:t>
      </w:r>
    </w:p>
    <w:p>
      <w:pPr>
        <w:pStyle w:val="Heading2"/>
        <w:keepNext/>
      </w:pPr>
      <w:r>
        <w:t>72.2 Visibility, engagement and event semantics</w:t>
      </w:r>
    </w:p>
    <w:p>
      <w:r>
        <w:t xml:space="preserve">Pricing-section exposure requires the declared marker/visible-area and continuous-duration rule together with a visible document. Pause/reset timing on hidden state or interrupted visibility; do not count time spent in a background tab as reading. The Page Visibility API exposes visible/hidden state, not proof of attention or comprehension. </w:t>
      </w:r>
      <w:hyperlink w:anchor="ref_R126">
        <w:r>
          <w:rPr>
            <w:color w:val="087F83"/>
            <w:rFonts w:ascii="Lato" w:hAnsi="Lato"/>
          </w:rPr>
          <w:t xml:space="preserve">[R126]</w:t>
        </w:r>
      </w:hyperlink>
      <w:r/>
    </w:p>
    <w:p>
      <w:r>
        <w:t>Use stable page_view_id, action_id, section_id and schema version. Record click intent, server authorization, accepted submission, paid order and actual provider-confirmed delivery separately. Element text, full form answers, typed chat messages and raw search phrases must not become event labels. Keyboard activation and touch should produce the same semantic action without double counting pointer and click handlers.</w:t>
      </w:r>
    </w:p>
    <w:p>
      <w:r>
        <w:t>The event policy defines duplicate scope, event ordering, maximum event age, allowed client-clock skew, maximum payload and missing-state handling. A dropped browser event remains missing; do not manufacture a complete path from a later purchase. Authoritative outcomes come from the business service even when optional browser telemetry is absent.</w:t>
      </w:r>
    </w:p>
    <w:p>
      <w:pPr>
        <w:pStyle w:val="Heading2"/>
        <w:keepNext/>
      </w:pPr>
      <w:r>
        <w:t>72.3 Consent across tabs, sessions and embedded tools</w:t>
      </w:r>
    </w:p>
    <w:p>
      <w:r>
        <w:t>Maintain one application policy revision and consent-state authority. Update eligible tabs and widgets after withdrawal or policy change using a tested same-origin mechanism, with server rechecks before external effects. A persisted old page or worker may hold stale state. On restoration, resynchronize consent, authentication and sensitive context before resuming collection or showing protected data.</w:t>
      </w:r>
    </w:p>
    <w:p>
      <w:r>
        <w:t>Test accept analytics/refuse ads, refuse all optional purposes, later accept, later withdraw, expired consent, policy-version change, shared-device logout, blocked cookies and unavailable storage. Basic blocking remains the baseline unless an alternative has an approved legal/technical decision. Rejecting advertising must not disable access to ordinary pricing, contact forms or support. A browser's location grant is not analytics consent and does not authorize continuous location tracking.</w:t>
      </w:r>
    </w:p>
    <w:p>
      <w:r>
        <w:t>Third-party chat/iframe scripts need a permission and origin contract. Transfer only an expiring scoped context reference to an approved origin; verify message origin/source/schema. Do not reuse a chat session as a covert marketing identifier. Cross-domain transitions require reviewed transfer/linker rules and no private data in public URL parameters.</w:t>
      </w:r>
    </w:p>
    <w:p>
      <w:pPr>
        <w:pStyle w:val="Heading2"/>
        <w:keepNext/>
      </w:pPr>
      <w:r>
        <w:t>72.4 Transport and offline behavior</w:t>
      </w:r>
    </w:p>
    <w:p>
      <w:r>
        <w:t>Optional analytics may use bounded batching and a permitted retry queue, with expiry and withdrawal checks. Never create an unconsented persistent queue for later replay. A beacon or successful browser send only indicates a transport attempt, not a committed business outcome. Mobile termination and network interruption can prevent final events; do not rely on unload as the only flush or save mechanism.</w:t>
      </w:r>
    </w:p>
    <w:p>
      <w:r>
        <w:t>Form retries reuse a stable submission key, while a genuinely new enquiry uses a new key. Offline UI says pending/not sent until the server commits. Explicit saved applications or checkout recovery need a separate protected draft workflow and clear user choice; abandoned keystrokes are not submitted leads. Pause uploads cleanly and show per-file validation/quarantine state without falsely claiming a complete application.</w:t>
      </w:r>
    </w:p>
    <w:p>
      <w:pPr>
        <w:pStyle w:val="Heading2"/>
        <w:keepNext/>
      </w:pPr>
      <w:r>
        <w:t>72.5 Bot, synthetic and scanner traffic</w:t>
      </w:r>
    </w:p>
    <w:p>
      <w:r>
        <w:t>Maintain classifications for verified search crawlers, social previews, uptime checks, approved test traffic, suspected automation and unknown traffic. These classifications are operational signals, not secret personal identities. Email security scanners, link previews and prerenders must not consume one-time customer actions through GET requests. Do not permanently whitelist a user-agent string or let a bot bypass access control.</w:t>
      </w:r>
    </w:p>
    <w:p>
      <w:r>
        <w:t>Synthetic journeys use isolated recipients and conversion destinations or supported test mode. Keep their source marker outside user-editable campaign data and prevent them from entering production audiences, scores and primary conversion bidding. Internal traffic rules are reviewed because shared networks and VPNs can include real customers. Show classification/version and uncertain coverage in analytics.</w:t>
      </w:r>
    </w:p>
    <w:p>
      <w:pPr>
        <w:pStyle w:val="Heading2"/>
        <w:keepNext/>
      </w:pPr>
      <w:r>
        <w:t>72.6 Acceptance</w:t>
      </w:r>
    </w:p>
    <w:p>
      <w:r>
        <w:t>Test reload, route transitions, back/forward restoration, duplicate tabs, hidden documents, prerender activation/cancellation, expired session restoration, location refusal, storage denial, tracker blocking, slow networks and late acknowledgments. Use network payload inspection and backend records together. The goal is accurate defined observations with visible limitations, not a false claim to watch every action of every visitor.</w:t>
      </w:r>
    </w:p>
    <w:p>
      <w:pPr>
        <w:pStyle w:val="Heading1"/>
        <w:keepNext/>
      </w:pPr>
      <w:r>
        <w:t>73 | Owner, public-experience and content-completeness contract</w:t>
      </w:r>
      <w:bookmarkStart w:id="517" w:name="final_ch_73"/>
      <w:bookmarkEnd w:id="517"/>
      <w:bookmarkStart w:id="623" w:name="tocfinal_ch_73"/>
      <w:bookmarkEnd w:id="623"/>
    </w:p>
    <w:p>
      <w:pPr>
        <w:pStyle w:val="Heading2"/>
        <w:keepNext/>
      </w:pPr>
      <w:r>
        <w:t>73.1 Complete route and page states</w:t>
      </w:r>
    </w:p>
    <w:p>
      <w:r>
        <w:t>The owner must be able to maintain the public home, offers/services/programmes, pricing, about/trust, blog/resources, contact and selected campaign pages, plus utility routes: accessible search, not found, temporary failure, offline, form confirmation, consent preferences and relevant policy pages. Enabled modules add their own account, order, booking, application or support states. Links to unavailable modules must not remain as decorative buttons.</w:t>
      </w:r>
    </w:p>
    <w:p>
      <w:r>
        <w:t>Every route receives loading, empty, validation, refused, expired, unavailable, success and retry behavior where meaningful. Forms expose persistent labels, instructions, accessible errors and submitted confirmation. Navigation, locale selection, contact details and policy access must remain usable without chat, video, optional tracking or a heavy animation. Do not make a critical message visible only on hover or through sound.</w:t>
      </w:r>
    </w:p>
    <w:p>
      <w:pPr>
        <w:pStyle w:val="Heading2"/>
        <w:keepNext/>
      </w:pPr>
      <w:r>
        <w:t>73.2 Safe editing beyond a page-builder canvas</w:t>
      </w:r>
    </w:p>
    <w:p>
      <w:r>
        <w:t>The editing system includes keyboard alternatives to dragging, responsive previews, section visibility rules, approved design tokens, link validation, alt-text checks, shared-block impact preview, autosave acknowledgment, draft recovery, undo/redo and concurrent-edit conflict resolution. It must show which content is live and which remains a draft. A crash after acknowledged save must recover that revision; unacknowledged local edits need an honest recovery status.</w:t>
      </w:r>
    </w:p>
    <w:p>
      <w:r>
        <w:t>Allow approved custom collections with typed fields, validations, references, permissions, template bindings, search/index policy, data-class labels and import/export mapping. Separate collection schema changes from content entry changes. Removing a field, category, author or asset must not cascade-delete protected posts or revisions. Test cloning across sites/locales so identifiers, permissions and private settings do not leak.</w:t>
      </w:r>
    </w:p>
    <w:p>
      <w:pPr>
        <w:pStyle w:val="Heading2"/>
        <w:keepNext/>
      </w:pPr>
      <w:r>
        <w:t>73.3 Editorial and media operations</w:t>
      </w:r>
    </w:p>
    <w:p>
      <w:r>
        <w:t>Provide editorial assignments, review comments, publication scheduling, timezone display, version comparison, correction history, source rights, author/reviewer profiles, taxonomy, related content, resource versions and coordinated release manifests. A global pricing/banner edit should show affected pages, ads, bot knowledge, downloads and active experiments before approval. Source revisions remain recoverable after manual trash; indexes and public caches are derived copies.</w:t>
      </w:r>
    </w:p>
    <w:p>
      <w:r>
        <w:t>A media asset carries allowed use, attribution, license expiry, source consent, transformation history, focal point, accessibility information, privacy metadata policy and current references. A license expiry may suspend public display through a reviewed policy but cannot silently erase source history. Public video needs captions/transcript alternatives where required; downloadable forms and PDFs need an accessibility decision, not just accessible surrounding HTML.</w:t>
      </w:r>
    </w:p>
    <w:p>
      <w:pPr>
        <w:pStyle w:val="Heading2"/>
        <w:keepNext/>
      </w:pPr>
      <w:r>
        <w:t>73.4 Practical lead and support management</w:t>
      </w:r>
    </w:p>
    <w:p>
      <w:r>
        <w:t>The owner sees new/unassigned/overdue enquiries, safe source context, submitted fields with provenance, verification state, assignee, stage, tasks, notes, communication preferences and integration status. Include saved views, safe exports, merge/unmerge where supported, correction and a spam-review path. Restrict bulk actions with preview, counts, approval and rollback/compensation decisions.</w:t>
      </w:r>
    </w:p>
    <w:p>
      <w:r>
        <w:t>For support chat, show delivery/pending status, human-versus-bot identity, business hours, assignment, transfer, closure and fallback. Persist message order and retries without replaying human actions. A visitor can correct chatbot-extracted details before they become submitted contact information. An attachment or knowledge document must not inject instructions that change the bot's tool permissions.</w:t>
      </w:r>
    </w:p>
    <w:p>
      <w:pPr>
        <w:pStyle w:val="Heading2"/>
        <w:keepNext/>
      </w:pPr>
      <w:r>
        <w:t>73.5 Accessibility regression is a release requirement</w:t>
      </w:r>
    </w:p>
    <w:p>
      <w:r>
        <w:t xml:space="preserve">The accessibility scope includes public pages, consent controls, forms, chatbot, checkout, documents and essential owner workflows. WCAG 2.2 includes criteria addressing focus, target size, dragging alternatives, redundant entry and accessible authentication; conformance cannot be inferred from a single automated score. </w:t>
      </w:r>
      <w:hyperlink w:anchor="ref_R127">
        <w:r>
          <w:rPr>
            <w:color w:val="087F83"/>
            <w:rFonts w:ascii="Lato" w:hAnsi="Lato"/>
          </w:rPr>
          <w:t xml:space="preserve">[R127]</w:t>
        </w:r>
      </w:hyperlink>
      <w:r/>
    </w:p>
    <w:p>
      <w:r>
        <w:t>Record selected level/version and representative manual tests: keyboard-only, screen reader, zoom/reflow, text spacing, contrast, reduced motion, captions, accessible authentication, errors and timed interactions. Errors should retain valid non-sensitive input where appropriate without leaking it into analytics or browser-shared storage. A new theme, popup or campaign template must pass the same checks as the original site.</w:t>
      </w:r>
    </w:p>
    <w:p>
      <w:pPr>
        <w:pStyle w:val="Heading2"/>
        <w:keepNext/>
      </w:pPr>
      <w:r>
        <w:t>73.6 Owner acceptance pack</w:t>
      </w:r>
    </w:p>
    <w:p>
      <w:r>
        <w:t>A second operator, using only the supplied guide and allowed permissions, must create a collection/page, recover a draft, resolve a conflict, publish/rollback a release, manage media, receive and qualify a lead, create a UTM link, pause an experiment/workflow, review conversion health and restore a manually trashed blog. Record failures as real usability defects. Routine autonomy does not grant arbitrary code execution, secret access or deletion of one's own audit history.</w:t>
      </w:r>
    </w:p>
    <w:p>
      <w:pPr>
        <w:pStyle w:val="Heading1"/>
        <w:keepNext/>
      </w:pPr>
      <w:r>
        <w:t>74 | Security, data and service-failure completion drills</w:t>
      </w:r>
      <w:bookmarkStart w:id="518" w:name="final_ch_74"/>
      <w:bookmarkEnd w:id="518"/>
      <w:bookmarkStart w:id="624" w:name="tocfinal_ch_74"/>
      <w:bookmarkEnd w:id="624"/>
    </w:p>
    <w:p>
      <w:pPr>
        <w:pStyle w:val="Heading2"/>
        <w:keepNext/>
      </w:pPr>
      <w:r>
        <w:t>74.1 Risk model and accountable controls</w:t>
      </w:r>
    </w:p>
    <w:p>
      <w:r>
        <w:t xml:space="preserve">Use the selected OWASP ASVS version as a traceable verification source, with risk-appropriate coverage and independent assessment where warranted. ASVS is a verification standard, not an automatic certification created by installing a framework. </w:t>
      </w:r>
      <w:hyperlink w:anchor="ref_R128">
        <w:r>
          <w:rPr>
            <w:color w:val="087F83"/>
            <w:rFonts w:ascii="Lato" w:hAnsi="Lato"/>
          </w:rPr>
          <w:t xml:space="preserve">[R128]</w:t>
        </w:r>
      </w:hyperlink>
      <w:r>
        <w:t xml:space="preserve"> Add a threat model for the actual business: account takeover, public upload abuse, cross-tenant access, malicious CMS content, payment/state manipulation, tracking leakage, compromised integrations and source-content loss.</w:t>
      </w:r>
    </w:p>
    <w:p>
      <w:r>
        <w:t>Every secret, service account, external processor and privileged role needs an owner, purpose, scope, rotation/revocation procedure and recovery path. Customer and staff authentication remain separate. Recovery, social sign-in and SSO linking require verified ownership; a matching email string is not enough to merge accounts. Step-up authentication protects high-risk changes and irreversible actions without making normal accessibility impossible.</w:t>
      </w:r>
    </w:p>
    <w:p>
      <w:pPr>
        <w:pStyle w:val="Heading2"/>
        <w:keepNext/>
      </w:pPr>
      <w:r>
        <w:t>74.2 Cross-system data controls</w:t>
      </w:r>
    </w:p>
    <w:p>
      <w:r>
        <w:t>Document the data path from browser/CDN through API, database, cache, object storage, workers, provider SDKs, analytics, backups and support tooling. Mark fields at each boundary. Redaction must apply to proxy access logs, APM, error traces, callback URLs, export filenames and AI traces as well as application logs. Prevent tenant or PII leakage through metrics labels and high-cardinality resource names.</w:t>
      </w:r>
    </w:p>
    <w:p>
      <w:r>
        <w:t>Encrypt and restrict raw IP/coordinates/contact/transcripts when their purpose justifies retention. Keep marketing, security and service purposes separate. A data-rights request propagates to authorized derived stores and providers; delayed webhooks or a restored backup must not recreate prohibited records. Maintain minimal justified tombstones/suppression proof without copying deleted text into immutable logs.</w:t>
      </w:r>
    </w:p>
    <w:p>
      <w:pPr>
        <w:pStyle w:val="Heading2"/>
        <w:keepNext/>
      </w:pPr>
      <w:r>
        <w:t>74.3 Security and integrity test catalogue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Threat or failure</w:t>
            </w:r>
          </w:p>
        </w:tc>
        <w:tc>
          <w:tcPr>
            <w:tcW w:type="dxa" w:w="6879"/>
            <w:shd w:fill="163349"/>
          </w:tcPr>
          <w:p>
            <w:pPr>
              <w:pStyle w:val="TableText"/>
              <w:keepNext/>
            </w:pPr>
            <w:r>
              <w:rPr>
                <w:rFonts w:ascii="Lato" w:hAnsi="Lato"/>
                <w:b/>
                <w:color w:val="FFFFFF"/>
                <w:sz w:val="18"/>
              </w:rPr>
              <w:t>Required drill</w:t>
            </w:r>
          </w:p>
        </w:tc>
      </w:tr>
      <w:tr>
        <w:trPr>
          <w:cantSplit/>
        </w:trPr>
        <w:tc>
          <w:tcPr>
            <w:tcW w:type="dxa" w:w="2952"/>
            <w:shd w:fill="F2F7FA"/>
          </w:tcPr>
          <w:p>
            <w:pPr>
              <w:pStyle w:val="TableText"/>
              <w:keepNext w:val="0"/>
            </w:pPr>
            <w:r>
              <w:rPr>
                <w:rFonts w:ascii="Lato" w:hAnsi="Lato"/>
                <w:b/>
                <w:color w:val="163349"/>
                <w:sz w:val="18"/>
              </w:rPr>
              <w:t>Privilege and tenant boundary</w:t>
            </w:r>
          </w:p>
        </w:tc>
        <w:tc>
          <w:tcPr>
            <w:tcW w:type="dxa" w:w="6879"/>
            <w:shd w:fill="F2F7FA"/>
          </w:tcPr>
          <w:p>
            <w:pPr>
              <w:pStyle w:val="TableText"/>
              <w:keepNext w:val="0"/>
            </w:pPr>
            <w:r>
              <w:rPr>
                <w:rFonts w:ascii="Lato" w:hAnsi="Lato"/>
                <w:sz w:val="18"/>
              </w:rPr>
              <w:t>Change IDs/site headers, reuse expired tokens, query exports and jobs, and verify object authorization everywhere.</w:t>
            </w:r>
          </w:p>
        </w:tc>
      </w:tr>
      <w:tr>
        <w:trPr>
          <w:cantSplit/>
        </w:trPr>
        <w:tc>
          <w:tcPr>
            <w:tcW w:type="dxa" w:w="2952"/>
            <w:shd w:fill="FFFFFF"/>
          </w:tcPr>
          <w:p>
            <w:pPr>
              <w:pStyle w:val="TableText"/>
              <w:keepNext w:val="0"/>
            </w:pPr>
            <w:r>
              <w:rPr>
                <w:rFonts w:ascii="Lato" w:hAnsi="Lato"/>
                <w:b/>
                <w:color w:val="163349"/>
                <w:sz w:val="18"/>
              </w:rPr>
              <w:t>Upload/URL abuse</w:t>
            </w:r>
          </w:p>
        </w:tc>
        <w:tc>
          <w:tcPr>
            <w:tcW w:type="dxa" w:w="6879"/>
            <w:shd w:fill="FFFFFF"/>
          </w:tcPr>
          <w:p>
            <w:pPr>
              <w:pStyle w:val="TableText"/>
              <w:keepNext w:val="0"/>
            </w:pPr>
            <w:r>
              <w:rPr>
                <w:rFonts w:ascii="Lato" w:hAnsi="Lato"/>
                <w:sz w:val="18"/>
              </w:rPr>
              <w:t>Test disguised files, oversized archives, active documents, unsafe redirects and outbound requests toward internal services.</w:t>
            </w:r>
          </w:p>
        </w:tc>
      </w:tr>
      <w:tr>
        <w:trPr>
          <w:cantSplit/>
        </w:trPr>
        <w:tc>
          <w:tcPr>
            <w:tcW w:type="dxa" w:w="2952"/>
            <w:shd w:fill="F2F7FA"/>
          </w:tcPr>
          <w:p>
            <w:pPr>
              <w:pStyle w:val="TableText"/>
              <w:keepNext w:val="0"/>
            </w:pPr>
            <w:r>
              <w:rPr>
                <w:rFonts w:ascii="Lato" w:hAnsi="Lato"/>
                <w:b/>
                <w:color w:val="163349"/>
                <w:sz w:val="18"/>
              </w:rPr>
              <w:t>Session and recovery</w:t>
            </w:r>
          </w:p>
        </w:tc>
        <w:tc>
          <w:tcPr>
            <w:tcW w:type="dxa" w:w="6879"/>
            <w:shd w:fill="F2F7FA"/>
          </w:tcPr>
          <w:p>
            <w:pPr>
              <w:pStyle w:val="TableText"/>
              <w:keepNext w:val="0"/>
            </w:pPr>
            <w:r>
              <w:rPr>
                <w:rFonts w:ascii="Lato" w:hAnsi="Lato"/>
                <w:sz w:val="18"/>
              </w:rPr>
              <w:t>Revoke a session in another tab; replay a used recovery link; test logout followed by browser restoration.</w:t>
            </w:r>
          </w:p>
        </w:tc>
      </w:tr>
      <w:tr>
        <w:trPr>
          <w:cantSplit/>
        </w:trPr>
        <w:tc>
          <w:tcPr>
            <w:tcW w:type="dxa" w:w="2952"/>
            <w:shd w:fill="FFFFFF"/>
          </w:tcPr>
          <w:p>
            <w:pPr>
              <w:pStyle w:val="TableText"/>
              <w:keepNext w:val="0"/>
            </w:pPr>
            <w:r>
              <w:rPr>
                <w:rFonts w:ascii="Lato" w:hAnsi="Lato"/>
                <w:b/>
                <w:color w:val="163349"/>
                <w:sz w:val="18"/>
              </w:rPr>
              <w:t>Provider compromise</w:t>
            </w:r>
          </w:p>
        </w:tc>
        <w:tc>
          <w:tcPr>
            <w:tcW w:type="dxa" w:w="6879"/>
            <w:shd w:fill="FFFFFF"/>
          </w:tcPr>
          <w:p>
            <w:pPr>
              <w:pStyle w:val="TableText"/>
              <w:keepNext w:val="0"/>
            </w:pPr>
            <w:r>
              <w:rPr>
                <w:rFonts w:ascii="Lato" w:hAnsi="Lato"/>
                <w:sz w:val="18"/>
              </w:rPr>
              <w:t>Revoke credentials, reject forged webhooks, restrict egress and prevent secret-bearing retries/logs.</w:t>
            </w:r>
          </w:p>
        </w:tc>
      </w:tr>
      <w:tr>
        <w:trPr>
          <w:cantSplit/>
        </w:trPr>
        <w:tc>
          <w:tcPr>
            <w:tcW w:type="dxa" w:w="2952"/>
            <w:shd w:fill="F2F7FA"/>
          </w:tcPr>
          <w:p>
            <w:pPr>
              <w:pStyle w:val="TableText"/>
              <w:keepNext w:val="0"/>
            </w:pPr>
            <w:r>
              <w:rPr>
                <w:rFonts w:ascii="Lato" w:hAnsi="Lato"/>
                <w:b/>
                <w:color w:val="163349"/>
                <w:sz w:val="18"/>
              </w:rPr>
              <w:t>Source-content deletion</w:t>
            </w:r>
          </w:p>
        </w:tc>
        <w:tc>
          <w:tcPr>
            <w:tcW w:type="dxa" w:w="6879"/>
            <w:shd w:fill="F2F7FA"/>
          </w:tcPr>
          <w:p>
            <w:pPr>
              <w:pStyle w:val="TableText"/>
              <w:keepNext w:val="0"/>
            </w:pPr>
            <w:r>
              <w:rPr>
                <w:rFonts w:ascii="Lato" w:hAnsi="Lato"/>
                <w:sz w:val="18"/>
              </w:rPr>
              <w:t>Attempt DELETE/TRUNCATE, cascades, cleanup jobs, storage lifecycle expiry and unauthorized purge execution.</w:t>
            </w:r>
          </w:p>
        </w:tc>
      </w:tr>
      <w:tr>
        <w:trPr>
          <w:cantSplit/>
        </w:trPr>
        <w:tc>
          <w:tcPr>
            <w:tcW w:type="dxa" w:w="2952"/>
            <w:shd w:fill="FFFFFF"/>
          </w:tcPr>
          <w:p>
            <w:pPr>
              <w:pStyle w:val="TableText"/>
              <w:keepNext w:val="0"/>
            </w:pPr>
            <w:r>
              <w:rPr>
                <w:rFonts w:ascii="Lato" w:hAnsi="Lato"/>
                <w:b/>
                <w:color w:val="163349"/>
                <w:sz w:val="18"/>
              </w:rPr>
              <w:t>Audit loss/tampering</w:t>
            </w:r>
          </w:p>
        </w:tc>
        <w:tc>
          <w:tcPr>
            <w:tcW w:type="dxa" w:w="6879"/>
            <w:shd w:fill="FFFFFF"/>
          </w:tcPr>
          <w:p>
            <w:pPr>
              <w:pStyle w:val="TableText"/>
              <w:keepNext w:val="0"/>
            </w:pPr>
            <w:r>
              <w:rPr>
                <w:rFonts w:ascii="Lato" w:hAnsi="Lato"/>
                <w:sz w:val="18"/>
              </w:rPr>
              <w:t>Fail local audit persistence, interrupt export, alter manifests and verify protected actions and alerts.</w:t>
            </w:r>
          </w:p>
        </w:tc>
      </w:tr>
      <w:tr>
        <w:trPr>
          <w:cantSplit/>
        </w:trPr>
        <w:tc>
          <w:tcPr>
            <w:tcW w:type="dxa" w:w="2952"/>
            <w:shd w:fill="F2F7FA"/>
          </w:tcPr>
          <w:p>
            <w:pPr>
              <w:pStyle w:val="TableText"/>
              <w:keepNext w:val="0"/>
            </w:pPr>
            <w:r>
              <w:rPr>
                <w:rFonts w:ascii="Lato" w:hAnsi="Lato"/>
                <w:b/>
                <w:color w:val="163349"/>
                <w:sz w:val="18"/>
              </w:rPr>
              <w:t>Financial integrity</w:t>
            </w:r>
          </w:p>
        </w:tc>
        <w:tc>
          <w:tcPr>
            <w:tcW w:type="dxa" w:w="6879"/>
            <w:shd w:fill="F2F7FA"/>
          </w:tcPr>
          <w:p>
            <w:pPr>
              <w:pStyle w:val="TableText"/>
              <w:keepNext w:val="0"/>
            </w:pPr>
            <w:r>
              <w:rPr>
                <w:rFonts w:ascii="Lato" w:hAnsi="Lato"/>
                <w:sz w:val="18"/>
              </w:rPr>
              <w:t>Replay/out-of-order payment callbacks, mismatched amounts/currency, partial refund and duplicate fulfilment.</w:t>
            </w:r>
          </w:p>
        </w:tc>
      </w:tr>
      <w:tr>
        <w:trPr>
          <w:cantSplit/>
        </w:trPr>
        <w:tc>
          <w:tcPr>
            <w:tcW w:type="dxa" w:w="2952"/>
            <w:shd w:fill="FFFFFF"/>
          </w:tcPr>
          <w:p>
            <w:pPr>
              <w:pStyle w:val="TableText"/>
              <w:keepNext w:val="0"/>
            </w:pPr>
            <w:r>
              <w:rPr>
                <w:rFonts w:ascii="Lato" w:hAnsi="Lato"/>
                <w:b/>
                <w:color w:val="163349"/>
                <w:sz w:val="18"/>
              </w:rPr>
              <w:t>Abuse and cost</w:t>
            </w:r>
          </w:p>
        </w:tc>
        <w:tc>
          <w:tcPr>
            <w:tcW w:type="dxa" w:w="6879"/>
            <w:shd w:fill="FFFFFF"/>
          </w:tcPr>
          <w:p>
            <w:pPr>
              <w:pStyle w:val="TableText"/>
              <w:keepNext w:val="0"/>
            </w:pPr>
            <w:r>
              <w:rPr>
                <w:rFonts w:ascii="Lato" w:hAnsi="Lato"/>
                <w:sz w:val="18"/>
              </w:rPr>
              <w:t>Stress forms, OTP/messages, geo and AI endpoints with budgets and graceful legitimate-user fallback.</w:t>
            </w:r>
          </w:p>
        </w:tc>
      </w:tr>
    </w:tbl>
    <w:p>
      <w:pPr>
        <w:spacing w:after="40"/>
      </w:pPr>
      <w:r/>
    </w:p>
    <w:p>
      <w:pPr>
        <w:pStyle w:val="Heading2"/>
        <w:keepNext/>
      </w:pPr>
      <w:r>
        <w:t>74.4 Resilience as separate service objectives</w:t>
      </w:r>
    </w:p>
    <w:p>
      <w:r>
        <w:t>Define separate objectives for public rendering, lead acceptance, owner editing, publication propagation, chat, reporting freshness and optional ad dispatch. A slow third-party API should not hold a lead database transaction open. Use bounded timeouts, retries with jitter, resource isolation, bulkheads/circuit breakers where justified, and explicit last-known-good public content.</w:t>
      </w:r>
    </w:p>
    <w:p>
      <w:r>
        <w:t>Database operations must cover connection pools, query timeouts, long transactions, lock contention, index maintenance, replication lag, disk growth, PITR/log retention and restore compatibility. Test outbox backlog catch-up without exhausting the database or blasting duplicate messages. Concurrency assumptions must match the native and Docker profiles; Kubernetes does not change business correctness.</w:t>
      </w:r>
    </w:p>
    <w:p>
      <w:pPr>
        <w:pStyle w:val="Heading2"/>
        <w:keepNext/>
      </w:pPr>
      <w:r>
        <w:t>74.5 Disaster recovery, keys and destructive infrastructure</w:t>
      </w:r>
    </w:p>
    <w:p>
      <w:r>
        <w:t>Back up content, media, durable business records, configuration references and required ledgers, with independent copies and a recoverable key strategy. Prove that backups can be decrypted and restored under staff/account loss. A backup-success badge without a usable key is not a recovery system. Protect production Terraform plans and storage/database deletion with separated permissions and approved manifests.</w:t>
      </w:r>
    </w:p>
    <w:p>
      <w:r>
        <w:t>Restore to an isolated environment, reapply deletion/suppression ledgers, replace credentials safely, verify representative pages and transactions, then control outbox replay. Do not resend already completed payments, emails or audience actions after a restore. Measure actual recovery time and data loss against the approved objectives; record the gaps as launch blockers or approved bounded exceptions.</w:t>
      </w:r>
    </w:p>
    <w:p>
      <w:pPr>
        <w:pStyle w:val="Heading2"/>
        <w:keepNext/>
      </w:pPr>
      <w:r>
        <w:t>74.6 Operational evidence</w:t>
      </w:r>
    </w:p>
    <w:p>
      <w:r>
        <w:t>Deliver threat/control mapping, selected-standard tests, dependency/SBOM/license records, sensitive-data fixtures, ingress/egress policy, provider kill switches, backup/restore evidence and a named support rota. Security tests, penetration assessment, accessibility evaluation and a document review are different activities; report each accurately. No critical risk becomes acceptable because an advertising metric improved.</w:t>
      </w:r>
    </w:p>
    <w:p>
      <w:pPr>
        <w:pStyle w:val="Heading1"/>
        <w:keepNext/>
      </w:pPr>
      <w:r>
        <w:t>75 | Conditional specialist capabilities and complete transaction lifecycles</w:t>
      </w:r>
      <w:bookmarkStart w:id="519" w:name="final_ch_75"/>
      <w:bookmarkEnd w:id="519"/>
      <w:bookmarkStart w:id="625" w:name="tocfinal_ch_75"/>
      <w:bookmarkEnd w:id="625"/>
    </w:p>
    <w:p>
      <w:pPr>
        <w:pStyle w:val="Heading2"/>
        <w:keepNext/>
      </w:pPr>
      <w:r>
        <w:t>75.1 The conditional-module contract</w:t>
      </w:r>
    </w:p>
    <w:p>
      <w:r>
        <w:t>This chapter deepens Chapter 61 rather than enabling everything on every website. For each chosen module, add a business specification covering actors, public/admin routes, states, transitions, money, permissions, data sensitivity, notifications, external providers, cancellation/correction, retention, export and recovery. A row marked conditional must still receive a written applicability decision. Selection converts its complete lifecycle into required implementation scope.</w:t>
      </w:r>
    </w:p>
    <w:p>
      <w:r>
        <w:t>For provider-led or regulated functions, document what the website owns versus what the specialist provider owns. Do not represent an integration link as an implemented specialist platform. Capability availability, legal entitlement, account approval and actual tested behavior are separate checks.</w:t>
      </w:r>
    </w:p>
    <w:p>
      <w:pPr>
        <w:pStyle w:val="Heading2"/>
        <w:keepNext/>
      </w:pPr>
      <w:r>
        <w:t>75.2 Commerce, rentals and service fulfilment</w:t>
      </w:r>
    </w:p>
    <w:p>
      <w:r>
        <w:t>Commerce includes variants, search/filtering, stock/reservations, cart persistence policy, discounts/eligibility, tax/fees, shipping/service coverage, checkout, verified payment, order snapshots, fulfilment, tracking, cancellation, returns authorization, partial refunds, disputes, settlement and customer support. Store order-line prices and terms immutably. Gift cards, credits, loyalty and affiliate rewards need a balance/eligibility ledger and reversals, not a mutable total in the browser.</w:t>
      </w:r>
    </w:p>
    <w:p>
      <w:r>
        <w:t>Rental, travel, hospitality and appointment modules add availability intervals, capacity, blackout dates, timezones, holds, deposits, cancellation/no-show policy, rescheduling, external calendar conflicts and settlement. Prevent double booking with transactional state. A payment arriving after a hold expires needs an explicit refund/rebook/manual-review policy. Restaurant/order-ahead use additionally needs fulfilment windows, inventory and reviewed dietary/allergen information; do not infer safety from an AI description.</w:t>
      </w:r>
    </w:p>
    <w:p>
      <w:pPr>
        <w:pStyle w:val="Heading2"/>
        <w:keepNext/>
      </w:pPr>
      <w:r>
        <w:t>75.3 B2B, memberships and professional portals</w:t>
      </w:r>
    </w:p>
    <w:p>
      <w:r>
        <w:t>B2B requires organizations, seats/roles, invitations, verified membership, negotiated catalogues/prices, quote revisions/expiry, approvals, purchase-order references where needed, fulfilment and invoicing handoff. Tax/credit/payment terms require actual business approval. A quote approval must bind to the exact revision and customer organization.</w:t>
      </w:r>
    </w:p>
    <w:p>
      <w:r>
        <w:t>Subscriptions, courses and memberships need entitlements, trial rules, usage/quota accounting, upgrades/downgrades, dunning, cancellation, refunds, access windows and customer-export obligations. Education adds enrolment, curriculum/versioning, progress, assessments, accessible materials, certificates only when implemented and guardian relationships where necessary. Live meetings, proctoring, secure examinations and credential accreditation remain separately specified systems, not assumed from a booking widget.</w:t>
      </w:r>
    </w:p>
    <w:p>
      <w:pPr>
        <w:pStyle w:val="Heading2"/>
        <w:keepNext/>
      </w:pPr>
      <w:r>
        <w:t>75.4 Marketplace, community, publishing and nonprofit</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Module</w:t>
            </w:r>
          </w:p>
        </w:tc>
        <w:tc>
          <w:tcPr>
            <w:tcW w:type="dxa" w:w="6879"/>
            <w:shd w:fill="163349"/>
          </w:tcPr>
          <w:p>
            <w:pPr>
              <w:pStyle w:val="TableText"/>
              <w:keepNext/>
            </w:pPr>
            <w:r>
              <w:rPr>
                <w:rFonts w:ascii="Lato" w:hAnsi="Lato"/>
                <w:b/>
                <w:color w:val="FFFFFF"/>
                <w:sz w:val="18"/>
              </w:rPr>
              <w:t>Additional lifecycle controls</w:t>
            </w:r>
          </w:p>
        </w:tc>
      </w:tr>
      <w:tr>
        <w:trPr>
          <w:cantSplit/>
        </w:trPr>
        <w:tc>
          <w:tcPr>
            <w:tcW w:type="dxa" w:w="2952"/>
            <w:shd w:fill="F2F7FA"/>
          </w:tcPr>
          <w:p>
            <w:pPr>
              <w:pStyle w:val="TableText"/>
              <w:keepNext w:val="0"/>
            </w:pPr>
            <w:r>
              <w:rPr>
                <w:rFonts w:ascii="Lato" w:hAnsi="Lato"/>
                <w:b/>
                <w:color w:val="163349"/>
                <w:sz w:val="18"/>
              </w:rPr>
              <w:t>Marketplace/directory</w:t>
            </w:r>
          </w:p>
        </w:tc>
        <w:tc>
          <w:tcPr>
            <w:tcW w:type="dxa" w:w="6879"/>
            <w:shd w:fill="F2F7FA"/>
          </w:tcPr>
          <w:p>
            <w:pPr>
              <w:pStyle w:val="TableText"/>
              <w:keepNext w:val="0"/>
            </w:pPr>
            <w:r>
              <w:rPr>
                <w:rFonts w:ascii="Lato" w:hAnsi="Lato"/>
                <w:sz w:val="18"/>
              </w:rPr>
              <w:t>Seller/listing verification, ownership claims, offers, commissions, provider-led split payments, disputes, reviews, fraud and suspension.</w:t>
            </w:r>
          </w:p>
        </w:tc>
      </w:tr>
      <w:tr>
        <w:trPr>
          <w:cantSplit/>
        </w:trPr>
        <w:tc>
          <w:tcPr>
            <w:tcW w:type="dxa" w:w="2952"/>
            <w:shd w:fill="FFFFFF"/>
          </w:tcPr>
          <w:p>
            <w:pPr>
              <w:pStyle w:val="TableText"/>
              <w:keepNext w:val="0"/>
            </w:pPr>
            <w:r>
              <w:rPr>
                <w:rFonts w:ascii="Lato" w:hAnsi="Lato"/>
                <w:b/>
                <w:color w:val="163349"/>
                <w:sz w:val="18"/>
              </w:rPr>
              <w:t>Community/reviews</w:t>
            </w:r>
          </w:p>
        </w:tc>
        <w:tc>
          <w:tcPr>
            <w:tcW w:type="dxa" w:w="6879"/>
            <w:shd w:fill="FFFFFF"/>
          </w:tcPr>
          <w:p>
            <w:pPr>
              <w:pStyle w:val="TableText"/>
              <w:keepNext w:val="0"/>
            </w:pPr>
            <w:r>
              <w:rPr>
                <w:rFonts w:ascii="Lato" w:hAnsi="Lato"/>
                <w:sz w:val="18"/>
              </w:rPr>
              <w:t>Member roles, report queues, moderator actions, appeals, safe links/files, fair removals and protections for complainants.</w:t>
            </w:r>
          </w:p>
        </w:tc>
      </w:tr>
      <w:tr>
        <w:trPr>
          <w:cantSplit/>
        </w:trPr>
        <w:tc>
          <w:tcPr>
            <w:tcW w:type="dxa" w:w="2952"/>
            <w:shd w:fill="F2F7FA"/>
          </w:tcPr>
          <w:p>
            <w:pPr>
              <w:pStyle w:val="TableText"/>
              <w:keepNext w:val="0"/>
            </w:pPr>
            <w:r>
              <w:rPr>
                <w:rFonts w:ascii="Lato" w:hAnsi="Lato"/>
                <w:b/>
                <w:color w:val="163349"/>
                <w:sz w:val="18"/>
              </w:rPr>
              <w:t>Publisher advertising</w:t>
            </w:r>
          </w:p>
        </w:tc>
        <w:tc>
          <w:tcPr>
            <w:tcW w:type="dxa" w:w="6879"/>
            <w:shd w:fill="F2F7FA"/>
          </w:tcPr>
          <w:p>
            <w:pPr>
              <w:pStyle w:val="TableText"/>
              <w:keepNext w:val="0"/>
            </w:pPr>
            <w:r>
              <w:rPr>
                <w:rFonts w:ascii="Lato" w:hAnsi="Lato"/>
                <w:sz w:val="18"/>
              </w:rPr>
              <w:t>Inventory/provider configuration, consent, layout/performance budgets, disclosures, eligibility, fraud/viewability reporting and reconciliation.</w:t>
            </w:r>
          </w:p>
        </w:tc>
      </w:tr>
      <w:tr>
        <w:trPr>
          <w:cantSplit/>
        </w:trPr>
        <w:tc>
          <w:tcPr>
            <w:tcW w:type="dxa" w:w="2952"/>
            <w:shd w:fill="FFFFFF"/>
          </w:tcPr>
          <w:p>
            <w:pPr>
              <w:pStyle w:val="TableText"/>
              <w:keepNext w:val="0"/>
            </w:pPr>
            <w:r>
              <w:rPr>
                <w:rFonts w:ascii="Lato" w:hAnsi="Lato"/>
                <w:b/>
                <w:color w:val="163349"/>
                <w:sz w:val="18"/>
              </w:rPr>
              <w:t>News/media/paywall</w:t>
            </w:r>
          </w:p>
        </w:tc>
        <w:tc>
          <w:tcPr>
            <w:tcW w:type="dxa" w:w="6879"/>
            <w:shd w:fill="FFFFFF"/>
          </w:tcPr>
          <w:p>
            <w:pPr>
              <w:pStyle w:val="TableText"/>
              <w:keepNext w:val="0"/>
            </w:pPr>
            <w:r>
              <w:rPr>
                <w:rFonts w:ascii="Lato" w:hAnsi="Lato"/>
                <w:sz w:val="18"/>
              </w:rPr>
              <w:t>Editorial corrections, public feeds, archives, licensing, subscription access, accessible media, cancellations and source preservation.</w:t>
            </w:r>
          </w:p>
        </w:tc>
      </w:tr>
      <w:tr>
        <w:trPr>
          <w:cantSplit/>
        </w:trPr>
        <w:tc>
          <w:tcPr>
            <w:tcW w:type="dxa" w:w="2952"/>
            <w:shd w:fill="F2F7FA"/>
          </w:tcPr>
          <w:p>
            <w:pPr>
              <w:pStyle w:val="TableText"/>
              <w:keepNext w:val="0"/>
            </w:pPr>
            <w:r>
              <w:rPr>
                <w:rFonts w:ascii="Lato" w:hAnsi="Lato"/>
                <w:b/>
                <w:color w:val="163349"/>
                <w:sz w:val="18"/>
              </w:rPr>
              <w:t>Recruitment</w:t>
            </w:r>
          </w:p>
        </w:tc>
        <w:tc>
          <w:tcPr>
            <w:tcW w:type="dxa" w:w="6879"/>
            <w:shd w:fill="F2F7FA"/>
          </w:tcPr>
          <w:p>
            <w:pPr>
              <w:pStyle w:val="TableText"/>
              <w:keepNext w:val="0"/>
            </w:pPr>
            <w:r>
              <w:rPr>
                <w:rFonts w:ascii="Lato" w:hAnsi="Lato"/>
                <w:sz w:val="18"/>
              </w:rPr>
              <w:t>Real job status, accessible application, private candidate files, interview workflow, retention and closed-job discovery updates.</w:t>
            </w:r>
          </w:p>
        </w:tc>
      </w:tr>
      <w:tr>
        <w:trPr>
          <w:cantSplit/>
        </w:trPr>
        <w:tc>
          <w:tcPr>
            <w:tcW w:type="dxa" w:w="2952"/>
            <w:shd w:fill="FFFFFF"/>
          </w:tcPr>
          <w:p>
            <w:pPr>
              <w:pStyle w:val="TableText"/>
              <w:keepNext w:val="0"/>
            </w:pPr>
            <w:r>
              <w:rPr>
                <w:rFonts w:ascii="Lato" w:hAnsi="Lato"/>
                <w:b/>
                <w:color w:val="163349"/>
                <w:sz w:val="18"/>
              </w:rPr>
              <w:t>Donations</w:t>
            </w:r>
          </w:p>
        </w:tc>
        <w:tc>
          <w:tcPr>
            <w:tcW w:type="dxa" w:w="6879"/>
            <w:shd w:fill="FFFFFF"/>
          </w:tcPr>
          <w:p>
            <w:pPr>
              <w:pStyle w:val="TableText"/>
              <w:keepNext w:val="0"/>
            </w:pPr>
            <w:r>
              <w:rPr>
                <w:rFonts w:ascii="Lato" w:hAnsi="Lato"/>
                <w:sz w:val="18"/>
              </w:rPr>
              <w:t>Verified beneficiary/cause, disclosures, amount/frequency, payment, receipts, restricted-fund rules where relevant, cancellation and accounting.</w:t>
            </w:r>
          </w:p>
        </w:tc>
      </w:tr>
    </w:tbl>
    <w:p>
      <w:pPr>
        <w:spacing w:after="40"/>
      </w:pPr>
      <w:r/>
    </w:p>
    <w:p>
      <w:r>
        <w:t>Publisher ads.txt/seller declarations, header-bidding or other supply-chain integrations apply only to the selected monetization arrangement and must be checked against current specifications. They are not prerequisites for buying Google or Meta ads. A forum or public-upload module cannot launch without moderation and abuse-response ownership.</w:t>
      </w:r>
    </w:p>
    <w:p>
      <w:pPr>
        <w:pStyle w:val="Heading2"/>
        <w:keepNext/>
      </w:pPr>
      <w:r>
        <w:t>75.5 Sensitive sectors and advanced interfaces</w:t>
      </w:r>
    </w:p>
    <w:p>
      <w:r>
        <w:t>Health/home care, finance, insurance, legal, housing, public services and age-restricted businesses need a jurisdiction/sector pack with qualified review of claims, licences, intake, advertising, accessibility, records, required notices and escalation. Never populate this pack with invented approvals. Keep protected application/service routes separate from general marketing tags and AI training data.</w:t>
      </w:r>
    </w:p>
    <w:p>
      <w:r>
        <w:t>Advanced interfaces such as maps/geospatial service boundaries, configurators, calculators, file collaboration, e-signatures, real-time sessions, PWA/offline, voice/camera/device access, 3D/AR, embedded applications and agent tools need an explicit business case. Provide accessible alternatives, capability detection, permission prompts, resource budgets and graceful failure. Do not treat every experimental browser API as a core dependency.</w:t>
      </w:r>
    </w:p>
    <w:p>
      <w:pPr>
        <w:pStyle w:val="Heading2"/>
        <w:keepNext/>
      </w:pPr>
      <w:r>
        <w:t>75.6 Acceptance pack for every selected module</w:t>
      </w:r>
    </w:p>
    <w:p>
      <w:r>
        <w:t>Test a full successful customer/admin journey, a refused/failed request, concurrent last-capacity use, duplicate/out-of-order callbacks, price/terms change, cancellation/refund/correction, authorization attack, export/deletion and restore. Confirm communications stop or change when business state changes. Record the required evidence in the master release register rather than creating a specialist appendix that has no tests or operator.</w:t>
      </w:r>
    </w:p>
    <w:p>
      <w:pPr>
        <w:pStyle w:val="Heading1"/>
        <w:keepNext/>
      </w:pPr>
      <w:r>
        <w:t>76 | Integrated build contracts and the complete owner console</w:t>
      </w:r>
      <w:bookmarkStart w:id="520" w:name="final_ch_76"/>
      <w:bookmarkEnd w:id="520"/>
      <w:bookmarkStart w:id="626" w:name="tocfinal_ch_76"/>
      <w:bookmarkEnd w:id="626"/>
    </w:p>
    <w:p>
      <w:pPr>
        <w:pStyle w:val="Heading2"/>
        <w:keepNext/>
      </w:pPr>
      <w:r>
        <w:t>76.1 One consistent architecture</w:t>
      </w:r>
    </w:p>
    <w:p>
      <w:r>
        <w:t>Retain the React/Next.js public frontend, React owner console, TypeScript contracts, NestJS modular backend, PostgreSQL, object storage and durable workers/outbox. Native and Docker operation remain equivalent supported profiles. Redis, Python, GraphQL, SOAP, Kubernetes, specialized analytics engines and agent protocols remain bounded choices. No module may require a second conflicting customer, content, consent or pricing source of truth.</w:t>
      </w:r>
    </w:p>
    <w:p>
      <w:r>
        <w:t>Use a manifest for each module: capabilities, public/admin routes, event schema, entities, permissions, migration, providers, jobs, cost limits, observability, tests and disable/exit behavior. Module activation cannot bypass legal/provider restrictions. Content preservation, authoritative lead durability and protected audit cannot be disabled through ordinary marketing settings.</w:t>
      </w:r>
    </w:p>
    <w:p>
      <w:pPr>
        <w:pStyle w:val="Heading2"/>
        <w:keepNext/>
      </w:pPr>
      <w:r>
        <w:t>76.2 Owner-console information architecture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Area</w:t>
            </w:r>
          </w:p>
        </w:tc>
        <w:tc>
          <w:tcPr>
            <w:tcW w:type="dxa" w:w="6879"/>
            <w:shd w:fill="163349"/>
          </w:tcPr>
          <w:p>
            <w:pPr>
              <w:pStyle w:val="TableText"/>
              <w:keepNext/>
            </w:pPr>
            <w:r>
              <w:rPr>
                <w:rFonts w:ascii="Lato" w:hAnsi="Lato"/>
                <w:b/>
                <w:color w:val="FFFFFF"/>
                <w:sz w:val="18"/>
              </w:rPr>
              <w:t>Complete operator responsibilities</w:t>
            </w:r>
          </w:p>
        </w:tc>
      </w:tr>
      <w:tr>
        <w:trPr>
          <w:cantSplit/>
        </w:trPr>
        <w:tc>
          <w:tcPr>
            <w:tcW w:type="dxa" w:w="2952"/>
            <w:shd w:fill="F2F7FA"/>
          </w:tcPr>
          <w:p>
            <w:pPr>
              <w:pStyle w:val="TableText"/>
              <w:keepNext w:val="0"/>
            </w:pPr>
            <w:r>
              <w:rPr>
                <w:rFonts w:ascii="Lato" w:hAnsi="Lato"/>
                <w:b/>
                <w:color w:val="163349"/>
                <w:sz w:val="18"/>
              </w:rPr>
              <w:t>Overview and tasks</w:t>
            </w:r>
          </w:p>
        </w:tc>
        <w:tc>
          <w:tcPr>
            <w:tcW w:type="dxa" w:w="6879"/>
            <w:shd w:fill="F2F7FA"/>
          </w:tcPr>
          <w:p>
            <w:pPr>
              <w:pStyle w:val="TableText"/>
              <w:keepNext w:val="0"/>
            </w:pPr>
            <w:r>
              <w:rPr>
                <w:rFonts w:ascii="Lato" w:hAnsi="Lato"/>
                <w:sz w:val="18"/>
              </w:rPr>
              <w:t>Business outcomes, approvals, overdue leads, publication/integration health and actionable alerts.</w:t>
            </w:r>
          </w:p>
        </w:tc>
      </w:tr>
      <w:tr>
        <w:trPr>
          <w:cantSplit/>
        </w:trPr>
        <w:tc>
          <w:tcPr>
            <w:tcW w:type="dxa" w:w="2952"/>
            <w:shd w:fill="FFFFFF"/>
          </w:tcPr>
          <w:p>
            <w:pPr>
              <w:pStyle w:val="TableText"/>
              <w:keepNext w:val="0"/>
            </w:pPr>
            <w:r>
              <w:rPr>
                <w:rFonts w:ascii="Lato" w:hAnsi="Lato"/>
                <w:b/>
                <w:color w:val="163349"/>
                <w:sz w:val="18"/>
              </w:rPr>
              <w:t>Content and design</w:t>
            </w:r>
          </w:p>
        </w:tc>
        <w:tc>
          <w:tcPr>
            <w:tcW w:type="dxa" w:w="6879"/>
            <w:shd w:fill="FFFFFF"/>
          </w:tcPr>
          <w:p>
            <w:pPr>
              <w:pStyle w:val="TableText"/>
              <w:keepNext w:val="0"/>
            </w:pPr>
            <w:r>
              <w:rPr>
                <w:rFonts w:ascii="Lato" w:hAnsi="Lato"/>
                <w:sz w:val="18"/>
              </w:rPr>
              <w:t>Pages, navigation, approved themes/blocks, collections, blogs, authors, media, imports, drafts and coordinated releases.</w:t>
            </w:r>
          </w:p>
        </w:tc>
      </w:tr>
      <w:tr>
        <w:trPr>
          <w:cantSplit/>
        </w:trPr>
        <w:tc>
          <w:tcPr>
            <w:tcW w:type="dxa" w:w="2952"/>
            <w:shd w:fill="F2F7FA"/>
          </w:tcPr>
          <w:p>
            <w:pPr>
              <w:pStyle w:val="TableText"/>
              <w:keepNext w:val="0"/>
            </w:pPr>
            <w:r>
              <w:rPr>
                <w:rFonts w:ascii="Lato" w:hAnsi="Lato"/>
                <w:b/>
                <w:color w:val="163349"/>
                <w:sz w:val="18"/>
              </w:rPr>
              <w:t>Offers and campaigns</w:t>
            </w:r>
          </w:p>
        </w:tc>
        <w:tc>
          <w:tcPr>
            <w:tcW w:type="dxa" w:w="6879"/>
            <w:shd w:fill="F2F7FA"/>
          </w:tcPr>
          <w:p>
            <w:pPr>
              <w:pStyle w:val="TableText"/>
              <w:keepNext w:val="0"/>
            </w:pPr>
            <w:r>
              <w:rPr>
                <w:rFonts w:ascii="Lato" w:hAnsi="Lato"/>
                <w:sz w:val="18"/>
              </w:rPr>
              <w:t>Offer revisions, evidence/creative library, calendar, landing pages, UTM builder and campaign approvals.</w:t>
            </w:r>
          </w:p>
        </w:tc>
      </w:tr>
      <w:tr>
        <w:trPr>
          <w:cantSplit/>
        </w:trPr>
        <w:tc>
          <w:tcPr>
            <w:tcW w:type="dxa" w:w="2952"/>
            <w:shd w:fill="FFFFFF"/>
          </w:tcPr>
          <w:p>
            <w:pPr>
              <w:pStyle w:val="TableText"/>
              <w:keepNext w:val="0"/>
            </w:pPr>
            <w:r>
              <w:rPr>
                <w:rFonts w:ascii="Lato" w:hAnsi="Lato"/>
                <w:b/>
                <w:color w:val="163349"/>
                <w:sz w:val="18"/>
              </w:rPr>
              <w:t>Search and discovery</w:t>
            </w:r>
          </w:p>
        </w:tc>
        <w:tc>
          <w:tcPr>
            <w:tcW w:type="dxa" w:w="6879"/>
            <w:shd w:fill="FFFFFF"/>
          </w:tcPr>
          <w:p>
            <w:pPr>
              <w:pStyle w:val="TableText"/>
              <w:keepNext w:val="0"/>
            </w:pPr>
            <w:r>
              <w:rPr>
                <w:rFonts w:ascii="Lato" w:hAnsi="Lato"/>
                <w:sz w:val="18"/>
              </w:rPr>
              <w:t>Route/index policy, metadata/schema, redirect manager, surface eligibility, crawl/reporting diagnostics and content backlog.</w:t>
            </w:r>
          </w:p>
        </w:tc>
      </w:tr>
      <w:tr>
        <w:trPr>
          <w:cantSplit/>
        </w:trPr>
        <w:tc>
          <w:tcPr>
            <w:tcW w:type="dxa" w:w="2952"/>
            <w:shd w:fill="F2F7FA"/>
          </w:tcPr>
          <w:p>
            <w:pPr>
              <w:pStyle w:val="TableText"/>
              <w:keepNext w:val="0"/>
            </w:pPr>
            <w:r>
              <w:rPr>
                <w:rFonts w:ascii="Lato" w:hAnsi="Lato"/>
                <w:b/>
                <w:color w:val="163349"/>
                <w:sz w:val="18"/>
              </w:rPr>
              <w:t>Measurement and experiments</w:t>
            </w:r>
          </w:p>
        </w:tc>
        <w:tc>
          <w:tcPr>
            <w:tcW w:type="dxa" w:w="6879"/>
            <w:shd w:fill="F2F7FA"/>
          </w:tcPr>
          <w:p>
            <w:pPr>
              <w:pStyle w:val="TableText"/>
              <w:keepNext w:val="0"/>
            </w:pPr>
            <w:r>
              <w:rPr>
                <w:rFonts w:ascii="Lato" w:hAnsi="Lato"/>
                <w:sz w:val="18"/>
              </w:rPr>
              <w:t>Event dictionary, consent coverage, A/B configuration, effective goals, reconciliation and safe payload diagnostics.</w:t>
            </w:r>
          </w:p>
        </w:tc>
      </w:tr>
      <w:tr>
        <w:trPr>
          <w:cantSplit/>
        </w:trPr>
        <w:tc>
          <w:tcPr>
            <w:tcW w:type="dxa" w:w="2952"/>
            <w:shd w:fill="FFFFFF"/>
          </w:tcPr>
          <w:p>
            <w:pPr>
              <w:pStyle w:val="TableText"/>
              <w:keepNext w:val="0"/>
            </w:pPr>
            <w:r>
              <w:rPr>
                <w:rFonts w:ascii="Lato" w:hAnsi="Lato"/>
                <w:b/>
                <w:color w:val="163349"/>
                <w:sz w:val="18"/>
              </w:rPr>
              <w:t>Leads and conversations</w:t>
            </w:r>
          </w:p>
        </w:tc>
        <w:tc>
          <w:tcPr>
            <w:tcW w:type="dxa" w:w="6879"/>
            <w:shd w:fill="FFFFFF"/>
          </w:tcPr>
          <w:p>
            <w:pPr>
              <w:pStyle w:val="TableText"/>
              <w:keepNext w:val="0"/>
            </w:pPr>
            <w:r>
              <w:rPr>
                <w:rFonts w:ascii="Lato" w:hAnsi="Lato"/>
                <w:sz w:val="18"/>
              </w:rPr>
              <w:t>Forms, submitted details, verified context, stages, assignments, inbox, handoff, tasks and protected exports.</w:t>
            </w:r>
          </w:p>
        </w:tc>
      </w:tr>
      <w:tr>
        <w:trPr>
          <w:cantSplit/>
        </w:trPr>
        <w:tc>
          <w:tcPr>
            <w:tcW w:type="dxa" w:w="2952"/>
            <w:shd w:fill="F2F7FA"/>
          </w:tcPr>
          <w:p>
            <w:pPr>
              <w:pStyle w:val="TableText"/>
              <w:keepNext w:val="0"/>
            </w:pPr>
            <w:r>
              <w:rPr>
                <w:rFonts w:ascii="Lato" w:hAnsi="Lato"/>
                <w:b/>
                <w:color w:val="163349"/>
                <w:sz w:val="18"/>
              </w:rPr>
              <w:t>Growth operations</w:t>
            </w:r>
          </w:p>
        </w:tc>
        <w:tc>
          <w:tcPr>
            <w:tcW w:type="dxa" w:w="6879"/>
            <w:shd w:fill="F2F7FA"/>
          </w:tcPr>
          <w:p>
            <w:pPr>
              <w:pStyle w:val="TableText"/>
              <w:keepNext w:val="0"/>
            </w:pPr>
            <w:r>
              <w:rPr>
                <w:rFonts w:ascii="Lato" w:hAnsi="Lato"/>
                <w:sz w:val="18"/>
              </w:rPr>
              <w:t>Workflow builder, simulations, scoring, segments, audience lifecycle, templates, sender domains and preference center.</w:t>
            </w:r>
          </w:p>
        </w:tc>
      </w:tr>
      <w:tr>
        <w:trPr>
          <w:cantSplit/>
        </w:trPr>
        <w:tc>
          <w:tcPr>
            <w:tcW w:type="dxa" w:w="2952"/>
            <w:shd w:fill="FFFFFF"/>
          </w:tcPr>
          <w:p>
            <w:pPr>
              <w:pStyle w:val="TableText"/>
              <w:keepNext w:val="0"/>
            </w:pPr>
            <w:r>
              <w:rPr>
                <w:rFonts w:ascii="Lato" w:hAnsi="Lato"/>
                <w:b/>
                <w:color w:val="163349"/>
                <w:sz w:val="18"/>
              </w:rPr>
              <w:t>Business modules</w:t>
            </w:r>
          </w:p>
        </w:tc>
        <w:tc>
          <w:tcPr>
            <w:tcW w:type="dxa" w:w="6879"/>
            <w:shd w:fill="FFFFFF"/>
          </w:tcPr>
          <w:p>
            <w:pPr>
              <w:pStyle w:val="TableText"/>
              <w:keepNext w:val="0"/>
            </w:pPr>
            <w:r>
              <w:rPr>
                <w:rFonts w:ascii="Lato" w:hAnsi="Lato"/>
                <w:sz w:val="18"/>
              </w:rPr>
              <w:t>Only activated commerce, booking, subscription, portal, industry and provider controls.</w:t>
            </w:r>
          </w:p>
        </w:tc>
      </w:tr>
      <w:tr>
        <w:trPr>
          <w:cantSplit/>
        </w:trPr>
        <w:tc>
          <w:tcPr>
            <w:tcW w:type="dxa" w:w="2952"/>
            <w:shd w:fill="F2F7FA"/>
          </w:tcPr>
          <w:p>
            <w:pPr>
              <w:pStyle w:val="TableText"/>
              <w:keepNext w:val="0"/>
            </w:pPr>
            <w:r>
              <w:rPr>
                <w:rFonts w:ascii="Lato" w:hAnsi="Lato"/>
                <w:b/>
                <w:color w:val="163349"/>
                <w:sz w:val="18"/>
              </w:rPr>
              <w:t>Governance and operations</w:t>
            </w:r>
          </w:p>
        </w:tc>
        <w:tc>
          <w:tcPr>
            <w:tcW w:type="dxa" w:w="6879"/>
            <w:shd w:fill="F2F7FA"/>
          </w:tcPr>
          <w:p>
            <w:pPr>
              <w:pStyle w:val="TableText"/>
              <w:keepNext w:val="0"/>
            </w:pPr>
            <w:r>
              <w:rPr>
                <w:rFonts w:ascii="Lato" w:hAnsi="Lato"/>
                <w:sz w:val="18"/>
              </w:rPr>
              <w:t>Staff/roles, account register, privacy requests, audit, retention, backups, budgets, integrations, evidence and support.</w:t>
            </w:r>
          </w:p>
        </w:tc>
      </w:tr>
    </w:tbl>
    <w:p>
      <w:pPr>
        <w:spacing w:after="40"/>
      </w:pPr>
      <w:r/>
    </w:p>
    <w:p>
      <w:r>
        <w:t>Every screen needs permission-filtered actions, useful empty states, pagination/search where relevant, accessible validation, safe exports, version conflicts and a clear pending-versus-completed status. Missing provider permission is an actionable blocked state, not a green connected badge.</w:t>
      </w:r>
    </w:p>
    <w:p>
      <w:pPr>
        <w:pStyle w:val="Heading2"/>
        <w:keepNext/>
      </w:pPr>
      <w:r>
        <w:t>76.3 Additional durable entities and API boundaries</w:t>
      </w:r>
    </w:p>
    <w:p>
      <w:r>
        <w:t>Add search_surface_settings, provider_contract_versions, effective_conversion_goals, destination_payload_policies, final_payload_checks, search_health_runs, media_provenance_rules, campaign_approvals and release_evidence_items. These extend existing tables and do not duplicate acquisition_touches, leads, consent_records or audit_entries. Every record has trusted site/account scope, owner, version, timestamps, access class and an approved retention rule.</w:t>
      </w:r>
    </w:p>
    <w:p>
      <w:r>
        <w:t>Representative new use cases: GET /v1/admin/search-surfaces; POST /v1/admin/search-checks; POST /v1/admin/conversion-goals/resolve; POST /v1/admin/provider-contracts/{id}/validate; POST /v1/admin/campaigns/{id}/preflight; GET /v1/admin/conversions/reconciliation; POST /v1/admin/releases/{id}/evidence. Public clients cannot call campaign writes, inspect raw identities or bypass server consent decisions. Responses document safe 403/409/422/429 and retryable failure behavior.</w:t>
      </w:r>
    </w:p>
    <w:p>
      <w:pPr>
        <w:pStyle w:val="Heading2"/>
        <w:keepNext/>
      </w:pPr>
      <w:r>
        <w:t>76.4 Repository responsibilities</w:t>
      </w:r>
    </w:p>
    <w:p>
      <w:pPr>
        <w:pStyle w:val="CodeBlock"/>
        <w:keepNext/>
        <w:spacing w:after="0"/>
      </w:pPr>
      <w:r>
        <w:t>apps/admin/src/features/search-surfaces/</w:t>
      </w:r>
    </w:p>
    <w:p>
      <w:pPr>
        <w:pStyle w:val="CodeBlock"/>
        <w:keepNext/>
        <w:spacing w:after="0"/>
      </w:pPr>
      <w:r>
        <w:t>apps/admin/src/features/conversion-goals/</w:t>
      </w:r>
    </w:p>
    <w:p>
      <w:pPr>
        <w:pStyle w:val="CodeBlock"/>
        <w:keepNext/>
        <w:spacing w:after="0"/>
      </w:pPr>
      <w:r>
        <w:t>apps/admin/src/features/campaign-preflight/</w:t>
      </w:r>
    </w:p>
    <w:p>
      <w:pPr>
        <w:pStyle w:val="CodeBlock"/>
        <w:keepNext/>
        <w:spacing w:after="0"/>
      </w:pPr>
      <w:r>
        <w:t>apps/admin/src/features/evidence-center/</w:t>
      </w:r>
    </w:p>
    <w:p>
      <w:pPr>
        <w:pStyle w:val="CodeBlock"/>
        <w:keepNext/>
        <w:spacing w:after="0"/>
      </w:pPr>
      <w:r>
        <w:t>apps/web/src/lib/lifecycle/{navigation,visibility,restoration}.ts</w:t>
      </w:r>
    </w:p>
    <w:p>
      <w:pPr>
        <w:pStyle w:val="CodeBlock"/>
        <w:keepNext/>
        <w:spacing w:after="0"/>
      </w:pPr>
      <w:r>
        <w:t>apps/api/src/modules/provider-contracts/</w:t>
      </w:r>
    </w:p>
    <w:p>
      <w:pPr>
        <w:pStyle w:val="CodeBlock"/>
        <w:keepNext/>
        <w:spacing w:after="0"/>
      </w:pPr>
      <w:r>
        <w:t>apps/api/src/modules/search-health/</w:t>
      </w:r>
    </w:p>
    <w:p>
      <w:pPr>
        <w:pStyle w:val="CodeBlock"/>
        <w:keepNext/>
        <w:spacing w:after="0"/>
      </w:pPr>
      <w:r>
        <w:t>apps/api/src/modules/conversion-goals/</w:t>
      </w:r>
    </w:p>
    <w:p>
      <w:pPr>
        <w:pStyle w:val="CodeBlock"/>
        <w:keepNext/>
        <w:spacing w:after="0"/>
      </w:pPr>
      <w:r>
        <w:t>apps/api/src/modules/media-provenance/</w:t>
      </w:r>
    </w:p>
    <w:p>
      <w:pPr>
        <w:pStyle w:val="CodeBlock"/>
        <w:keepNext/>
        <w:spacing w:after="0"/>
      </w:pPr>
      <w:r>
        <w:t>apps/worker/src/jobs/{payload-validation,search-reconciliation}/</w:t>
      </w:r>
    </w:p>
    <w:p>
      <w:pPr>
        <w:pStyle w:val="CodeBlock"/>
        <w:keepNext/>
        <w:spacing w:after="0"/>
      </w:pPr>
      <w:r>
        <w:t>packages/destination-policies/</w:t>
      </w:r>
    </w:p>
    <w:p>
      <w:pPr>
        <w:pStyle w:val="CodeBlock"/>
        <w:keepNext/>
        <w:spacing w:after="0"/>
      </w:pPr>
      <w:r>
        <w:t>packages/route-contracts/</w:t>
      </w:r>
    </w:p>
    <w:p>
      <w:pPr>
        <w:pStyle w:val="CodeBlock"/>
        <w:keepNext/>
        <w:spacing w:after="0"/>
      </w:pPr>
      <w:r>
        <w:t>packages/campaign-contracts/</w:t>
      </w:r>
    </w:p>
    <w:p>
      <w:pPr>
        <w:pStyle w:val="CodeBlock"/>
        <w:keepNext/>
        <w:spacing w:after="0"/>
      </w:pPr>
      <w:r>
        <w:t>tests/{browser-lifecycle,sdk-egress,goal-resolution,metadata-preservation}/</w:t>
      </w:r>
    </w:p>
    <w:p>
      <w:pPr>
        <w:pStyle w:val="CodeBlock"/>
        <w:keepNext w:val="0"/>
        <w:spacing w:after="0"/>
      </w:pPr>
      <w:r>
        <w:t>docs/{source-merge,provider-snapshots,launch-evidence}/</w:t>
      </w:r>
    </w:p>
    <w:p>
      <w:r/>
    </w:p>
    <w:p>
      <w:r>
        <w:t>These are responsibility boundaries, not a request to generate empty folders. Keep provider SDKs out of public bundles and final egress validation outside the AI model. Test contracts against implemented handlers, a real test database and configured providers.</w:t>
      </w:r>
    </w:p>
    <w:p>
      <w:pPr>
        <w:pStyle w:val="Heading2"/>
        <w:keepNext/>
      </w:pPr>
      <w:r>
        <w:t>76.5 Versioned change and deactivation</w:t>
      </w:r>
    </w:p>
    <w:p>
      <w:r>
        <w:t>A schema/API/event/SDK change requires compatibility fixtures, a migration plan, rollback or forward-fix decision and affected-owner training. Revalidate the final serialized payload after SDK upgrades. A changed tracking purpose invalidates old assumptions even when the code compiles. Old content revisions must remain renderable or migrate through a reviewed process.</w:t>
      </w:r>
    </w:p>
    <w:p>
      <w:r>
        <w:t>Disconnecting a provider stops eligible queued work, revokes credentials where possible, preserves source business records and creates any necessary removal/reconciliation tasks. Deactivation must address navigation, routes, permissions, jobs, tags, cost and old customer obligations. A retired integration cannot silently reactivate through an imported configuration.</w:t>
      </w:r>
    </w:p>
    <w:p>
      <w:pPr>
        <w:pStyle w:val="Heading2"/>
        <w:keepNext/>
      </w:pPr>
      <w:r>
        <w:t>76.6 Work-package completion</w:t>
      </w:r>
    </w:p>
    <w:p>
      <w:r>
        <w:t>A work package is complete only with working owner UI, authorized API, schema/migrations, business rules, positive and negative tests, observable failure states, real provider evidence where used, recovery/exit instructions and an accountable operator. Source code and provider configuration must be reproducible from business-owned accounts. The final handover includes a second-team deployment and a second-operator task demonstration.</w:t>
      </w:r>
    </w:p>
    <w:p>
      <w:pPr>
        <w:pStyle w:val="Heading1"/>
        <w:keepNext/>
      </w:pPr>
      <w:r>
        <w:t>77 | Paid-traffic launch gates and the first 90 days</w:t>
      </w:r>
      <w:bookmarkStart w:id="521" w:name="final_ch_77"/>
      <w:bookmarkEnd w:id="521"/>
      <w:bookmarkStart w:id="627" w:name="tocfinal_ch_77"/>
      <w:bookmarkEnd w:id="627"/>
    </w:p>
    <w:p>
      <w:pPr>
        <w:pStyle w:val="Heading2"/>
        <w:keepNext/>
      </w:pPr>
      <w:r>
        <w:t>77.1 Gate sequence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Gate</w:t>
            </w:r>
          </w:p>
        </w:tc>
        <w:tc>
          <w:tcPr>
            <w:tcW w:type="dxa" w:w="6879"/>
            <w:shd w:fill="163349"/>
          </w:tcPr>
          <w:p>
            <w:pPr>
              <w:pStyle w:val="TableText"/>
              <w:keepNext/>
            </w:pPr>
            <w:r>
              <w:rPr>
                <w:rFonts w:ascii="Lato" w:hAnsi="Lato"/>
                <w:b/>
                <w:color w:val="FFFFFF"/>
                <w:sz w:val="18"/>
              </w:rPr>
              <w:t>Required proof before proceeding</w:t>
            </w:r>
          </w:p>
        </w:tc>
      </w:tr>
      <w:tr>
        <w:trPr>
          <w:cantSplit/>
        </w:trPr>
        <w:tc>
          <w:tcPr>
            <w:tcW w:type="dxa" w:w="2952"/>
            <w:shd w:fill="F2F7FA"/>
          </w:tcPr>
          <w:p>
            <w:pPr>
              <w:pStyle w:val="TableText"/>
              <w:keepNext w:val="0"/>
            </w:pPr>
            <w:r>
              <w:rPr>
                <w:rFonts w:ascii="Lato" w:hAnsi="Lato"/>
                <w:b/>
                <w:color w:val="163349"/>
                <w:sz w:val="18"/>
              </w:rPr>
              <w:t>Scope and authority</w:t>
            </w:r>
          </w:p>
        </w:tc>
        <w:tc>
          <w:tcPr>
            <w:tcW w:type="dxa" w:w="6879"/>
            <w:shd w:fill="F2F7FA"/>
          </w:tcPr>
          <w:p>
            <w:pPr>
              <w:pStyle w:val="TableText"/>
              <w:keepNext w:val="0"/>
            </w:pPr>
            <w:r>
              <w:rPr>
                <w:rFonts w:ascii="Lato" w:hAnsi="Lato"/>
                <w:sz w:val="18"/>
              </w:rPr>
              <w:t>Approved site brief, activated modules, genuine offers, account ownership, budget and policy decisions.</w:t>
            </w:r>
          </w:p>
        </w:tc>
      </w:tr>
      <w:tr>
        <w:trPr>
          <w:cantSplit/>
        </w:trPr>
        <w:tc>
          <w:tcPr>
            <w:tcW w:type="dxa" w:w="2952"/>
            <w:shd w:fill="FFFFFF"/>
          </w:tcPr>
          <w:p>
            <w:pPr>
              <w:pStyle w:val="TableText"/>
              <w:keepNext w:val="0"/>
            </w:pPr>
            <w:r>
              <w:rPr>
                <w:rFonts w:ascii="Lato" w:hAnsi="Lato"/>
                <w:b/>
                <w:color w:val="163349"/>
                <w:sz w:val="18"/>
              </w:rPr>
              <w:t>Public destination</w:t>
            </w:r>
          </w:p>
        </w:tc>
        <w:tc>
          <w:tcPr>
            <w:tcW w:type="dxa" w:w="6879"/>
            <w:shd w:fill="FFFFFF"/>
          </w:tcPr>
          <w:p>
            <w:pPr>
              <w:pStyle w:val="TableText"/>
              <w:keepNext w:val="0"/>
            </w:pPr>
            <w:r>
              <w:rPr>
                <w:rFonts w:ascii="Lato" w:hAnsi="Lato"/>
                <w:sz w:val="18"/>
              </w:rPr>
              <w:t>Real HTTPS routes, mobile/in-app/keyboard usability, correct prices/terms, working contact and no accidental crawl blocks.</w:t>
            </w:r>
          </w:p>
        </w:tc>
      </w:tr>
      <w:tr>
        <w:trPr>
          <w:cantSplit/>
        </w:trPr>
        <w:tc>
          <w:tcPr>
            <w:tcW w:type="dxa" w:w="2952"/>
            <w:shd w:fill="F2F7FA"/>
          </w:tcPr>
          <w:p>
            <w:pPr>
              <w:pStyle w:val="TableText"/>
              <w:keepNext w:val="0"/>
            </w:pPr>
            <w:r>
              <w:rPr>
                <w:rFonts w:ascii="Lato" w:hAnsi="Lato"/>
                <w:b/>
                <w:color w:val="163349"/>
                <w:sz w:val="18"/>
              </w:rPr>
              <w:t>Business capture</w:t>
            </w:r>
          </w:p>
        </w:tc>
        <w:tc>
          <w:tcPr>
            <w:tcW w:type="dxa" w:w="6879"/>
            <w:shd w:fill="F2F7FA"/>
          </w:tcPr>
          <w:p>
            <w:pPr>
              <w:pStyle w:val="TableText"/>
              <w:keepNext w:val="0"/>
            </w:pPr>
            <w:r>
              <w:rPr>
                <w:rFonts w:ascii="Lato" w:hAnsi="Lato"/>
                <w:sz w:val="18"/>
              </w:rPr>
              <w:t>Form/chat/native lead safely accepted, assigned and acknowledged; duplicate/error path tested.</w:t>
            </w:r>
          </w:p>
        </w:tc>
      </w:tr>
      <w:tr>
        <w:trPr>
          <w:cantSplit/>
        </w:trPr>
        <w:tc>
          <w:tcPr>
            <w:tcW w:type="dxa" w:w="2952"/>
            <w:shd w:fill="FFFFFF"/>
          </w:tcPr>
          <w:p>
            <w:pPr>
              <w:pStyle w:val="TableText"/>
              <w:keepNext w:val="0"/>
            </w:pPr>
            <w:r>
              <w:rPr>
                <w:rFonts w:ascii="Lato" w:hAnsi="Lato"/>
                <w:b/>
                <w:color w:val="163349"/>
                <w:sz w:val="18"/>
              </w:rPr>
              <w:t>Measurement</w:t>
            </w:r>
          </w:p>
        </w:tc>
        <w:tc>
          <w:tcPr>
            <w:tcW w:type="dxa" w:w="6879"/>
            <w:shd w:fill="FFFFFF"/>
          </w:tcPr>
          <w:p>
            <w:pPr>
              <w:pStyle w:val="TableText"/>
              <w:keepNext w:val="0"/>
            </w:pPr>
            <w:r>
              <w:rPr>
                <w:rFonts w:ascii="Lato" w:hAnsi="Lato"/>
                <w:sz w:val="18"/>
              </w:rPr>
              <w:t>Effective goals, consent and final payload policy, consistent event identities, diagnostics and clear data limitations.</w:t>
            </w:r>
          </w:p>
        </w:tc>
      </w:tr>
      <w:tr>
        <w:trPr>
          <w:cantSplit/>
        </w:trPr>
        <w:tc>
          <w:tcPr>
            <w:tcW w:type="dxa" w:w="2952"/>
            <w:shd w:fill="F2F7FA"/>
          </w:tcPr>
          <w:p>
            <w:pPr>
              <w:pStyle w:val="TableText"/>
              <w:keepNext w:val="0"/>
            </w:pPr>
            <w:r>
              <w:rPr>
                <w:rFonts w:ascii="Lato" w:hAnsi="Lato"/>
                <w:b/>
                <w:color w:val="163349"/>
                <w:sz w:val="18"/>
              </w:rPr>
              <w:t>Recovery and operations</w:t>
            </w:r>
          </w:p>
        </w:tc>
        <w:tc>
          <w:tcPr>
            <w:tcW w:type="dxa" w:w="6879"/>
            <w:shd w:fill="F2F7FA"/>
          </w:tcPr>
          <w:p>
            <w:pPr>
              <w:pStyle w:val="TableText"/>
              <w:keepNext w:val="0"/>
            </w:pPr>
            <w:r>
              <w:rPr>
                <w:rFonts w:ascii="Lato" w:hAnsi="Lato"/>
                <w:sz w:val="18"/>
              </w:rPr>
              <w:t>Alerts reach a named person; rollback, provider stop and source/blog restore exercised.</w:t>
            </w:r>
          </w:p>
        </w:tc>
      </w:tr>
      <w:tr>
        <w:trPr>
          <w:cantSplit/>
        </w:trPr>
        <w:tc>
          <w:tcPr>
            <w:tcW w:type="dxa" w:w="2952"/>
            <w:shd w:fill="FFFFFF"/>
          </w:tcPr>
          <w:p>
            <w:pPr>
              <w:pStyle w:val="TableText"/>
              <w:keepNext w:val="0"/>
            </w:pPr>
            <w:r>
              <w:rPr>
                <w:rFonts w:ascii="Lato" w:hAnsi="Lato"/>
                <w:b/>
                <w:color w:val="163349"/>
                <w:sz w:val="18"/>
              </w:rPr>
              <w:t>Controlled campaign activation</w:t>
            </w:r>
          </w:p>
        </w:tc>
        <w:tc>
          <w:tcPr>
            <w:tcW w:type="dxa" w:w="6879"/>
            <w:shd w:fill="FFFFFF"/>
          </w:tcPr>
          <w:p>
            <w:pPr>
              <w:pStyle w:val="TableText"/>
              <w:keepNext w:val="0"/>
            </w:pPr>
            <w:r>
              <w:rPr>
                <w:rFonts w:ascii="Lato" w:hAnsi="Lato"/>
                <w:sz w:val="18"/>
              </w:rPr>
              <w:t>Exact approved remote configuration, bounded initial spend and staffed response workflow.</w:t>
            </w:r>
          </w:p>
        </w:tc>
      </w:tr>
      <w:tr>
        <w:trPr>
          <w:cantSplit/>
        </w:trPr>
        <w:tc>
          <w:tcPr>
            <w:tcW w:type="dxa" w:w="2952"/>
            <w:shd w:fill="F2F7FA"/>
          </w:tcPr>
          <w:p>
            <w:pPr>
              <w:pStyle w:val="TableText"/>
              <w:keepNext w:val="0"/>
            </w:pPr>
            <w:r>
              <w:rPr>
                <w:rFonts w:ascii="Lato" w:hAnsi="Lato"/>
                <w:b/>
                <w:color w:val="163349"/>
                <w:sz w:val="18"/>
              </w:rPr>
              <w:t>Scaling</w:t>
            </w:r>
          </w:p>
        </w:tc>
        <w:tc>
          <w:tcPr>
            <w:tcW w:type="dxa" w:w="6879"/>
            <w:shd w:fill="F2F7FA"/>
          </w:tcPr>
          <w:p>
            <w:pPr>
              <w:pStyle w:val="TableText"/>
              <w:keepNext w:val="0"/>
            </w:pPr>
            <w:r>
              <w:rPr>
                <w:rFonts w:ascii="Lato" w:hAnsi="Lato"/>
                <w:sz w:val="18"/>
              </w:rPr>
              <w:t>Mature outcome quality, acceptable economics, stable conversion feedback and sufficient service capacity.</w:t>
            </w:r>
          </w:p>
        </w:tc>
      </w:tr>
    </w:tbl>
    <w:p>
      <w:pPr>
        <w:spacing w:after="40"/>
      </w:pPr>
      <w:r/>
    </w:p>
    <w:p>
      <w:r>
        <w:t>A red critical gate blocks the affected launch or spending path. A documented noncritical exception needs owner, expiry, mitigation and evidence; it cannot authorize prohibited data processing. Synthetic tests and account configuration review are necessary, but neither guarantees a future ad placement or absence of all defects.</w:t>
      </w:r>
    </w:p>
    <w:p>
      <w:pPr>
        <w:pStyle w:val="Heading2"/>
        <w:keepNext/>
      </w:pPr>
      <w:r>
        <w:t>77.2 Before the first paid visitor</w:t>
      </w:r>
    </w:p>
    <w:p>
      <w:r>
        <w:t>Walk the exact ad or native lead path using approved preview/test tools. Check final destination after redirects, in-app browser, consent choices, experiment assignment, location refusal, download access and accepted submission. Confirm the salesperson received the stored lead, not merely an email generated by the browser. Verify the correct account/stream/dataset/campaign mapping and that test markers do not leak into production bidding.</w:t>
      </w:r>
    </w:p>
    <w:p>
      <w:r>
        <w:t>Record baseline traffic, qualified lead definition, reporting timezone/currency, expected data delay, escalation contacts and temporary exclusions. Confirm support capacity and business hours. Publish real policies and truthful business identity; do not launch with placeholder fees, unverified certifications or fabricated testimonials.</w:t>
      </w:r>
    </w:p>
    <w:p>
      <w:pPr>
        <w:pStyle w:val="Heading2"/>
        <w:keepNext/>
      </w:pPr>
      <w:r>
        <w:t>77.3 Days 1–7: stability and data quality</w:t>
      </w:r>
    </w:p>
    <w:p>
      <w:r>
        <w:t>Treat this as an illustrative operating schedule, adapted to the business and risk. Review destination errors, spend/billing, policy restrictions, source coverage, lead acceptance, unassigned enquiries, delivery failures, duplicate conversions and unexpected tags. Investigate discrepancies by pipeline stage, not by forcing dashboards to match. Respond to customer questions and verify that advertising promises match delivered service.</w:t>
      </w:r>
    </w:p>
    <w:p>
      <w:r>
        <w:t>Do not make repeated unplanned changes that destroy the baseline. Urgent privacy/security, false-price or broken-journey issues are repaired immediately. Cosmetic preferences and exploratory growth ideas enter the backlog unless they block the core task. Keep a dated change log that marketing and engineering both use.</w:t>
      </w:r>
    </w:p>
    <w:p>
      <w:pPr>
        <w:pStyle w:val="Heading2"/>
        <w:keepNext/>
      </w:pPr>
      <w:r>
        <w:t>77.4 Days 8–30: qualified demand and usability</w:t>
      </w:r>
    </w:p>
    <w:p>
      <w:r>
        <w:t>Review search intent, audience/creative response, mobile friction, spam, qualification reasons and response time using mature cohorts. Test a prioritized offer, creative or page hypothesis only when traffic and measurement permit it. Improve useful content, internal links, local profile consistency and resource quality. Recheck newly edited templates for performance/accessibility/consent regressions.</w:t>
      </w:r>
    </w:p>
    <w:p>
      <w:r>
        <w:t>Inspect email authentication and unsubscribe, audience removals, workflow frequency, reporting freshness and SDK/configuration drift. Renew or retire time-bound assets/claims. Never automatically delete blogs because their first month's traffic is low.</w:t>
      </w:r>
    </w:p>
    <w:p>
      <w:pPr>
        <w:pStyle w:val="Heading2"/>
        <w:keepNext/>
      </w:pPr>
      <w:r>
        <w:t>77.5 Days 31–90: economics and operating maturity</w:t>
      </w:r>
    </w:p>
    <w:p>
      <w:r>
        <w:t>Evaluate realized acquisition cost, contribution, retention, refunds, support burden and capacity. Separate observed attribution from incremental impact. Decide whether to scale, narrow, pause or redesign a campaign through approved evidence. Extend SEO coverage around genuine customer needs rather than mass-producing near-identical pages.</w:t>
      </w:r>
    </w:p>
    <w:p>
      <w:r>
        <w:t>Perform a restore and account-recovery exercise, review permissions, rotate temporary access, test provider disconnect/reconnect, and verify no accumulated unhandled queues. Refine budgets and service objectives from measured load. A successful first launch does not end patching, content review, source-policy checks or operator training.</w:t>
      </w:r>
    </w:p>
    <w:p>
      <w:pPr>
        <w:pStyle w:val="Heading2"/>
        <w:keepNext/>
      </w:pPr>
      <w:r>
        <w:t>77.6 Incident and stop conditions</w:t>
      </w:r>
    </w:p>
    <w:p>
      <w:r>
        <w:t>Stop the affected processing/spend when there is known prohibited data transmission, compromised credentials, persistent lost leads, misleading primary conversion goals, false offers or broken critical destinations. Record request to pause separately from confirmed remote pause, because provider state may be delayed. Keep public help/contact available where safe. Restoration requires a verified repair, regression evidence and explicit authorization, not only a restarted service.</w:t>
      </w:r>
    </w:p>
    <w:p>
      <w:pPr>
        <w:pStyle w:val="Heading1"/>
        <w:keepNext/>
      </w:pPr>
      <w:r>
        <w:t>78 | Final consolidated standard and no-silent-omission acceptance</w:t>
      </w:r>
      <w:bookmarkStart w:id="522" w:name="final_ch_78"/>
      <w:bookmarkEnd w:id="522"/>
      <w:bookmarkStart w:id="628" w:name="tocfinal_ch_78"/>
      <w:bookmarkEnd w:id="628"/>
    </w:p>
    <w:p>
      <w:pPr>
        <w:pStyle w:val="Heading2"/>
        <w:keepNext/>
      </w:pPr>
      <w:r>
        <w:t>78.1 What “final” means for this edition</w:t>
      </w:r>
    </w:p>
    <w:p>
      <w:r>
        <w:t>This is the final consolidated baseline for the requirements discussed and supplied in versions 1.0, 1.1 and 1.2. It retains their substantive requirements and adds current provider checks, concrete edge cases, implementation contracts and acceptance evidence. Appendix M records the source comparison and deliberate clarifications. This is not a concatenation that makes developers search three competing versions.</w:t>
      </w:r>
    </w:p>
    <w:p>
      <w:r>
        <w:t>Use Chapters 01–65 for the inherited architecture and comprehensive capabilities, Chapters 66–77 for the final operational expansion, and this chapter for release precedence. The word final identifies an approved reference edition, not a promise that all future browser APIs, industries, laws or platform features have already been invented or implemented.</w:t>
      </w:r>
    </w:p>
    <w:p>
      <w:pPr>
        <w:pStyle w:val="Heading2"/>
        <w:keepNext/>
      </w:pPr>
      <w:r>
        <w:t>78.2 Authoritative precedence and status</w:t>
      </w:r>
    </w:p>
    <w:p>
      <w:r>
        <w:t>An applicable legal/provider prohibition takes priority over a business preference to collect data. A reviewed v1.3 clarification takes precedence over an earlier ambiguous label; unaffected source requirements remain in force. The comprehensive reusable platform delivers the foundation and declared growth capabilities. Each individual website explicitly activates supported functions and selected industry modules, with recorded reasons for exclusions.</w:t>
      </w:r>
    </w:p>
    <w:p>
      <w:r>
        <w:t>Track five independent dimensions: specification status; applicability; implementation status; activation status; verification status. Not applicable is not equivalent to not implemented. Implemented but disabled is not equivalent to tested in production. Every requirement maps to an owner, public/admin workflow, API/data responsibility, permission policy, test and operating guide. No blank row is a pass.</w:t>
      </w:r>
    </w:p>
    <w:p>
      <w:pPr>
        <w:pStyle w:val="Heading2"/>
        <w:keepNext/>
      </w:pPr>
      <w:r>
        <w:t>78.3 The completeness review procedure</w:t>
      </w:r>
    </w:p>
    <w:p>
      <w:r>
        <w:t>Run a structured review across acquisition, discovery, public UX, owner editing, lead/service capture, transaction lifecycle, customer support, privacy, security, data integrity, integrations, deployment, recovery, accessibility and business ownership. For every selected capability, ask how it behaves on success, refusal, invalid input, retry, concurrent use, provider failure, correction/cancellation, deletion and restoration.</w:t>
      </w:r>
    </w:p>
    <w:p>
      <w:r>
        <w:t>Then test cross-capability intersections: an experiment changes a form while attribution persists; consent changes while a workflow is queued; a blog is removed while a chatbot index is stale; a price changes while a quote is open; a session is revoked while a page is restored; an SDK updates after a safe payload map was approved. These intersections, rather than more decorative features, are common places for silent omissions.</w:t>
      </w:r>
    </w:p>
    <w:p>
      <w:r>
        <w:t>Use the 120-entry capability register, the inherited acceptance packs and Appendix N's final scenarios. Project-specific functionality discovered during review gets a new requirement ID and the same completion contract. An exceptional website type cannot be waved through by checking an unrelated generic row.</w:t>
      </w:r>
    </w:p>
    <w:p>
      <w:pPr>
        <w:pStyle w:val="Heading2"/>
        <w:keepNext/>
      </w:pPr>
      <w:r>
        <w:t>78.4 Preserved non-negotiable invariants</w:t>
      </w:r>
    </w:p>
    <w:p>
      <w:r>
        <w:t>Source blogs, drafts, revisions, editorial history and trashed content do not expire automatically. Manual trash/restore/purge records the authenticated initiator, approver where needed, executor, object/version, time, reason and outcome. A worker may execute an exact human-approved purge, not decide what old content to delete. Personal visitor data still follows its approved retention and rights policy.</w:t>
      </w:r>
    </w:p>
    <w:p>
      <w:r>
        <w:t>IP-based geography is approximate; contact identity comes from explicit capture or authenticated evidence. Browser coordinates require a visible task and permission. Website/chat/CRM use shared purpose-limited context. No unrestricted transcript, private form fields, password, payment secret or precise location enters generic analytics, advertising custom data or model context. An explicitly approved destination-specific network-identifier projection is the narrow exception described in Chapter 69, not general sharing.</w:t>
      </w:r>
    </w:p>
    <w:p>
      <w:r>
        <w:t>An accepted lead is durably committed; a notification or ad API failure does not erase it. A browser event cannot assert a verified sale. Statistical winners, provider acceptance, account permissions and production-readiness claims must match evidence. No feature flags can silently bypass these invariants.</w:t>
      </w:r>
    </w:p>
    <w:p>
      <w:pPr>
        <w:pStyle w:val="Heading2"/>
        <w:keepNext/>
      </w:pPr>
      <w:r>
        <w:t>78.5 Final delivery and owner sign-off</w:t>
      </w:r>
    </w:p>
    <w:p>
      <w:r>
        <w:t>Deliver source repository, lockfiles, migrations, environment/deployment instructions, API/contracts, content/media exports, route/campaign/event/metric registers, permissions, provider maps, costs, tests, diagnostics, recovery, support and owner training. Verify the final public domain and real configured providers with synthetic data. The second-team installation and second-operator walkthrough must not depend on the original developer's personal machine or private account.</w:t>
      </w:r>
    </w:p>
    <w:p>
      <w:r>
        <w:t>Sign-off records what passed, failed, is blocked, remains unimplemented or is not applicable; critical launch blockers must be resolved before activation. The website implementation is accepted only against this evidence. Finishing a Word document does not itself run the website's tests, approve a legal position or win an advertising auction.</w:t>
      </w:r>
    </w:p>
    <w:p>
      <w:pPr>
        <w:pStyle w:val="Heading2"/>
        <w:keepNext/>
      </w:pPr>
      <w:r>
        <w:t>78.6 The practical success contract</w:t>
      </w:r>
    </w:p>
    <w:p>
      <w:r>
        <w:t>The target is an owner-operated, accessible, secure, maintainable website with relevant content, effective marketing workflows, trustworthy conversions, controlled advertising operations and measurable customer value. Technical eligibility, landing-page quality, bidding, creative, competition, business economics and service quality must work together. Neither a framework choice nor this document can guarantee first position or profitable delivery in every auction.</w:t>
      </w:r>
    </w:p>
    <w:p>
      <w:r>
        <w:t>Freeze the edition used by a project, record its approved deviations and maintain a short change register. Update for real new requirements and verified platform changes rather than repeatedly replacing the entire plan. This prevents missed obligations while keeping the standard usable as the single reference for building, launching and operating the website.</w:t>
      </w:r>
    </w:p>
    <w:p>
      <w:pPr>
        <w:pStyle w:val="Heading1"/>
        <w:pageBreakBefore/>
        <w:spacing w:before="400"/>
        <w:pBdr>
          <w:bottom w:val="single" w:sz="8" w:color="087F83" w:space="8"/>
        </w:pBdr>
      </w:pPr>
      <w:bookmarkStart w:id="36" w:name="chapter_34"/>
      <w:bookmarkStart w:id="325" w:name="v12_appA"/>
      <w:r>
        <w:t>Appendix A | Site brief and activation worksheet</w:t>
      </w:r>
      <w:bookmarkEnd w:id="36"/>
      <w:bookmarkEnd w:id="325"/>
      <w:bookmarkStart w:id="629" w:name="tocfinal_app_A"/>
      <w:bookmarkEnd w:id="629"/>
    </w:p>
    <w:p>
      <w:pPr>
        <w:pStyle w:val="Heading2"/>
        <w:spacing w:before="200" w:after="100"/>
      </w:pPr>
      <w:r>
        <w:t>A.1 Complete before implementation</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40" w:line="245" w:lineRule="auto"/>
            </w:pPr>
            <w:r>
              <w:rPr>
                <w:b/>
                <w:color w:val="FFFFFF"/>
              </w:rPr>
              <w:t>Field</w:t>
            </w:r>
          </w:p>
        </w:tc>
        <w:tc>
          <w:tcPr>
            <w:tcW w:type="dxa" w:w="7029"/>
            <w:vAlign w:val="top"/>
            <w:tcMar>
              <w:top w:w="85" w:type="dxa"/>
              <w:bottom w:w="85" w:type="dxa"/>
              <w:left w:w="95" w:type="dxa"/>
              <w:right w:w="95" w:type="dxa"/>
            </w:tcMar>
            <w:shd w:fill="163349"/>
          </w:tcPr>
          <w:p>
            <w:pPr>
              <w:pStyle w:val="TableText"/>
              <w:keepNext/>
              <w:spacing w:after="40" w:line="245" w:lineRule="auto"/>
            </w:pPr>
            <w:r>
              <w:rPr>
                <w:b/>
                <w:color w:val="FFFFFF"/>
              </w:rPr>
              <w:t>Project-specific answer</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Website / legal entity / accountable owner</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Main audience, countries, languages, and age considerations</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Primary business outcome and qualification definition</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Core offers and truthful evidence available</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Domain, current site, and migration requirements</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Content owner, reviewer, and publication permissions</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Required templates and optional business modules</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Existing CMS, CRM, ad/analytics accounts, and data sources</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Data categories, purposes, jurisdictions, and legal reviewer</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Retention schedule, data-rights owner, and processor list</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Expected traffic, peak load, leads/orders, and media volume</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Availability, RPO/RTO, and incident-support commitment</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Deployment profile, region, budget, and dependency restrictions</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3F7F9"/>
          </w:tcPr>
          <w:p>
            <w:pPr>
              <w:pStyle w:val="TableText"/>
              <w:keepNext w:val="0"/>
              <w:spacing w:after="40" w:line="245" w:lineRule="auto"/>
            </w:pPr>
            <w:r>
              <w:rPr>
                <w:b/>
                <w:color w:val="163349"/>
              </w:rPr>
              <w:t>Performance/accessibility targets and acceptance evidence</w:t>
            </w:r>
          </w:p>
        </w:tc>
        <w:tc>
          <w:tcPr>
            <w:tcW w:type="dxa" w:w="7029"/>
            <w:vAlign w:val="top"/>
            <w:tcMar>
              <w:top w:w="85" w:type="dxa"/>
              <w:bottom w:w="85" w:type="dxa"/>
              <w:left w:w="95" w:type="dxa"/>
              <w:right w:w="95" w:type="dxa"/>
            </w:tcMar>
            <w:shd w:fill="F3F7F9"/>
          </w:tcPr>
          <w:p>
            <w:pPr>
              <w:pStyle w:val="TableText"/>
              <w:keepNext w:val="0"/>
              <w:spacing w:after="40" w:line="245" w:lineRule="auto"/>
            </w:pPr>
            <w:r>
              <w:t>To be completed.</w:t>
            </w:r>
          </w:p>
        </w:tc>
      </w:tr>
      <w:tr>
        <w:trPr>
          <w:cantSplit/>
        </w:trPr>
        <w:tc>
          <w:tcPr>
            <w:tcW w:type="dxa" w:w="2802"/>
            <w:vAlign w:val="top"/>
            <w:tcMar>
              <w:top w:w="85" w:type="dxa"/>
              <w:bottom w:w="85" w:type="dxa"/>
              <w:left w:w="95" w:type="dxa"/>
              <w:right w:w="95" w:type="dxa"/>
            </w:tcMar>
            <w:shd w:fill="FFFFFF"/>
          </w:tcPr>
          <w:p>
            <w:pPr>
              <w:pStyle w:val="TableText"/>
              <w:keepNext w:val="0"/>
              <w:spacing w:after="40" w:line="245" w:lineRule="auto"/>
            </w:pPr>
            <w:r>
              <w:rPr>
                <w:b/>
                <w:color w:val="163349"/>
              </w:rPr>
              <w:t>Launch dependencies, decision deadlines, and approval owners</w:t>
            </w:r>
          </w:p>
        </w:tc>
        <w:tc>
          <w:tcPr>
            <w:tcW w:type="dxa" w:w="7029"/>
            <w:vAlign w:val="top"/>
            <w:tcMar>
              <w:top w:w="85" w:type="dxa"/>
              <w:bottom w:w="85" w:type="dxa"/>
              <w:left w:w="95" w:type="dxa"/>
              <w:right w:w="95" w:type="dxa"/>
            </w:tcMar>
            <w:shd w:fill="FFFFFF"/>
          </w:tcPr>
          <w:p>
            <w:pPr>
              <w:pStyle w:val="TableText"/>
              <w:keepNext w:val="0"/>
              <w:spacing w:after="40" w:line="245" w:lineRule="auto"/>
            </w:pPr>
            <w:r>
              <w:t>To be completed.</w:t>
            </w:r>
          </w:p>
        </w:tc>
      </w:tr>
    </w:tbl>
    <w:p>
      <w:pPr>
        <w:spacing w:after="80" w:line="250" w:lineRule="auto"/>
      </w:pPr>
    </w:p>
    <w:p>
      <w:pPr>
        <w:pStyle w:val="Heading2"/>
        <w:spacing w:before="200" w:after="100"/>
      </w:pPr>
      <w:r>
        <w:t>A.2 Feature activation record</w:t>
      </w:r>
    </w:p>
    <w:tbl>
      <w:tblPr>
        <w:tblW w:type="dxa" w:w="9831"/>
        <w:tblLayout w:type="fixed"/>
        <w:tblLook w:firstColumn="1" w:firstRow="1" w:lastColumn="0" w:lastRow="0" w:noHBand="0" w:noVBand="1" w:val="04A0"/>
        <w:jc w:val="center"/>
        <w:tblBorders>
          <w:top w:val="single" w:sz="4" w:color="D7E2E7"/>
          <w:left w:val="single" w:sz="4" w:color="D7E2E7"/>
          <w:bottom w:val="single" w:sz="4" w:color="D7E2E7"/>
          <w:right w:val="single" w:sz="4" w:color="D7E2E7"/>
          <w:insideH w:val="single" w:sz="4" w:color="D7E2E7"/>
          <w:insideV w:val="single" w:sz="4" w:color="D7E2E7"/>
        </w:tblBorders>
      </w:tblPr>
      <w:tblGrid>
        <w:gridCol w:w="3024"/>
        <w:gridCol w:w="2304"/>
        <w:gridCol w:w="4503"/>
      </w:tblGrid>
      <w:tr>
        <w:trPr>
          <w:cantSplit/>
          <w:tblHeader w:val="true"/>
          <w:tblHeader w:val="true"/>
        </w:trPr>
        <w:tc>
          <w:tcPr>
            <w:tcW w:type="dxa" w:w="3024"/>
            <w:vAlign w:val="center"/>
            <w:tcMar>
              <w:top w:w="85" w:type="dxa"/>
              <w:bottom w:w="85" w:type="dxa"/>
              <w:left w:w="95" w:type="dxa"/>
              <w:right w:w="95" w:type="dxa"/>
            </w:tcMar>
            <w:shd w:fill="163349"/>
            <w:tcMar>
              <w:top w:w="80" w:type="dxa"/>
              <w:bottom w:w="70" w:type="dxa"/>
              <w:left w:w="90" w:type="dxa"/>
              <w:right w:w="90" w:type="dxa"/>
            </w:tcMar>
          </w:tcPr>
          <w:p>
            <w:pPr>
              <w:pStyle w:val="TableText"/>
              <w:keepNext/>
              <w:widowControl/>
              <w:spacing w:after="40" w:line="245" w:lineRule="auto"/>
            </w:pPr>
            <w:r>
              <w:rPr>
                <w:b/>
                <w:color w:val="FFFFFF"/>
                <w:sz w:val="18"/>
              </w:rPr>
              <w:t>Capability</w:t>
            </w:r>
          </w:p>
        </w:tc>
        <w:tc>
          <w:tcPr>
            <w:tcW w:type="dxa" w:w="2304"/>
            <w:vAlign w:val="center"/>
            <w:tcMar>
              <w:top w:w="85" w:type="dxa"/>
              <w:bottom w:w="85" w:type="dxa"/>
              <w:left w:w="95" w:type="dxa"/>
              <w:right w:w="95" w:type="dxa"/>
            </w:tcMar>
            <w:shd w:fill="163349"/>
            <w:tcMar>
              <w:top w:w="80" w:type="dxa"/>
              <w:bottom w:w="70" w:type="dxa"/>
              <w:left w:w="90" w:type="dxa"/>
              <w:right w:w="90" w:type="dxa"/>
            </w:tcMar>
          </w:tcPr>
          <w:p>
            <w:pPr>
              <w:pStyle w:val="TableText"/>
              <w:keepNext/>
              <w:widowControl/>
              <w:spacing w:after="40" w:line="245" w:lineRule="auto"/>
            </w:pPr>
            <w:r>
              <w:rPr>
                <w:b/>
                <w:color w:val="FFFFFF"/>
                <w:sz w:val="18"/>
              </w:rPr>
              <w:t>Default</w:t>
            </w:r>
          </w:p>
        </w:tc>
        <w:tc>
          <w:tcPr>
            <w:tcW w:type="dxa" w:w="4503"/>
            <w:vAlign w:val="center"/>
            <w:tcMar>
              <w:top w:w="85" w:type="dxa"/>
              <w:bottom w:w="85" w:type="dxa"/>
              <w:left w:w="95" w:type="dxa"/>
              <w:right w:w="95" w:type="dxa"/>
            </w:tcMar>
            <w:shd w:fill="163349"/>
            <w:tcMar>
              <w:top w:w="80" w:type="dxa"/>
              <w:bottom w:w="70" w:type="dxa"/>
              <w:left w:w="90" w:type="dxa"/>
              <w:right w:w="90" w:type="dxa"/>
            </w:tcMar>
          </w:tcPr>
          <w:p>
            <w:pPr>
              <w:pStyle w:val="TableText"/>
              <w:keepNext/>
              <w:widowControl/>
              <w:spacing w:after="40" w:line="245" w:lineRule="auto"/>
            </w:pPr>
            <w:r>
              <w:rPr>
                <w:b/>
                <w:color w:val="FFFFFF"/>
                <w:sz w:val="18"/>
              </w:rPr>
              <w:t>Required project decision</w:t>
            </w:r>
          </w:p>
        </w:tc>
      </w:tr>
      <w:tr>
        <w:trPr>
          <w:cantSplit/>
        </w:trPr>
        <w:tc>
          <w:tcPr>
            <w:tcW w:type="dxa" w:w="302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b/>
                <w:color w:val="163349"/>
                <w:sz w:val="18"/>
              </w:rPr>
              <w:t>Public pages / CMS / forms / SEO / privacy / operations</w:t>
            </w:r>
          </w:p>
        </w:tc>
        <w:tc>
          <w:tcPr>
            <w:tcW w:type="dxa" w:w="230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Core</w:t>
            </w:r>
          </w:p>
        </w:tc>
        <w:tc>
          <w:tcPr>
            <w:tcW w:type="dxa" w:w="4503"/>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Named owner and acceptance tests.</w:t>
            </w:r>
          </w:p>
        </w:tc>
      </w:tr>
      <w:tr>
        <w:trPr>
          <w:cantSplit/>
        </w:trPr>
        <w:tc>
          <w:tcPr>
            <w:tcW w:type="dxa" w:w="302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b/>
                <w:color w:val="163349"/>
                <w:sz w:val="18"/>
              </w:rPr>
              <w:t>Blog and resource capability</w:t>
            </w:r>
          </w:p>
        </w:tc>
        <w:tc>
          <w:tcPr>
            <w:tcW w:type="dxa" w:w="230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Core capability</w:t>
            </w:r>
          </w:p>
        </w:tc>
        <w:tc>
          <w:tcPr>
            <w:tcW w:type="dxa" w:w="4503"/>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Activate visible collections and editorial plan when content is ready.</w:t>
            </w:r>
          </w:p>
        </w:tc>
      </w:tr>
      <w:tr>
        <w:trPr>
          <w:cantSplit/>
        </w:trPr>
        <w:tc>
          <w:tcPr>
            <w:tcW w:type="dxa" w:w="302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b/>
                <w:color w:val="163349"/>
                <w:sz w:val="18"/>
              </w:rPr>
              <w:t>Google Ads / Meta Ads</w:t>
            </w:r>
          </w:p>
        </w:tc>
        <w:tc>
          <w:tcPr>
            <w:tcW w:type="dxa" w:w="230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Configurable integration</w:t>
            </w:r>
          </w:p>
        </w:tc>
        <w:tc>
          <w:tcPr>
            <w:tcW w:type="dxa" w:w="4503"/>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Enable only with owned accounts, eligible business, approved conversion map, and consent/policy validation.</w:t>
            </w:r>
          </w:p>
        </w:tc>
      </w:tr>
      <w:tr>
        <w:trPr>
          <w:cantSplit/>
        </w:trPr>
        <w:tc>
          <w:tcPr>
            <w:tcW w:type="dxa" w:w="302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b/>
                <w:color w:val="163349"/>
                <w:sz w:val="18"/>
              </w:rPr>
              <w:t>CRM synchronization</w:t>
            </w:r>
          </w:p>
        </w:tc>
        <w:tc>
          <w:tcPr>
            <w:tcW w:type="dxa" w:w="230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Growth</w:t>
            </w:r>
          </w:p>
        </w:tc>
        <w:tc>
          <w:tcPr>
            <w:tcW w:type="dxa" w:w="4503"/>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Provider, field ownership, backfill, webhook, error, and export policy.</w:t>
            </w:r>
          </w:p>
        </w:tc>
      </w:tr>
      <w:tr>
        <w:trPr>
          <w:cantSplit/>
        </w:trPr>
        <w:tc>
          <w:tcPr>
            <w:tcW w:type="dxa" w:w="302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b/>
                <w:sz w:val="18"/>
              </w:rPr>
              <w:t>Advanced analytics / replay</w:t>
            </w:r>
          </w:p>
        </w:tc>
        <w:tc>
          <w:tcPr>
            <w:tcW w:type="dxa" w:w="230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Growth</w:t>
            </w:r>
          </w:p>
        </w:tc>
        <w:tc>
          <w:tcPr>
            <w:tcW w:type="dxa" w:w="4503"/>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Business question, permission, collection limits, retention and reviewer. A/B capability is separately required in v1.1.</w:t>
            </w:r>
          </w:p>
        </w:tc>
      </w:tr>
      <w:tr>
        <w:trPr>
          <w:cantSplit/>
        </w:trPr>
        <w:tc>
          <w:tcPr>
            <w:tcW w:type="dxa" w:w="302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b/>
                <w:color w:val="163349"/>
                <w:sz w:val="18"/>
              </w:rPr>
              <w:t>Commerce / subscription / booking / portal</w:t>
            </w:r>
          </w:p>
        </w:tc>
        <w:tc>
          <w:tcPr>
            <w:tcW w:type="dxa" w:w="230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Optional</w:t>
            </w:r>
          </w:p>
        </w:tc>
        <w:tc>
          <w:tcPr>
            <w:tcW w:type="dxa" w:w="4503"/>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Full lifecycle, data model, provider, support, and dedicated release gate.</w:t>
            </w:r>
          </w:p>
        </w:tc>
      </w:tr>
      <w:tr>
        <w:trPr>
          <w:cantSplit/>
        </w:trPr>
        <w:tc>
          <w:tcPr>
            <w:tcW w:type="dxa" w:w="302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b/>
                <w:color w:val="163349"/>
                <w:sz w:val="18"/>
              </w:rPr>
              <w:t>Multilingual / search / newsletter / support channels</w:t>
            </w:r>
          </w:p>
        </w:tc>
        <w:tc>
          <w:tcPr>
            <w:tcW w:type="dxa" w:w="2304"/>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Optional</w:t>
            </w:r>
          </w:p>
        </w:tc>
        <w:tc>
          <w:tcPr>
            <w:tcW w:type="dxa" w:w="4503"/>
            <w:vAlign w:val="center"/>
            <w:tcMar>
              <w:top w:w="85" w:type="dxa"/>
              <w:bottom w:w="85" w:type="dxa"/>
              <w:left w:w="95" w:type="dxa"/>
              <w:right w:w="95" w:type="dxa"/>
            </w:tcMar>
            <w:shd w:fill="F2F7F9"/>
            <w:tcMar>
              <w:top w:w="80" w:type="dxa"/>
              <w:bottom w:w="70" w:type="dxa"/>
              <w:left w:w="90" w:type="dxa"/>
              <w:right w:w="90" w:type="dxa"/>
            </w:tcMar>
          </w:tcPr>
          <w:p>
            <w:pPr>
              <w:pStyle w:val="TableText"/>
              <w:keepNext w:val="0"/>
              <w:widowControl/>
              <w:spacing w:after="40" w:line="245" w:lineRule="auto"/>
            </w:pPr>
            <w:r>
              <w:rPr>
                <w:sz w:val="18"/>
              </w:rPr>
              <w:t>Locale/content/support owner and operating cost. Required contextual chatbot scope is governed by Chapter 37.</w:t>
            </w:r>
          </w:p>
        </w:tc>
      </w:tr>
      <w:tr>
        <w:trPr>
          <w:cantSplit/>
        </w:trPr>
        <w:tc>
          <w:tcPr>
            <w:tcW w:type="dxa" w:w="302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b/>
                <w:color w:val="163349"/>
                <w:sz w:val="18"/>
              </w:rPr>
              <w:t>AI / PWA / community / marketplace / referral</w:t>
            </w:r>
          </w:p>
        </w:tc>
        <w:tc>
          <w:tcPr>
            <w:tcW w:type="dxa" w:w="2304"/>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Optional</w:t>
            </w:r>
          </w:p>
        </w:tc>
        <w:tc>
          <w:tcPr>
            <w:tcW w:type="dxa" w:w="4503"/>
            <w:vAlign w:val="center"/>
            <w:tcMar>
              <w:top w:w="85" w:type="dxa"/>
              <w:bottom w:w="85" w:type="dxa"/>
              <w:left w:w="95" w:type="dxa"/>
              <w:right w:w="95" w:type="dxa"/>
            </w:tcMar>
            <w:shd w:fill="FFFFFF"/>
            <w:tcMar>
              <w:top w:w="80" w:type="dxa"/>
              <w:bottom w:w="70" w:type="dxa"/>
              <w:left w:w="90" w:type="dxa"/>
              <w:right w:w="90" w:type="dxa"/>
            </w:tcMar>
          </w:tcPr>
          <w:p>
            <w:pPr>
              <w:pStyle w:val="TableText"/>
              <w:keepNext w:val="0"/>
              <w:widowControl/>
              <w:spacing w:after="40" w:line="245" w:lineRule="auto"/>
            </w:pPr>
            <w:r>
              <w:rPr>
                <w:sz w:val="18"/>
              </w:rPr>
              <w:t>Separate risk assessment, economic case, and failure/moderation workflow.</w:t>
            </w:r>
          </w:p>
        </w:tc>
      </w:tr>
      <w:tr>
        <w:trPr>
          <w:cantSplit/>
        </w:trPr>
        <w:tc>
          <w:tcPr>
            <w:tcW w:type="dxa" w:w="3024"/>
            <w:vAlign w:val="center"/>
            <w:shd w:fill="F2F7F9"/>
            <w:tcMar>
              <w:top w:w="80" w:type="dxa"/>
              <w:bottom w:w="70" w:type="dxa"/>
              <w:left w:w="90" w:type="dxa"/>
              <w:right w:w="90" w:type="dxa"/>
            </w:tcMar>
          </w:tcPr>
          <w:p>
            <w:pPr>
              <w:pStyle w:val="TableText"/>
              <w:keepNext w:val="0"/>
              <w:widowControl/>
              <w:spacing w:after="40" w:line="245" w:lineRule="auto"/>
            </w:pPr>
            <w:r>
              <w:rPr>
                <w:b/>
                <w:sz w:val="18"/>
              </w:rPr>
              <w:t>A/B experiments + UTM attribution</w:t>
            </w:r>
          </w:p>
        </w:tc>
        <w:tc>
          <w:tcPr>
            <w:tcW w:type="dxa" w:w="2304"/>
            <w:vAlign w:val="center"/>
            <w:shd w:fill="F2F7F9"/>
            <w:tcMar>
              <w:top w:w="80" w:type="dxa"/>
              <w:bottom w:w="70" w:type="dxa"/>
              <w:left w:w="90" w:type="dxa"/>
              <w:right w:w="90" w:type="dxa"/>
            </w:tcMar>
          </w:tcPr>
          <w:p>
            <w:pPr>
              <w:pStyle w:val="TableText"/>
              <w:keepNext w:val="0"/>
              <w:widowControl/>
              <w:spacing w:after="40" w:line="245" w:lineRule="auto"/>
            </w:pPr>
            <w:r>
              <w:rPr>
                <w:sz w:val="18"/>
              </w:rPr>
              <w:t>Required v1.1 capability</w:t>
            </w:r>
          </w:p>
        </w:tc>
        <w:tc>
          <w:tcPr>
            <w:tcW w:type="dxa" w:w="4503"/>
            <w:vAlign w:val="center"/>
            <w:shd w:fill="F2F7F9"/>
            <w:tcMar>
              <w:top w:w="80" w:type="dxa"/>
              <w:bottom w:w="70" w:type="dxa"/>
              <w:left w:w="90" w:type="dxa"/>
              <w:right w:w="90" w:type="dxa"/>
            </w:tcMar>
          </w:tcPr>
          <w:p>
            <w:pPr>
              <w:pStyle w:val="TableText"/>
              <w:keepNext w:val="0"/>
              <w:widowControl/>
              <w:spacing w:after="40" w:line="245" w:lineRule="auto"/>
            </w:pPr>
            <w:r>
              <w:rPr>
                <w:sz w:val="18"/>
              </w:rPr>
              <w:t>Owner workflow, stable assignment, analysis, source capture and form/chat/CRM tests; live activation governed by purpose and feasibility.</w:t>
            </w:r>
          </w:p>
        </w:tc>
      </w:tr>
      <w:tr>
        <w:trPr>
          <w:cantSplit/>
        </w:trPr>
        <w:tc>
          <w:tcPr>
            <w:tcW w:type="dxa" w:w="3024"/>
            <w:vAlign w:val="center"/>
            <w:shd w:fill="FFFFFF"/>
            <w:tcMar>
              <w:top w:w="80" w:type="dxa"/>
              <w:bottom w:w="70" w:type="dxa"/>
              <w:left w:w="90" w:type="dxa"/>
              <w:right w:w="90" w:type="dxa"/>
            </w:tcMar>
          </w:tcPr>
          <w:p>
            <w:pPr>
              <w:pStyle w:val="TableText"/>
              <w:keepNext w:val="0"/>
              <w:widowControl/>
              <w:spacing w:after="40" w:line="245" w:lineRule="auto"/>
            </w:pPr>
            <w:r>
              <w:rPr>
                <w:b/>
                <w:sz w:val="18"/>
              </w:rPr>
              <w:t>Visitor IP/location + contextual chatbot</w:t>
            </w:r>
          </w:p>
        </w:tc>
        <w:tc>
          <w:tcPr>
            <w:tcW w:type="dxa" w:w="2304"/>
            <w:vAlign w:val="center"/>
            <w:shd w:fill="FFFFFF"/>
            <w:tcMar>
              <w:top w:w="80" w:type="dxa"/>
              <w:bottom w:w="70" w:type="dxa"/>
              <w:left w:w="90" w:type="dxa"/>
              <w:right w:w="90" w:type="dxa"/>
            </w:tcMar>
          </w:tcPr>
          <w:p>
            <w:pPr>
              <w:pStyle w:val="TableText"/>
              <w:keepNext w:val="0"/>
              <w:widowControl/>
              <w:spacing w:after="40" w:line="245" w:lineRule="auto"/>
            </w:pPr>
            <w:r>
              <w:rPr>
                <w:sz w:val="18"/>
              </w:rPr>
              <w:t>Required v1.1 capability</w:t>
            </w:r>
          </w:p>
        </w:tc>
        <w:tc>
          <w:tcPr>
            <w:tcW w:type="dxa" w:w="4503"/>
            <w:vAlign w:val="center"/>
            <w:shd w:fill="FFFFFF"/>
            <w:tcMar>
              <w:top w:w="80" w:type="dxa"/>
              <w:bottom w:w="70" w:type="dxa"/>
              <w:left w:w="90" w:type="dxa"/>
              <w:right w:w="90" w:type="dxa"/>
            </w:tcMar>
          </w:tcPr>
          <w:p>
            <w:pPr>
              <w:pStyle w:val="TableText"/>
              <w:keepNext w:val="0"/>
              <w:widowControl/>
              <w:spacing w:after="40" w:line="245" w:lineRule="auto"/>
            </w:pPr>
            <w:r>
              <w:rPr>
                <w:sz w:val="18"/>
              </w:rPr>
              <w:t>Approve data purpose, scope, retention, protected projections, optional browser location task and processing terms.</w:t>
            </w:r>
          </w:p>
        </w:tc>
      </w:tr>
      <w:tr>
        <w:trPr>
          <w:cantSplit/>
        </w:trPr>
        <w:tc>
          <w:tcPr>
            <w:tcW w:type="dxa" w:w="3024"/>
            <w:vAlign w:val="center"/>
            <w:shd w:fill="F2F7F9"/>
            <w:tcMar>
              <w:top w:w="80" w:type="dxa"/>
              <w:bottom w:w="70" w:type="dxa"/>
              <w:left w:w="90" w:type="dxa"/>
              <w:right w:w="90" w:type="dxa"/>
            </w:tcMar>
          </w:tcPr>
          <w:p>
            <w:pPr>
              <w:pStyle w:val="TableText"/>
              <w:keepNext w:val="0"/>
              <w:widowControl/>
              <w:spacing w:after="40" w:line="245" w:lineRule="auto"/>
            </w:pPr>
            <w:r>
              <w:rPr>
                <w:b/>
                <w:sz w:val="18"/>
              </w:rPr>
              <w:t>Manual blog deletion + comprehensive audit</w:t>
            </w:r>
          </w:p>
        </w:tc>
        <w:tc>
          <w:tcPr>
            <w:tcW w:type="dxa" w:w="2304"/>
            <w:vAlign w:val="center"/>
            <w:shd w:fill="F2F7F9"/>
            <w:tcMar>
              <w:top w:w="80" w:type="dxa"/>
              <w:bottom w:w="70" w:type="dxa"/>
              <w:left w:w="90" w:type="dxa"/>
              <w:right w:w="90" w:type="dxa"/>
            </w:tcMar>
          </w:tcPr>
          <w:p>
            <w:pPr>
              <w:pStyle w:val="TableText"/>
              <w:keepNext w:val="0"/>
              <w:widowControl/>
              <w:spacing w:after="40" w:line="245" w:lineRule="auto"/>
            </w:pPr>
            <w:r>
              <w:rPr>
                <w:sz w:val="18"/>
              </w:rPr>
              <w:t>Core invariant</w:t>
            </w:r>
          </w:p>
        </w:tc>
        <w:tc>
          <w:tcPr>
            <w:tcW w:type="dxa" w:w="4503"/>
            <w:vAlign w:val="center"/>
            <w:shd w:fill="F2F7F9"/>
            <w:tcMar>
              <w:top w:w="80" w:type="dxa"/>
              <w:bottom w:w="70" w:type="dxa"/>
              <w:left w:w="90" w:type="dxa"/>
              <w:right w:w="90" w:type="dxa"/>
            </w:tcMar>
          </w:tcPr>
          <w:p>
            <w:pPr>
              <w:pStyle w:val="TableText"/>
              <w:keepNext w:val="0"/>
              <w:widowControl/>
              <w:spacing w:after="40" w:line="245" w:lineRule="auto"/>
            </w:pPr>
            <w:r>
              <w:rPr>
                <w:sz w:val="18"/>
              </w:rPr>
              <w:t>No automatic source/trash deletion; attributed human workflow; durable protected audit and recovery evidence.</w:t>
            </w:r>
          </w:p>
        </w:tc>
      </w:tr>
    </w:tbl>
    <w:p>
      <w:pPr>
        <w:spacing w:after="80" w:line="250" w:lineRule="auto"/>
      </w:pPr>
    </w:p>
    <w:p>
      <w:pPr>
        <w:pStyle w:val="Heading2"/>
        <w:spacing w:before="200" w:after="100"/>
      </w:pPr>
      <w:r>
        <w:t>A.3 Architectural decision template</w:t>
      </w:r>
    </w:p>
    <w:p>
      <w:pPr>
        <w:spacing w:after="80" w:line="250" w:lineRule="auto"/>
      </w:pPr>
      <w:r>
        <w:t>Decision ID; question; business constraints; options considered; chosen option; reason; cost; privacy/security effect; operational owner; migration/exit path; review trigger; approval date. Record rejected options briefly so future teams do not repeat the same debate without new evidence.</w:t>
      </w:r>
    </w:p>
    <w:p>
      <w:pPr>
        <w:pStyle w:val="Heading2"/>
        <w:keepNext/>
        <w:widowControl/>
        <w:spacing w:before="200" w:after="100"/>
      </w:pPr>
      <w:r>
        <w:t>A.4 Required version 1.1 decisions</w:t>
      </w:r>
    </w:p>
    <w:p>
      <w:pPr>
        <w:widowControl/>
        <w:spacing w:after="80" w:line="250" w:lineRule="auto"/>
      </w:pPr>
      <w:r>
        <w:t>Complete the manual-versus-annual deletion interpretation; independent purge approver; audit retention/assurance; IP collection purpose and retention; precise-location task, permission copy and disposal; chatbot provider/data handling; UTM taxonomy/lookback; experiment traffic/MDE/maturation; and context reveal/export permissions. The default is manual-only deletion with no scheduled annual purge. Use Chapter 41 and Appendix G before sign-off.</w:t>
      </w:r>
    </w:p>
    <w:p>
      <w:pPr>
        <w:pStyle w:val="Heading2"/>
        <w:spacing w:before="200" w:after="100"/>
      </w:pPr>
      <w:r>
        <w:t>A.5 Version 1.2 decisions</w:t>
      </w:r>
    </w:p>
    <w:p>
      <w:pPr>
        <w:spacing w:after="80" w:line="250" w:lineRule="auto"/>
      </w:pPr>
      <w:r>
        <w:t>Complete Appendix H for all capability categories and Appendix K for the actual business. Resolve custom collection scope, workflow/send purposes, scoring inputs, audience eligibility, sender domains, channels/call attribution, domain recovery, campaign-write authority, catalogue/feed obligations and current provider verification. Annual-only human blog deletion is not assumed; manual-only preservation remains the default.</w:t>
      </w:r>
    </w:p>
    <w:p>
      <w:pPr>
        <w:pStyle w:val="Heading1"/>
        <w:pageBreakBefore/>
        <w:spacing w:before="400"/>
        <w:pBdr>
          <w:bottom w:val="single" w:sz="8" w:color="087F83" w:space="8"/>
        </w:pBdr>
      </w:pPr>
      <w:bookmarkStart w:id="37" w:name="chapter_35"/>
      <w:bookmarkStart w:id="326" w:name="v12_appB"/>
      <w:r>
        <w:t>Appendix B | Requirement traceability and release checklist</w:t>
      </w:r>
      <w:bookmarkEnd w:id="37"/>
      <w:bookmarkEnd w:id="326"/>
      <w:bookmarkStart w:id="630" w:name="tocfinal_app_B"/>
      <w:bookmarkEnd w:id="630"/>
    </w:p>
    <w:p>
      <w:pPr>
        <w:pStyle w:val="Heading2"/>
        <w:spacing w:before="200" w:after="100"/>
      </w:pPr>
      <w:r>
        <w:t>B.1 Core requirement register</w:t>
      </w:r>
    </w:p>
    <w:p>
      <w:pPr>
        <w:spacing w:after="80" w:line="250" w:lineRule="auto"/>
      </w:pPr>
      <w:r>
        <w:t>Copy this table into the project's acceptance register and add implementation links, evidence, responsible person, and status. The table defines a baseline, not a record of completed implementation.</w:t>
      </w:r>
      <w:r>
        <w:t xml:space="preserve"> Also execute Appendix G for the v1.1 additions.</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475"/>
        <w:gridCol w:w="3932"/>
        <w:gridCol w:w="4424"/>
      </w:tblGrid>
      <w:tr>
        <w:trPr>
          <w:cantSplit/>
          <w:tblHeader w:val="true"/>
        </w:trPr>
        <w:tc>
          <w:tcPr>
            <w:tcW w:type="dxa" w:w="1475"/>
            <w:vAlign w:val="top"/>
            <w:tcMar>
              <w:top w:w="45" w:type="dxa"/>
              <w:bottom w:w="45" w:type="dxa"/>
              <w:left w:w="95" w:type="dxa"/>
              <w:right w:w="95" w:type="dxa"/>
            </w:tcMar>
            <w:shd w:fill="163349"/>
          </w:tcPr>
          <w:p>
            <w:pPr>
              <w:pStyle w:val="TableText"/>
              <w:keepNext/>
              <w:spacing w:after="40" w:line="245" w:lineRule="auto"/>
            </w:pPr>
            <w:r>
              <w:rPr>
                <w:b/>
                <w:color w:val="FFFFFF"/>
              </w:rPr>
              <w:t>ID</w:t>
            </w:r>
          </w:p>
        </w:tc>
        <w:tc>
          <w:tcPr>
            <w:tcW w:type="dxa" w:w="3932"/>
            <w:vAlign w:val="top"/>
            <w:tcMar>
              <w:top w:w="45" w:type="dxa"/>
              <w:bottom w:w="45" w:type="dxa"/>
              <w:left w:w="95" w:type="dxa"/>
              <w:right w:w="95" w:type="dxa"/>
            </w:tcMar>
            <w:shd w:fill="163349"/>
          </w:tcPr>
          <w:p>
            <w:pPr>
              <w:pStyle w:val="TableText"/>
              <w:keepNext/>
              <w:spacing w:after="40" w:line="245" w:lineRule="auto"/>
            </w:pPr>
            <w:r>
              <w:rPr>
                <w:b/>
                <w:color w:val="FFFFFF"/>
              </w:rPr>
              <w:t>Requirement</w:t>
            </w:r>
          </w:p>
        </w:tc>
        <w:tc>
          <w:tcPr>
            <w:tcW w:type="dxa" w:w="4424"/>
            <w:vAlign w:val="top"/>
            <w:tcMar>
              <w:top w:w="45" w:type="dxa"/>
              <w:bottom w:w="45" w:type="dxa"/>
              <w:left w:w="95" w:type="dxa"/>
              <w:right w:w="95" w:type="dxa"/>
            </w:tcMar>
            <w:shd w:fill="163349"/>
          </w:tcPr>
          <w:p>
            <w:pPr>
              <w:pStyle w:val="TableText"/>
              <w:keepNext/>
              <w:spacing w:after="40" w:line="245" w:lineRule="auto"/>
            </w:pPr>
            <w:r>
              <w:rPr>
                <w:b/>
                <w:color w:val="FFFFFF"/>
              </w:rPr>
              <w:t>Acceptance evidence</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WEB-01</w:t>
            </w:r>
          </w:p>
        </w:tc>
        <w:tc>
          <w:tcPr>
            <w:tcW w:type="dxa" w:w="3932"/>
            <w:vAlign w:val="top"/>
            <w:tcMar>
              <w:top w:w="45" w:type="dxa"/>
              <w:bottom w:w="45" w:type="dxa"/>
              <w:left w:w="95" w:type="dxa"/>
              <w:right w:w="95" w:type="dxa"/>
            </w:tcMar>
            <w:shd w:fill="FFFFFF"/>
          </w:tcPr>
          <w:p>
            <w:pPr>
              <w:pStyle w:val="TableText"/>
              <w:keepNext w:val="0"/>
              <w:spacing w:after="40" w:line="245" w:lineRule="auto"/>
            </w:pPr>
            <w:r>
              <w:t>Every important customer journey has working responsive pages and states.</w:t>
            </w:r>
          </w:p>
        </w:tc>
        <w:tc>
          <w:tcPr>
            <w:tcW w:type="dxa" w:w="4424"/>
            <w:vAlign w:val="top"/>
            <w:tcMar>
              <w:top w:w="45" w:type="dxa"/>
              <w:bottom w:w="45" w:type="dxa"/>
              <w:left w:w="95" w:type="dxa"/>
              <w:right w:w="95" w:type="dxa"/>
            </w:tcMar>
            <w:shd w:fill="FFFFFF"/>
          </w:tcPr>
          <w:p>
            <w:pPr>
              <w:pStyle w:val="TableText"/>
              <w:keepNext w:val="0"/>
              <w:spacing w:after="40" w:line="245" w:lineRule="auto"/>
            </w:pPr>
            <w:r>
              <w:t>End-to-end tests plus owner walkthrough.</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WEB-02</w:t>
            </w:r>
          </w:p>
        </w:tc>
        <w:tc>
          <w:tcPr>
            <w:tcW w:type="dxa" w:w="3932"/>
            <w:vAlign w:val="top"/>
            <w:tcMar>
              <w:top w:w="45" w:type="dxa"/>
              <w:bottom w:w="45" w:type="dxa"/>
              <w:left w:w="95" w:type="dxa"/>
              <w:right w:w="95" w:type="dxa"/>
            </w:tcMar>
            <w:shd w:fill="F3F7F9"/>
          </w:tcPr>
          <w:p>
            <w:pPr>
              <w:pStyle w:val="TableText"/>
              <w:keepNext w:val="0"/>
              <w:spacing w:after="40" w:line="245" w:lineRule="auto"/>
            </w:pPr>
            <w:r>
              <w:t>Published content, navigation, metadata, and share images render correctly.</w:t>
            </w:r>
          </w:p>
        </w:tc>
        <w:tc>
          <w:tcPr>
            <w:tcW w:type="dxa" w:w="4424"/>
            <w:vAlign w:val="top"/>
            <w:tcMar>
              <w:top w:w="45" w:type="dxa"/>
              <w:bottom w:w="45" w:type="dxa"/>
              <w:left w:w="95" w:type="dxa"/>
              <w:right w:w="95" w:type="dxa"/>
            </w:tcMar>
            <w:shd w:fill="F3F7F9"/>
          </w:tcPr>
          <w:p>
            <w:pPr>
              <w:pStyle w:val="TableText"/>
              <w:keepNext w:val="0"/>
              <w:spacing w:after="40" w:line="245" w:lineRule="auto"/>
            </w:pPr>
            <w:r>
              <w:t>Route crawl and template review.</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WEB-03</w:t>
            </w:r>
          </w:p>
        </w:tc>
        <w:tc>
          <w:tcPr>
            <w:tcW w:type="dxa" w:w="3932"/>
            <w:vAlign w:val="top"/>
            <w:tcMar>
              <w:top w:w="45" w:type="dxa"/>
              <w:bottom w:w="45" w:type="dxa"/>
              <w:left w:w="95" w:type="dxa"/>
              <w:right w:w="95" w:type="dxa"/>
            </w:tcMar>
            <w:shd w:fill="FFFFFF"/>
          </w:tcPr>
          <w:p>
            <w:pPr>
              <w:pStyle w:val="TableText"/>
              <w:keepNext w:val="0"/>
              <w:spacing w:after="40" w:line="245" w:lineRule="auto"/>
            </w:pPr>
            <w:r>
              <w:t>Performance budgets and field monitoring are implemented.</w:t>
            </w:r>
          </w:p>
        </w:tc>
        <w:tc>
          <w:tcPr>
            <w:tcW w:type="dxa" w:w="4424"/>
            <w:vAlign w:val="top"/>
            <w:tcMar>
              <w:top w:w="45" w:type="dxa"/>
              <w:bottom w:w="45" w:type="dxa"/>
              <w:left w:w="95" w:type="dxa"/>
              <w:right w:w="95" w:type="dxa"/>
            </w:tcMar>
            <w:shd w:fill="FFFFFF"/>
          </w:tcPr>
          <w:p>
            <w:pPr>
              <w:pStyle w:val="TableText"/>
              <w:keepNext w:val="0"/>
              <w:spacing w:after="40" w:line="245" w:lineRule="auto"/>
            </w:pPr>
            <w:r>
              <w:t>Build/lab/load reports and configured RUM.</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WEB-04</w:t>
            </w:r>
          </w:p>
        </w:tc>
        <w:tc>
          <w:tcPr>
            <w:tcW w:type="dxa" w:w="3932"/>
            <w:vAlign w:val="top"/>
            <w:tcMar>
              <w:top w:w="45" w:type="dxa"/>
              <w:bottom w:w="45" w:type="dxa"/>
              <w:left w:w="95" w:type="dxa"/>
              <w:right w:w="95" w:type="dxa"/>
            </w:tcMar>
            <w:shd w:fill="F3F7F9"/>
          </w:tcPr>
          <w:p>
            <w:pPr>
              <w:pStyle w:val="TableText"/>
              <w:keepNext w:val="0"/>
              <w:spacing w:after="40" w:line="245" w:lineRule="auto"/>
            </w:pPr>
            <w:r>
              <w:t>Accessibility target is evaluated on public and essential admin workflows.</w:t>
            </w:r>
          </w:p>
        </w:tc>
        <w:tc>
          <w:tcPr>
            <w:tcW w:type="dxa" w:w="4424"/>
            <w:vAlign w:val="top"/>
            <w:tcMar>
              <w:top w:w="45" w:type="dxa"/>
              <w:bottom w:w="45" w:type="dxa"/>
              <w:left w:w="95" w:type="dxa"/>
              <w:right w:w="95" w:type="dxa"/>
            </w:tcMar>
            <w:shd w:fill="F3F7F9"/>
          </w:tcPr>
          <w:p>
            <w:pPr>
              <w:pStyle w:val="TableText"/>
              <w:keepNext w:val="0"/>
              <w:spacing w:after="40" w:line="245" w:lineRule="auto"/>
            </w:pPr>
            <w:r>
              <w:t>Automated and manual evaluation report.</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CMS-01</w:t>
            </w:r>
          </w:p>
        </w:tc>
        <w:tc>
          <w:tcPr>
            <w:tcW w:type="dxa" w:w="3932"/>
            <w:vAlign w:val="top"/>
            <w:tcMar>
              <w:top w:w="45" w:type="dxa"/>
              <w:bottom w:w="45" w:type="dxa"/>
              <w:left w:w="95" w:type="dxa"/>
              <w:right w:w="95" w:type="dxa"/>
            </w:tcMar>
            <w:shd w:fill="FFFFFF"/>
          </w:tcPr>
          <w:p>
            <w:pPr>
              <w:pStyle w:val="TableText"/>
              <w:keepNext w:val="0"/>
              <w:spacing w:after="40" w:line="245" w:lineRule="auto"/>
            </w:pPr>
            <w:r>
              <w:t>Owner edits pages, blocks, menus, media, forms, and SEO without code.</w:t>
            </w:r>
          </w:p>
        </w:tc>
        <w:tc>
          <w:tcPr>
            <w:tcW w:type="dxa" w:w="4424"/>
            <w:vAlign w:val="top"/>
            <w:tcMar>
              <w:top w:w="45" w:type="dxa"/>
              <w:bottom w:w="45" w:type="dxa"/>
              <w:left w:w="95" w:type="dxa"/>
              <w:right w:w="95" w:type="dxa"/>
            </w:tcMar>
            <w:shd w:fill="FFFFFF"/>
          </w:tcPr>
          <w:p>
            <w:pPr>
              <w:pStyle w:val="TableText"/>
              <w:keepNext w:val="0"/>
              <w:spacing w:after="40" w:line="245" w:lineRule="auto"/>
            </w:pPr>
            <w:r>
              <w:t>Independent owner tasks completed.</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CMS-02</w:t>
            </w:r>
          </w:p>
        </w:tc>
        <w:tc>
          <w:tcPr>
            <w:tcW w:type="dxa" w:w="3932"/>
            <w:vAlign w:val="top"/>
            <w:tcMar>
              <w:top w:w="45" w:type="dxa"/>
              <w:bottom w:w="45" w:type="dxa"/>
              <w:left w:w="95" w:type="dxa"/>
              <w:right w:w="95" w:type="dxa"/>
            </w:tcMar>
            <w:shd w:fill="F3F7F9"/>
          </w:tcPr>
          <w:p>
            <w:pPr>
              <w:pStyle w:val="TableText"/>
              <w:keepNext w:val="0"/>
              <w:spacing w:after="40" w:line="245" w:lineRule="auto"/>
            </w:pPr>
            <w:r>
              <w:t>Draft/review/preview/schedule/publish/rollback is complete.</w:t>
            </w:r>
          </w:p>
        </w:tc>
        <w:tc>
          <w:tcPr>
            <w:tcW w:type="dxa" w:w="4424"/>
            <w:vAlign w:val="top"/>
            <w:tcMar>
              <w:top w:w="45" w:type="dxa"/>
              <w:bottom w:w="45" w:type="dxa"/>
              <w:left w:w="95" w:type="dxa"/>
              <w:right w:w="95" w:type="dxa"/>
            </w:tcMar>
            <w:shd w:fill="F3F7F9"/>
          </w:tcPr>
          <w:p>
            <w:pPr>
              <w:pStyle w:val="TableText"/>
              <w:keepNext w:val="0"/>
              <w:spacing w:after="40" w:line="245" w:lineRule="auto"/>
            </w:pPr>
            <w:r>
              <w:t>State-transition and cache refresh tests.</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CMS-03</w:t>
            </w:r>
          </w:p>
        </w:tc>
        <w:tc>
          <w:tcPr>
            <w:tcW w:type="dxa" w:w="3932"/>
            <w:vAlign w:val="top"/>
            <w:tcMar>
              <w:top w:w="45" w:type="dxa"/>
              <w:bottom w:w="45" w:type="dxa"/>
              <w:left w:w="95" w:type="dxa"/>
              <w:right w:w="95" w:type="dxa"/>
            </w:tcMar>
            <w:shd w:fill="FFFFFF"/>
          </w:tcPr>
          <w:p>
            <w:pPr>
              <w:pStyle w:val="TableText"/>
              <w:keepNext w:val="0"/>
              <w:spacing w:after="40" w:line="245" w:lineRule="auto"/>
            </w:pPr>
            <w:r>
              <w:t>Published revisions and forms retain version history.</w:t>
            </w:r>
          </w:p>
        </w:tc>
        <w:tc>
          <w:tcPr>
            <w:tcW w:type="dxa" w:w="4424"/>
            <w:vAlign w:val="top"/>
            <w:tcMar>
              <w:top w:w="45" w:type="dxa"/>
              <w:bottom w:w="45" w:type="dxa"/>
              <w:left w:w="95" w:type="dxa"/>
              <w:right w:w="95" w:type="dxa"/>
            </w:tcMar>
            <w:shd w:fill="FFFFFF"/>
          </w:tcPr>
          <w:p>
            <w:pPr>
              <w:pStyle w:val="TableText"/>
              <w:keepNext w:val="0"/>
              <w:spacing w:after="40" w:line="245" w:lineRule="auto"/>
            </w:pPr>
            <w:r>
              <w:t>Migration/rollback and submission-revision tests.</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CMS-04</w:t>
            </w:r>
          </w:p>
        </w:tc>
        <w:tc>
          <w:tcPr>
            <w:tcW w:type="dxa" w:w="3932"/>
            <w:vAlign w:val="top"/>
            <w:tcMar>
              <w:top w:w="45" w:type="dxa"/>
              <w:bottom w:w="45" w:type="dxa"/>
              <w:left w:w="95" w:type="dxa"/>
              <w:right w:w="95" w:type="dxa"/>
            </w:tcMar>
            <w:shd w:fill="F3F7F9"/>
          </w:tcPr>
          <w:p>
            <w:pPr>
              <w:pStyle w:val="TableText"/>
              <w:keepNext w:val="0"/>
              <w:spacing w:after="40" w:line="245" w:lineRule="auto"/>
            </w:pPr>
            <w:r>
              <w:t>Unapproved code/embeds cannot execute through the builder.</w:t>
            </w:r>
          </w:p>
        </w:tc>
        <w:tc>
          <w:tcPr>
            <w:tcW w:type="dxa" w:w="4424"/>
            <w:vAlign w:val="top"/>
            <w:tcMar>
              <w:top w:w="45" w:type="dxa"/>
              <w:bottom w:w="45" w:type="dxa"/>
              <w:left w:w="95" w:type="dxa"/>
              <w:right w:w="95" w:type="dxa"/>
            </w:tcMar>
            <w:shd w:fill="F3F7F9"/>
          </w:tcPr>
          <w:p>
            <w:pPr>
              <w:pStyle w:val="TableText"/>
              <w:keepNext w:val="0"/>
              <w:spacing w:after="40" w:line="245" w:lineRule="auto"/>
            </w:pPr>
            <w:r>
              <w:t>Injection and permission tests.</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SEO-01</w:t>
            </w:r>
          </w:p>
        </w:tc>
        <w:tc>
          <w:tcPr>
            <w:tcW w:type="dxa" w:w="3932"/>
            <w:vAlign w:val="top"/>
            <w:tcMar>
              <w:top w:w="45" w:type="dxa"/>
              <w:bottom w:w="45" w:type="dxa"/>
              <w:left w:w="95" w:type="dxa"/>
              <w:right w:w="95" w:type="dxa"/>
            </w:tcMar>
            <w:shd w:fill="FFFFFF"/>
          </w:tcPr>
          <w:p>
            <w:pPr>
              <w:pStyle w:val="TableText"/>
              <w:keepNext w:val="0"/>
              <w:spacing w:after="40" w:line="245" w:lineRule="auto"/>
            </w:pPr>
            <w:r>
              <w:t>Route-level index/canonical/sitemap/redirect policy exists.</w:t>
            </w:r>
          </w:p>
        </w:tc>
        <w:tc>
          <w:tcPr>
            <w:tcW w:type="dxa" w:w="4424"/>
            <w:vAlign w:val="top"/>
            <w:tcMar>
              <w:top w:w="45" w:type="dxa"/>
              <w:bottom w:w="45" w:type="dxa"/>
              <w:left w:w="95" w:type="dxa"/>
              <w:right w:w="95" w:type="dxa"/>
            </w:tcMar>
            <w:shd w:fill="FFFFFF"/>
          </w:tcPr>
          <w:p>
            <w:pPr>
              <w:pStyle w:val="TableText"/>
              <w:keepNext w:val="0"/>
              <w:spacing w:after="40" w:line="245" w:lineRule="auto"/>
            </w:pPr>
            <w:r>
              <w:t>Crawl, status, and metadata evidence.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SEO-02</w:t>
            </w:r>
          </w:p>
        </w:tc>
        <w:tc>
          <w:tcPr>
            <w:tcW w:type="dxa" w:w="3932"/>
            <w:vAlign w:val="top"/>
            <w:tcMar>
              <w:top w:w="45" w:type="dxa"/>
              <w:bottom w:w="45" w:type="dxa"/>
              <w:left w:w="95" w:type="dxa"/>
              <w:right w:w="95" w:type="dxa"/>
            </w:tcMar>
            <w:shd w:fill="F3F7F9"/>
          </w:tcPr>
          <w:p>
            <w:pPr>
              <w:pStyle w:val="TableText"/>
              <w:keepNext w:val="0"/>
              <w:spacing w:after="40" w:line="245" w:lineRule="auto"/>
            </w:pPr>
            <w:r>
              <w:t>Content claims, sources, ownership, and update process are verified.</w:t>
            </w:r>
          </w:p>
        </w:tc>
        <w:tc>
          <w:tcPr>
            <w:tcW w:type="dxa" w:w="4424"/>
            <w:vAlign w:val="top"/>
            <w:tcMar>
              <w:top w:w="45" w:type="dxa"/>
              <w:bottom w:w="45" w:type="dxa"/>
              <w:left w:w="95" w:type="dxa"/>
              <w:right w:w="95" w:type="dxa"/>
            </w:tcMar>
            <w:shd w:fill="F3F7F9"/>
          </w:tcPr>
          <w:p>
            <w:pPr>
              <w:pStyle w:val="TableText"/>
              <w:keepNext w:val="0"/>
              <w:spacing w:after="40" w:line="245" w:lineRule="auto"/>
            </w:pPr>
            <w:r>
              <w:t>Editorial approval register.</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SEO-03</w:t>
            </w:r>
          </w:p>
        </w:tc>
        <w:tc>
          <w:tcPr>
            <w:tcW w:type="dxa" w:w="3932"/>
            <w:vAlign w:val="top"/>
            <w:tcMar>
              <w:top w:w="45" w:type="dxa"/>
              <w:bottom w:w="45" w:type="dxa"/>
              <w:left w:w="95" w:type="dxa"/>
              <w:right w:w="95" w:type="dxa"/>
            </w:tcMar>
            <w:shd w:fill="FFFFFF"/>
          </w:tcPr>
          <w:p>
            <w:pPr>
              <w:pStyle w:val="TableText"/>
              <w:keepNext w:val="0"/>
              <w:spacing w:after="40" w:line="245" w:lineRule="auto"/>
            </w:pPr>
            <w:r>
              <w:t>Old URLs and essential content survive migration intentionally.</w:t>
            </w:r>
          </w:p>
        </w:tc>
        <w:tc>
          <w:tcPr>
            <w:tcW w:type="dxa" w:w="4424"/>
            <w:vAlign w:val="top"/>
            <w:tcMar>
              <w:top w:w="45" w:type="dxa"/>
              <w:bottom w:w="45" w:type="dxa"/>
              <w:left w:w="95" w:type="dxa"/>
              <w:right w:w="95" w:type="dxa"/>
            </w:tcMar>
            <w:shd w:fill="FFFFFF"/>
          </w:tcPr>
          <w:p>
            <w:pPr>
              <w:pStyle w:val="TableText"/>
              <w:keepNext w:val="0"/>
              <w:spacing w:after="40" w:line="245" w:lineRule="auto"/>
            </w:pPr>
            <w:r>
              <w:t>URL map and production redirect checks.</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ADS-01</w:t>
            </w:r>
          </w:p>
        </w:tc>
        <w:tc>
          <w:tcPr>
            <w:tcW w:type="dxa" w:w="3932"/>
            <w:vAlign w:val="top"/>
            <w:tcMar>
              <w:top w:w="45" w:type="dxa"/>
              <w:bottom w:w="45" w:type="dxa"/>
              <w:left w:w="95" w:type="dxa"/>
              <w:right w:w="95" w:type="dxa"/>
            </w:tcMar>
            <w:shd w:fill="F3F7F9"/>
          </w:tcPr>
          <w:p>
            <w:pPr>
              <w:pStyle w:val="TableText"/>
              <w:keepNext w:val="0"/>
              <w:spacing w:after="40" w:line="245" w:lineRule="auto"/>
            </w:pPr>
            <w:r>
              <w:t>Business owns accounts and approves conversion goals.</w:t>
            </w:r>
          </w:p>
        </w:tc>
        <w:tc>
          <w:tcPr>
            <w:tcW w:type="dxa" w:w="4424"/>
            <w:vAlign w:val="top"/>
            <w:tcMar>
              <w:top w:w="45" w:type="dxa"/>
              <w:bottom w:w="45" w:type="dxa"/>
              <w:left w:w="95" w:type="dxa"/>
              <w:right w:w="95" w:type="dxa"/>
            </w:tcMar>
            <w:shd w:fill="F3F7F9"/>
          </w:tcPr>
          <w:p>
            <w:pPr>
              <w:pStyle w:val="TableText"/>
              <w:keepNext w:val="0"/>
              <w:spacing w:after="40" w:line="245" w:lineRule="auto"/>
            </w:pPr>
            <w:r>
              <w:t>Account/access register and goal map.</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ADS-02</w:t>
            </w:r>
          </w:p>
        </w:tc>
        <w:tc>
          <w:tcPr>
            <w:tcW w:type="dxa" w:w="3932"/>
            <w:vAlign w:val="top"/>
            <w:tcMar>
              <w:top w:w="45" w:type="dxa"/>
              <w:bottom w:w="45" w:type="dxa"/>
              <w:left w:w="95" w:type="dxa"/>
              <w:right w:w="95" w:type="dxa"/>
            </w:tcMar>
            <w:shd w:fill="FFFFFF"/>
          </w:tcPr>
          <w:p>
            <w:pPr>
              <w:pStyle w:val="TableText"/>
              <w:keepNext w:val="0"/>
              <w:spacing w:after="40" w:line="245" w:lineRule="auto"/>
            </w:pPr>
            <w:r>
              <w:t>Google conversion source/counting/deduplication is validated.</w:t>
            </w:r>
          </w:p>
        </w:tc>
        <w:tc>
          <w:tcPr>
            <w:tcW w:type="dxa" w:w="4424"/>
            <w:vAlign w:val="top"/>
            <w:tcMar>
              <w:top w:w="45" w:type="dxa"/>
              <w:bottom w:w="45" w:type="dxa"/>
              <w:left w:w="95" w:type="dxa"/>
              <w:right w:w="95" w:type="dxa"/>
            </w:tcMar>
            <w:shd w:fill="FFFFFF"/>
          </w:tcPr>
          <w:p>
            <w:pPr>
              <w:pStyle w:val="TableText"/>
              <w:keepNext w:val="0"/>
              <w:spacing w:after="40" w:line="245" w:lineRule="auto"/>
            </w:pPr>
            <w:r>
              <w:t>Account diagnostics and test conversion report.</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ADS-03</w:t>
            </w:r>
          </w:p>
        </w:tc>
        <w:tc>
          <w:tcPr>
            <w:tcW w:type="dxa" w:w="3932"/>
            <w:vAlign w:val="top"/>
            <w:tcMar>
              <w:top w:w="45" w:type="dxa"/>
              <w:bottom w:w="45" w:type="dxa"/>
              <w:left w:w="95" w:type="dxa"/>
              <w:right w:w="95" w:type="dxa"/>
            </w:tcMar>
            <w:shd w:fill="F3F7F9"/>
          </w:tcPr>
          <w:p>
            <w:pPr>
              <w:pStyle w:val="TableText"/>
              <w:keepNext w:val="0"/>
              <w:spacing w:after="40" w:line="245" w:lineRule="auto"/>
            </w:pPr>
            <w:r>
              <w:t>Meta browser/server contract is validated against current APIs.</w:t>
            </w:r>
          </w:p>
        </w:tc>
        <w:tc>
          <w:tcPr>
            <w:tcW w:type="dxa" w:w="4424"/>
            <w:vAlign w:val="top"/>
            <w:tcMar>
              <w:top w:w="45" w:type="dxa"/>
              <w:bottom w:w="45" w:type="dxa"/>
              <w:left w:w="95" w:type="dxa"/>
              <w:right w:w="95" w:type="dxa"/>
            </w:tcMar>
            <w:shd w:fill="F3F7F9"/>
          </w:tcPr>
          <w:p>
            <w:pPr>
              <w:pStyle w:val="TableText"/>
              <w:keepNext w:val="0"/>
              <w:spacing w:after="40" w:line="245" w:lineRule="auto"/>
            </w:pPr>
            <w:r>
              <w:t>Authenticated documentation/version record and diagnostics.</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ADS-04</w:t>
            </w:r>
          </w:p>
        </w:tc>
        <w:tc>
          <w:tcPr>
            <w:tcW w:type="dxa" w:w="3932"/>
            <w:vAlign w:val="top"/>
            <w:tcMar>
              <w:top w:w="45" w:type="dxa"/>
              <w:bottom w:w="45" w:type="dxa"/>
              <w:left w:w="95" w:type="dxa"/>
              <w:right w:w="95" w:type="dxa"/>
            </w:tcMar>
            <w:shd w:fill="FFFFFF"/>
          </w:tcPr>
          <w:p>
            <w:pPr>
              <w:pStyle w:val="TableText"/>
              <w:keepNext w:val="0"/>
              <w:spacing w:after="40" w:line="245" w:lineRule="auto"/>
            </w:pPr>
            <w:r>
              <w:t>Qualified-lead/sale feedback reflects real CRM/business state.</w:t>
            </w:r>
          </w:p>
        </w:tc>
        <w:tc>
          <w:tcPr>
            <w:tcW w:type="dxa" w:w="4424"/>
            <w:vAlign w:val="top"/>
            <w:tcMar>
              <w:top w:w="45" w:type="dxa"/>
              <w:bottom w:w="45" w:type="dxa"/>
              <w:left w:w="95" w:type="dxa"/>
              <w:right w:w="95" w:type="dxa"/>
            </w:tcMar>
            <w:shd w:fill="FFFFFF"/>
          </w:tcPr>
          <w:p>
            <w:pPr>
              <w:pStyle w:val="TableText"/>
              <w:keepNext w:val="0"/>
              <w:spacing w:after="40" w:line="245" w:lineRule="auto"/>
            </w:pPr>
            <w:r>
              <w:t>Lifecycle test and reconciliation evidence.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EVT-20</w:t>
            </w:r>
          </w:p>
        </w:tc>
        <w:tc>
          <w:tcPr>
            <w:tcW w:type="dxa" w:w="3932"/>
            <w:vAlign w:val="top"/>
            <w:tcMar>
              <w:top w:w="45" w:type="dxa"/>
              <w:bottom w:w="45" w:type="dxa"/>
              <w:left w:w="95" w:type="dxa"/>
              <w:right w:w="95" w:type="dxa"/>
            </w:tcMar>
            <w:shd w:fill="F3F7F9"/>
          </w:tcPr>
          <w:p>
            <w:pPr>
              <w:pStyle w:val="TableText"/>
              <w:keepNext w:val="0"/>
              <w:spacing w:after="40" w:line="245" w:lineRule="auto"/>
            </w:pPr>
            <w:r>
              <w:t>Versioned event dictionary, SDK, validation, and field allowlists exist.</w:t>
            </w:r>
          </w:p>
        </w:tc>
        <w:tc>
          <w:tcPr>
            <w:tcW w:type="dxa" w:w="4424"/>
            <w:vAlign w:val="top"/>
            <w:tcMar>
              <w:top w:w="45" w:type="dxa"/>
              <w:bottom w:w="45" w:type="dxa"/>
              <w:left w:w="95" w:type="dxa"/>
              <w:right w:w="95" w:type="dxa"/>
            </w:tcMar>
            <w:shd w:fill="F3F7F9"/>
          </w:tcPr>
          <w:p>
            <w:pPr>
              <w:pStyle w:val="TableText"/>
              <w:keepNext w:val="0"/>
              <w:spacing w:after="40" w:line="245" w:lineRule="auto"/>
            </w:pPr>
            <w:r>
              <w:t>Contract tests and rejected-PII test payloads.</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EVT-21</w:t>
            </w:r>
          </w:p>
        </w:tc>
        <w:tc>
          <w:tcPr>
            <w:tcW w:type="dxa" w:w="3932"/>
            <w:vAlign w:val="top"/>
            <w:tcMar>
              <w:top w:w="45" w:type="dxa"/>
              <w:bottom w:w="45" w:type="dxa"/>
              <w:left w:w="95" w:type="dxa"/>
              <w:right w:w="95" w:type="dxa"/>
            </w:tcMar>
            <w:shd w:fill="FFFFFF"/>
          </w:tcPr>
          <w:p>
            <w:pPr>
              <w:pStyle w:val="TableText"/>
              <w:keepNext w:val="0"/>
              <w:spacing w:after="40" w:line="245" w:lineRule="auto"/>
            </w:pPr>
            <w:r>
              <w:t>Pricing, download, form, and page-view triggers mean what reports claim.</w:t>
            </w:r>
          </w:p>
        </w:tc>
        <w:tc>
          <w:tcPr>
            <w:tcW w:type="dxa" w:w="4424"/>
            <w:vAlign w:val="top"/>
            <w:tcMar>
              <w:top w:w="45" w:type="dxa"/>
              <w:bottom w:w="45" w:type="dxa"/>
              <w:left w:w="95" w:type="dxa"/>
              <w:right w:w="95" w:type="dxa"/>
            </w:tcMar>
            <w:shd w:fill="FFFFFF"/>
          </w:tcPr>
          <w:p>
            <w:pPr>
              <w:pStyle w:val="TableText"/>
              <w:keepNext w:val="0"/>
              <w:spacing w:after="40" w:line="245" w:lineRule="auto"/>
            </w:pPr>
            <w:r>
              <w:t>Browser tests across relevant devices.</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EVT-22</w:t>
            </w:r>
          </w:p>
        </w:tc>
        <w:tc>
          <w:tcPr>
            <w:tcW w:type="dxa" w:w="3932"/>
            <w:vAlign w:val="top"/>
            <w:tcMar>
              <w:top w:w="45" w:type="dxa"/>
              <w:bottom w:w="45" w:type="dxa"/>
              <w:left w:w="95" w:type="dxa"/>
              <w:right w:w="95" w:type="dxa"/>
            </w:tcMar>
            <w:shd w:fill="F3F7F9"/>
          </w:tcPr>
          <w:p>
            <w:pPr>
              <w:pStyle w:val="TableText"/>
              <w:keepNext w:val="0"/>
              <w:spacing w:after="40" w:line="245" w:lineRule="auto"/>
            </w:pPr>
            <w:r>
              <w:t>Business conversions originate from committed backend state.</w:t>
            </w:r>
          </w:p>
        </w:tc>
        <w:tc>
          <w:tcPr>
            <w:tcW w:type="dxa" w:w="4424"/>
            <w:vAlign w:val="top"/>
            <w:tcMar>
              <w:top w:w="45" w:type="dxa"/>
              <w:bottom w:w="45" w:type="dxa"/>
              <w:left w:w="95" w:type="dxa"/>
              <w:right w:w="95" w:type="dxa"/>
            </w:tcMar>
            <w:shd w:fill="F3F7F9"/>
          </w:tcPr>
          <w:p>
            <w:pPr>
              <w:pStyle w:val="TableText"/>
              <w:keepNext w:val="0"/>
              <w:spacing w:after="40" w:line="245" w:lineRule="auto"/>
            </w:pPr>
            <w:r>
              <w:t>Crash/retry/idempotency test.</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PRIV-01</w:t>
            </w:r>
          </w:p>
        </w:tc>
        <w:tc>
          <w:tcPr>
            <w:tcW w:type="dxa" w:w="3932"/>
            <w:vAlign w:val="top"/>
            <w:tcMar>
              <w:top w:w="45" w:type="dxa"/>
              <w:bottom w:w="45" w:type="dxa"/>
              <w:left w:w="95" w:type="dxa"/>
              <w:right w:w="95" w:type="dxa"/>
            </w:tcMar>
            <w:shd w:fill="FFFFFF"/>
          </w:tcPr>
          <w:p>
            <w:pPr>
              <w:pStyle w:val="TableText"/>
              <w:keepNext w:val="0"/>
              <w:spacing w:after="40" w:line="245" w:lineRule="auto"/>
            </w:pPr>
            <w:r>
              <w:t>Consent defaults, purpose choices, withdrawal, and queue suppression work.</w:t>
            </w:r>
          </w:p>
        </w:tc>
        <w:tc>
          <w:tcPr>
            <w:tcW w:type="dxa" w:w="4424"/>
            <w:vAlign w:val="top"/>
            <w:tcMar>
              <w:top w:w="45" w:type="dxa"/>
              <w:bottom w:w="45" w:type="dxa"/>
              <w:left w:w="95" w:type="dxa"/>
              <w:right w:w="95" w:type="dxa"/>
            </w:tcMar>
            <w:shd w:fill="FFFFFF"/>
          </w:tcPr>
          <w:p>
            <w:pPr>
              <w:pStyle w:val="TableText"/>
              <w:keepNext w:val="0"/>
              <w:spacing w:after="40" w:line="245" w:lineRule="auto"/>
            </w:pPr>
            <w:r>
              <w:t>Network/storage tests for each consent state.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PRIV-02</w:t>
            </w:r>
          </w:p>
        </w:tc>
        <w:tc>
          <w:tcPr>
            <w:tcW w:type="dxa" w:w="3932"/>
            <w:vAlign w:val="top"/>
            <w:tcMar>
              <w:top w:w="45" w:type="dxa"/>
              <w:bottom w:w="45" w:type="dxa"/>
              <w:left w:w="95" w:type="dxa"/>
              <w:right w:w="95" w:type="dxa"/>
            </w:tcMar>
            <w:shd w:fill="F3F7F9"/>
          </w:tcPr>
          <w:p>
            <w:pPr>
              <w:pStyle w:val="TableText"/>
              <w:keepNext w:val="0"/>
              <w:spacing w:after="40" w:line="245" w:lineRule="auto"/>
            </w:pPr>
            <w:r>
              <w:t>No prohibited PII enters analytics, replay, URLs, or unrestricted logs.</w:t>
            </w:r>
          </w:p>
        </w:tc>
        <w:tc>
          <w:tcPr>
            <w:tcW w:type="dxa" w:w="4424"/>
            <w:vAlign w:val="top"/>
            <w:tcMar>
              <w:top w:w="45" w:type="dxa"/>
              <w:bottom w:w="45" w:type="dxa"/>
              <w:left w:w="95" w:type="dxa"/>
              <w:right w:w="95" w:type="dxa"/>
            </w:tcMar>
            <w:shd w:fill="F3F7F9"/>
          </w:tcPr>
          <w:p>
            <w:pPr>
              <w:pStyle w:val="TableText"/>
              <w:keepNext w:val="0"/>
              <w:spacing w:after="40" w:line="245" w:lineRule="auto"/>
            </w:pPr>
            <w:r>
              <w:t>Synthetic privacy audit and payload review.</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PRIV-03</w:t>
            </w:r>
          </w:p>
        </w:tc>
        <w:tc>
          <w:tcPr>
            <w:tcW w:type="dxa" w:w="3932"/>
            <w:vAlign w:val="top"/>
            <w:tcMar>
              <w:top w:w="45" w:type="dxa"/>
              <w:bottom w:w="45" w:type="dxa"/>
              <w:left w:w="95" w:type="dxa"/>
              <w:right w:w="95" w:type="dxa"/>
            </w:tcMar>
            <w:shd w:fill="FFFFFF"/>
          </w:tcPr>
          <w:p>
            <w:pPr>
              <w:pStyle w:val="TableText"/>
              <w:keepNext w:val="0"/>
              <w:spacing w:after="40" w:line="245" w:lineRule="auto"/>
            </w:pPr>
            <w:r>
              <w:t>Retention, rights requests, processor propagation, and backup reconciliation exist.</w:t>
            </w:r>
          </w:p>
        </w:tc>
        <w:tc>
          <w:tcPr>
            <w:tcW w:type="dxa" w:w="4424"/>
            <w:vAlign w:val="top"/>
            <w:tcMar>
              <w:top w:w="45" w:type="dxa"/>
              <w:bottom w:w="45" w:type="dxa"/>
              <w:left w:w="95" w:type="dxa"/>
              <w:right w:w="95" w:type="dxa"/>
            </w:tcMar>
            <w:shd w:fill="FFFFFF"/>
          </w:tcPr>
          <w:p>
            <w:pPr>
              <w:pStyle w:val="TableText"/>
              <w:keepNext w:val="0"/>
              <w:spacing w:after="40" w:line="245" w:lineRule="auto"/>
            </w:pPr>
            <w:r>
              <w:t>Deletion/export/restore exercise.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API-01</w:t>
            </w:r>
          </w:p>
        </w:tc>
        <w:tc>
          <w:tcPr>
            <w:tcW w:type="dxa" w:w="3932"/>
            <w:vAlign w:val="top"/>
            <w:tcMar>
              <w:top w:w="45" w:type="dxa"/>
              <w:bottom w:w="45" w:type="dxa"/>
              <w:left w:w="95" w:type="dxa"/>
              <w:right w:w="95" w:type="dxa"/>
            </w:tcMar>
            <w:shd w:fill="F3F7F9"/>
          </w:tcPr>
          <w:p>
            <w:pPr>
              <w:pStyle w:val="TableText"/>
              <w:keepNext w:val="0"/>
              <w:spacing w:after="40" w:line="245" w:lineRule="auto"/>
            </w:pPr>
            <w:r>
              <w:t>Versioned REST contract and generated clients match implementation.</w:t>
            </w:r>
          </w:p>
        </w:tc>
        <w:tc>
          <w:tcPr>
            <w:tcW w:type="dxa" w:w="4424"/>
            <w:vAlign w:val="top"/>
            <w:tcMar>
              <w:top w:w="45" w:type="dxa"/>
              <w:bottom w:w="45" w:type="dxa"/>
              <w:left w:w="95" w:type="dxa"/>
              <w:right w:w="95" w:type="dxa"/>
            </w:tcMar>
            <w:shd w:fill="F3F7F9"/>
          </w:tcPr>
          <w:p>
            <w:pPr>
              <w:pStyle w:val="TableText"/>
              <w:keepNext w:val="0"/>
              <w:spacing w:after="40" w:line="245" w:lineRule="auto"/>
            </w:pPr>
            <w:r>
              <w:t>Contract validation in CI.</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API-02</w:t>
            </w:r>
          </w:p>
        </w:tc>
        <w:tc>
          <w:tcPr>
            <w:tcW w:type="dxa" w:w="3932"/>
            <w:vAlign w:val="top"/>
            <w:tcMar>
              <w:top w:w="45" w:type="dxa"/>
              <w:bottom w:w="45" w:type="dxa"/>
              <w:left w:w="95" w:type="dxa"/>
              <w:right w:w="95" w:type="dxa"/>
            </w:tcMar>
            <w:shd w:fill="FFFFFF"/>
          </w:tcPr>
          <w:p>
            <w:pPr>
              <w:pStyle w:val="TableText"/>
              <w:keepNext w:val="0"/>
              <w:spacing w:after="40" w:line="245" w:lineRule="auto"/>
            </w:pPr>
            <w:r>
              <w:t>Optional GraphQL/SOAP have the same domain rules and access protection.</w:t>
            </w:r>
          </w:p>
        </w:tc>
        <w:tc>
          <w:tcPr>
            <w:tcW w:type="dxa" w:w="4424"/>
            <w:vAlign w:val="top"/>
            <w:tcMar>
              <w:top w:w="45" w:type="dxa"/>
              <w:bottom w:w="45" w:type="dxa"/>
              <w:left w:w="95" w:type="dxa"/>
              <w:right w:w="95" w:type="dxa"/>
            </w:tcMar>
            <w:shd w:fill="FFFFFF"/>
          </w:tcPr>
          <w:p>
            <w:pPr>
              <w:pStyle w:val="TableText"/>
              <w:keepNext w:val="0"/>
              <w:spacing w:after="40" w:line="245" w:lineRule="auto"/>
            </w:pPr>
            <w:r>
              <w:t>Module-specific authorization and schema tests.</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DB-01</w:t>
            </w:r>
          </w:p>
        </w:tc>
        <w:tc>
          <w:tcPr>
            <w:tcW w:type="dxa" w:w="3932"/>
            <w:vAlign w:val="top"/>
            <w:tcMar>
              <w:top w:w="45" w:type="dxa"/>
              <w:bottom w:w="45" w:type="dxa"/>
              <w:left w:w="95" w:type="dxa"/>
              <w:right w:w="95" w:type="dxa"/>
            </w:tcMar>
            <w:shd w:fill="F3F7F9"/>
          </w:tcPr>
          <w:p>
            <w:pPr>
              <w:pStyle w:val="TableText"/>
              <w:keepNext w:val="0"/>
              <w:spacing w:after="40" w:line="245" w:lineRule="auto"/>
            </w:pPr>
            <w:r>
              <w:t>Keys, scoped uniqueness, constraints, migrations, and transactions protect data.</w:t>
            </w:r>
          </w:p>
        </w:tc>
        <w:tc>
          <w:tcPr>
            <w:tcW w:type="dxa" w:w="4424"/>
            <w:vAlign w:val="top"/>
            <w:tcMar>
              <w:top w:w="45" w:type="dxa"/>
              <w:bottom w:w="45" w:type="dxa"/>
              <w:left w:w="95" w:type="dxa"/>
              <w:right w:w="95" w:type="dxa"/>
            </w:tcMar>
            <w:shd w:fill="F3F7F9"/>
          </w:tcPr>
          <w:p>
            <w:pPr>
              <w:pStyle w:val="TableText"/>
              <w:keepNext w:val="0"/>
              <w:spacing w:after="40" w:line="245" w:lineRule="auto"/>
            </w:pPr>
            <w:r>
              <w:t>Real database integration tests.</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DB-02</w:t>
            </w:r>
          </w:p>
        </w:tc>
        <w:tc>
          <w:tcPr>
            <w:tcW w:type="dxa" w:w="3932"/>
            <w:vAlign w:val="top"/>
            <w:tcMar>
              <w:top w:w="45" w:type="dxa"/>
              <w:bottom w:w="45" w:type="dxa"/>
              <w:left w:w="95" w:type="dxa"/>
              <w:right w:w="95" w:type="dxa"/>
            </w:tcMar>
            <w:shd w:fill="FFFFFF"/>
          </w:tcPr>
          <w:p>
            <w:pPr>
              <w:pStyle w:val="TableText"/>
              <w:keepNext w:val="0"/>
              <w:spacing w:after="40" w:line="245" w:lineRule="auto"/>
            </w:pPr>
            <w:r>
              <w:t>Outbox and destination ledger survive retries and outages.</w:t>
            </w:r>
          </w:p>
        </w:tc>
        <w:tc>
          <w:tcPr>
            <w:tcW w:type="dxa" w:w="4424"/>
            <w:vAlign w:val="top"/>
            <w:tcMar>
              <w:top w:w="45" w:type="dxa"/>
              <w:bottom w:w="45" w:type="dxa"/>
              <w:left w:w="95" w:type="dxa"/>
              <w:right w:w="95" w:type="dxa"/>
            </w:tcMar>
            <w:shd w:fill="FFFFFF"/>
          </w:tcPr>
          <w:p>
            <w:pPr>
              <w:pStyle w:val="TableText"/>
              <w:keepNext w:val="0"/>
              <w:spacing w:after="40" w:line="245" w:lineRule="auto"/>
            </w:pPr>
            <w:r>
              <w:t>Worker restart, duplicate, and replay tests.</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SEC-01</w:t>
            </w:r>
          </w:p>
        </w:tc>
        <w:tc>
          <w:tcPr>
            <w:tcW w:type="dxa" w:w="3932"/>
            <w:vAlign w:val="top"/>
            <w:tcMar>
              <w:top w:w="45" w:type="dxa"/>
              <w:bottom w:w="45" w:type="dxa"/>
              <w:left w:w="95" w:type="dxa"/>
              <w:right w:w="95" w:type="dxa"/>
            </w:tcMar>
            <w:shd w:fill="F3F7F9"/>
          </w:tcPr>
          <w:p>
            <w:pPr>
              <w:pStyle w:val="TableText"/>
              <w:keepNext w:val="0"/>
              <w:spacing w:after="40" w:line="245" w:lineRule="auto"/>
            </w:pPr>
            <w:r>
              <w:t>Privileged MFA, secure sessions, scoped roles, and recovery are complete.</w:t>
            </w:r>
          </w:p>
        </w:tc>
        <w:tc>
          <w:tcPr>
            <w:tcW w:type="dxa" w:w="4424"/>
            <w:vAlign w:val="top"/>
            <w:tcMar>
              <w:top w:w="45" w:type="dxa"/>
              <w:bottom w:w="45" w:type="dxa"/>
              <w:left w:w="95" w:type="dxa"/>
              <w:right w:w="95" w:type="dxa"/>
            </w:tcMar>
            <w:shd w:fill="F3F7F9"/>
          </w:tcPr>
          <w:p>
            <w:pPr>
              <w:pStyle w:val="TableText"/>
              <w:keepNext w:val="0"/>
              <w:spacing w:after="40" w:line="245" w:lineRule="auto"/>
            </w:pPr>
            <w:r>
              <w:t>Authentication and access-control assessment.</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SEC-02</w:t>
            </w:r>
          </w:p>
        </w:tc>
        <w:tc>
          <w:tcPr>
            <w:tcW w:type="dxa" w:w="3932"/>
            <w:vAlign w:val="top"/>
            <w:tcMar>
              <w:top w:w="45" w:type="dxa"/>
              <w:bottom w:w="45" w:type="dxa"/>
              <w:left w:w="95" w:type="dxa"/>
              <w:right w:w="95" w:type="dxa"/>
            </w:tcMar>
            <w:shd w:fill="FFFFFF"/>
          </w:tcPr>
          <w:p>
            <w:pPr>
              <w:pStyle w:val="TableText"/>
              <w:keepNext w:val="0"/>
              <w:spacing w:after="40" w:line="245" w:lineRule="auto"/>
            </w:pPr>
            <w:r>
              <w:t>Uploads, content, requests, secrets, and dependencies are hardened.</w:t>
            </w:r>
          </w:p>
        </w:tc>
        <w:tc>
          <w:tcPr>
            <w:tcW w:type="dxa" w:w="4424"/>
            <w:vAlign w:val="top"/>
            <w:tcMar>
              <w:top w:w="45" w:type="dxa"/>
              <w:bottom w:w="45" w:type="dxa"/>
              <w:left w:w="95" w:type="dxa"/>
              <w:right w:w="95" w:type="dxa"/>
            </w:tcMar>
            <w:shd w:fill="FFFFFF"/>
          </w:tcPr>
          <w:p>
            <w:pPr>
              <w:pStyle w:val="TableText"/>
              <w:keepNext w:val="0"/>
              <w:spacing w:after="40" w:line="245" w:lineRule="auto"/>
            </w:pPr>
            <w:r>
              <w:t>Security review and vulnerability triage.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OPS-01</w:t>
            </w:r>
          </w:p>
        </w:tc>
        <w:tc>
          <w:tcPr>
            <w:tcW w:type="dxa" w:w="3932"/>
            <w:vAlign w:val="top"/>
            <w:tcMar>
              <w:top w:w="45" w:type="dxa"/>
              <w:bottom w:w="45" w:type="dxa"/>
              <w:left w:w="95" w:type="dxa"/>
              <w:right w:w="95" w:type="dxa"/>
            </w:tcMar>
            <w:shd w:fill="F3F7F9"/>
          </w:tcPr>
          <w:p>
            <w:pPr>
              <w:pStyle w:val="TableText"/>
              <w:keepNext w:val="0"/>
              <w:spacing w:after="40" w:line="245" w:lineRule="auto"/>
            </w:pPr>
            <w:r>
              <w:t>Native/Compose profile runs from clean documented setup.</w:t>
            </w:r>
          </w:p>
        </w:tc>
        <w:tc>
          <w:tcPr>
            <w:tcW w:type="dxa" w:w="4424"/>
            <w:vAlign w:val="top"/>
            <w:tcMar>
              <w:top w:w="45" w:type="dxa"/>
              <w:bottom w:w="45" w:type="dxa"/>
              <w:left w:w="95" w:type="dxa"/>
              <w:right w:w="95" w:type="dxa"/>
            </w:tcMar>
            <w:shd w:fill="F3F7F9"/>
          </w:tcPr>
          <w:p>
            <w:pPr>
              <w:pStyle w:val="TableText"/>
              <w:keepNext w:val="0"/>
              <w:spacing w:after="40" w:line="245" w:lineRule="auto"/>
            </w:pPr>
            <w:r>
              <w:t>Second-developer bootstrap test.</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OPS-02</w:t>
            </w:r>
          </w:p>
        </w:tc>
        <w:tc>
          <w:tcPr>
            <w:tcW w:type="dxa" w:w="3932"/>
            <w:vAlign w:val="top"/>
            <w:tcMar>
              <w:top w:w="45" w:type="dxa"/>
              <w:bottom w:w="45" w:type="dxa"/>
              <w:left w:w="95" w:type="dxa"/>
              <w:right w:w="95" w:type="dxa"/>
            </w:tcMar>
            <w:shd w:fill="FFFFFF"/>
          </w:tcPr>
          <w:p>
            <w:pPr>
              <w:pStyle w:val="TableText"/>
              <w:keepNext w:val="0"/>
              <w:spacing w:after="40" w:line="245" w:lineRule="auto"/>
            </w:pPr>
            <w:r>
              <w:t>Deployment, rollback, observability, and incident alerts work.</w:t>
            </w:r>
          </w:p>
        </w:tc>
        <w:tc>
          <w:tcPr>
            <w:tcW w:type="dxa" w:w="4424"/>
            <w:vAlign w:val="top"/>
            <w:tcMar>
              <w:top w:w="45" w:type="dxa"/>
              <w:bottom w:w="45" w:type="dxa"/>
              <w:left w:w="95" w:type="dxa"/>
              <w:right w:w="95" w:type="dxa"/>
            </w:tcMar>
            <w:shd w:fill="FFFFFF"/>
          </w:tcPr>
          <w:p>
            <w:pPr>
              <w:pStyle w:val="TableText"/>
              <w:keepNext w:val="0"/>
              <w:spacing w:after="40" w:line="245" w:lineRule="auto"/>
            </w:pPr>
            <w:r>
              <w:t>Staging release and alert exercise.</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OPS-03</w:t>
            </w:r>
          </w:p>
        </w:tc>
        <w:tc>
          <w:tcPr>
            <w:tcW w:type="dxa" w:w="3932"/>
            <w:vAlign w:val="top"/>
            <w:tcMar>
              <w:top w:w="45" w:type="dxa"/>
              <w:bottom w:w="45" w:type="dxa"/>
              <w:left w:w="95" w:type="dxa"/>
              <w:right w:w="95" w:type="dxa"/>
            </w:tcMar>
            <w:shd w:fill="F3F7F9"/>
          </w:tcPr>
          <w:p>
            <w:pPr>
              <w:pStyle w:val="TableText"/>
              <w:keepNext w:val="0"/>
              <w:spacing w:after="40" w:line="245" w:lineRule="auto"/>
            </w:pPr>
            <w:r>
              <w:t>Backup restoration meets the approved recovery objectives.</w:t>
            </w:r>
          </w:p>
        </w:tc>
        <w:tc>
          <w:tcPr>
            <w:tcW w:type="dxa" w:w="4424"/>
            <w:vAlign w:val="top"/>
            <w:tcMar>
              <w:top w:w="45" w:type="dxa"/>
              <w:bottom w:w="45" w:type="dxa"/>
              <w:left w:w="95" w:type="dxa"/>
              <w:right w:w="95" w:type="dxa"/>
            </w:tcMar>
            <w:shd w:fill="F3F7F9"/>
          </w:tcPr>
          <w:p>
            <w:pPr>
              <w:pStyle w:val="TableText"/>
              <w:keepNext w:val="0"/>
              <w:spacing w:after="40" w:line="245" w:lineRule="auto"/>
            </w:pPr>
            <w:r>
              <w:t>Measured restore report.</w:t>
            </w:r>
          </w:p>
        </w:tc>
      </w:tr>
      <w:tr>
        <w:trPr>
          <w:cantSplit/>
        </w:trPr>
        <w:tc>
          <w:tcPr>
            <w:tcW w:type="dxa" w:w="1475"/>
            <w:vAlign w:val="top"/>
            <w:tcMar>
              <w:top w:w="45" w:type="dxa"/>
              <w:bottom w:w="45" w:type="dxa"/>
              <w:left w:w="95" w:type="dxa"/>
              <w:right w:w="95" w:type="dxa"/>
            </w:tcMar>
            <w:shd w:fill="FFFFFF"/>
          </w:tcPr>
          <w:p>
            <w:pPr>
              <w:pStyle w:val="TableText"/>
              <w:keepNext w:val="0"/>
              <w:spacing w:after="40" w:line="245" w:lineRule="auto"/>
            </w:pPr>
            <w:r>
              <w:rPr>
                <w:b/>
                <w:color w:val="163349"/>
              </w:rPr>
              <w:t>OPS-04</w:t>
            </w:r>
          </w:p>
        </w:tc>
        <w:tc>
          <w:tcPr>
            <w:tcW w:type="dxa" w:w="3932"/>
            <w:vAlign w:val="top"/>
            <w:tcMar>
              <w:top w:w="45" w:type="dxa"/>
              <w:bottom w:w="45" w:type="dxa"/>
              <w:left w:w="95" w:type="dxa"/>
              <w:right w:w="95" w:type="dxa"/>
            </w:tcMar>
            <w:shd w:fill="FFFFFF"/>
          </w:tcPr>
          <w:p>
            <w:pPr>
              <w:pStyle w:val="TableText"/>
              <w:keepNext w:val="0"/>
              <w:spacing w:after="40" w:line="245" w:lineRule="auto"/>
            </w:pPr>
            <w:r>
              <w:t>Accounts, source, data export, and provider exit paths belong to the business.</w:t>
            </w:r>
          </w:p>
        </w:tc>
        <w:tc>
          <w:tcPr>
            <w:tcW w:type="dxa" w:w="4424"/>
            <w:vAlign w:val="top"/>
            <w:tcMar>
              <w:top w:w="45" w:type="dxa"/>
              <w:bottom w:w="45" w:type="dxa"/>
              <w:left w:w="95" w:type="dxa"/>
              <w:right w:w="95" w:type="dxa"/>
            </w:tcMar>
            <w:shd w:fill="FFFFFF"/>
          </w:tcPr>
          <w:p>
            <w:pPr>
              <w:pStyle w:val="TableText"/>
              <w:keepNext w:val="0"/>
              <w:spacing w:after="40" w:line="245" w:lineRule="auto"/>
            </w:pPr>
            <w:r>
              <w:t>Handover and portability verification.</w:t>
            </w:r>
          </w:p>
        </w:tc>
      </w:tr>
      <w:tr>
        <w:trPr>
          <w:cantSplit/>
        </w:trPr>
        <w:tc>
          <w:tcPr>
            <w:tcW w:type="dxa" w:w="1475"/>
            <w:vAlign w:val="top"/>
            <w:tcMar>
              <w:top w:w="45" w:type="dxa"/>
              <w:bottom w:w="45" w:type="dxa"/>
              <w:left w:w="95" w:type="dxa"/>
              <w:right w:w="95" w:type="dxa"/>
            </w:tcMar>
            <w:shd w:fill="F3F7F9"/>
          </w:tcPr>
          <w:p>
            <w:pPr>
              <w:pStyle w:val="TableText"/>
              <w:keepNext w:val="0"/>
              <w:spacing w:after="40" w:line="245" w:lineRule="auto"/>
            </w:pPr>
            <w:r>
              <w:rPr>
                <w:b/>
                <w:color w:val="163349"/>
              </w:rPr>
              <w:t>QA-01</w:t>
            </w:r>
          </w:p>
        </w:tc>
        <w:tc>
          <w:tcPr>
            <w:tcW w:type="dxa" w:w="3932"/>
            <w:vAlign w:val="top"/>
            <w:tcMar>
              <w:top w:w="45" w:type="dxa"/>
              <w:bottom w:w="45" w:type="dxa"/>
              <w:left w:w="95" w:type="dxa"/>
              <w:right w:w="95" w:type="dxa"/>
            </w:tcMar>
            <w:shd w:fill="F3F7F9"/>
          </w:tcPr>
          <w:p>
            <w:pPr>
              <w:pStyle w:val="TableText"/>
              <w:keepNext w:val="0"/>
              <w:spacing w:after="40" w:line="245" w:lineRule="auto"/>
            </w:pPr>
            <w:r>
              <w:t>All critical/selected workflows have evidence and honest status.</w:t>
            </w:r>
          </w:p>
        </w:tc>
        <w:tc>
          <w:tcPr>
            <w:tcW w:type="dxa" w:w="4424"/>
            <w:vAlign w:val="top"/>
            <w:tcMar>
              <w:top w:w="45" w:type="dxa"/>
              <w:bottom w:w="45" w:type="dxa"/>
              <w:left w:w="95" w:type="dxa"/>
              <w:right w:w="95" w:type="dxa"/>
            </w:tcMar>
            <w:shd w:fill="F3F7F9"/>
          </w:tcPr>
          <w:p>
            <w:pPr>
              <w:pStyle w:val="TableText"/>
              <w:keepNext w:val="0"/>
              <w:spacing w:after="40" w:line="245" w:lineRule="auto"/>
            </w:pPr>
            <w:r>
              <w:t>Signed release register with exceptions.</w:t>
            </w:r>
          </w:p>
        </w:tc>
      </w:tr>
    </w:tbl>
    <w:p>
      <w:pPr>
        <w:spacing w:after="80" w:line="250" w:lineRule="auto"/>
      </w:pPr>
    </w:p>
    <w:p>
      <w:pPr>
        <w:pStyle w:val="Heading2"/>
        <w:spacing w:before="200" w:after="100"/>
      </w:pPr>
      <w:r>
        <w:t>B.2 Optional event extensions</w:t>
      </w:r>
    </w:p>
    <w:p>
      <w:pPr>
        <w:spacing w:after="80" w:line="250" w:lineRule="auto"/>
      </w:pPr>
      <w:r>
        <w:t>For commerce, add the selected catalogue/cart/checkout events such as view_item, add_to_cart, remove_from_cart, begin_checkout, and purchase/refund according to current destination support. For bookings, define availability_search, booking_start, booking_confirmed, booking_rescheduled, and booking_cancelled. For subscriptions, distinguish trial, activation, renewal, failed payment, cancellation, and entitlement changes. Do not map every lifecycle event to a primary ad goal.</w:t>
      </w:r>
    </w:p>
    <w:p>
      <w:pPr>
        <w:spacing w:after="80" w:line="250" w:lineRule="auto"/>
      </w:pPr>
      <w:r>
        <w:t>Use server authority for monetary outcomes, confirmed reservations, and entitlement state. Browser interactions remain intent/experience signals. Every extension follows the same purpose, schema, event identity, deduplication, retention, and test requirements as the core catalogue.</w:t>
      </w:r>
    </w:p>
    <w:p>
      <w:pPr>
        <w:pStyle w:val="Heading2"/>
        <w:spacing w:before="200" w:after="100"/>
      </w:pPr>
      <w:r>
        <w:t>B.3 Sign-off record</w:t>
      </w:r>
    </w:p>
    <w:p>
      <w:pPr>
        <w:spacing w:after="80" w:line="250" w:lineRule="auto"/>
      </w:pPr>
      <w:r>
        <w:t>Project/version: __________. Release date: __________. Business owner: __________. Technical owner: __________. Marketing owner: __________. Privacy/security reviewer: __________. Operations owner: __________.</w:t>
      </w:r>
    </w:p>
    <w:p>
      <w:pPr>
        <w:spacing w:after="80" w:line="250" w:lineRule="auto"/>
      </w:pPr>
      <w:r>
        <w:t>Critical blockers: __________. Accepted exceptions with expiry and owner: __________. Restore test reference: __________. Owner training evidence: __________. Production smoke test: __________. Decision: approve / conditional approval with stated constraints / reject.</w:t>
      </w:r>
    </w:p>
    <w:p>
      <w:pPr>
        <w:pStyle w:val="Heading3"/>
        <w:spacing w:after="80" w:line="250" w:lineRule="auto"/>
      </w:pPr>
      <w:r>
        <w:t>Version 1.2 evidence extension</w:t>
      </w:r>
    </w:p>
    <w:p>
      <w:pPr>
        <w:spacing w:after="80" w:line="250" w:lineRule="auto"/>
      </w:pPr>
      <w:r>
        <w:t>Execute Appendix I in addition to the inherited core and v1.1 test registers. Map the 90 capability entries in Appendix H to site-specific scope and implemented evidence. No test or provider capability is marked Passed by the preparation of this specification.</w:t>
      </w:r>
    </w:p>
    <w:p>
      <w:pPr>
        <w:pStyle w:val="Heading1"/>
        <w:pageBreakBefore/>
        <w:spacing w:before="400"/>
        <w:pBdr>
          <w:bottom w:val="single" w:sz="8" w:color="087F83" w:space="8"/>
        </w:pBdr>
      </w:pPr>
      <w:bookmarkStart w:id="38" w:name="chapter_36"/>
      <w:bookmarkStart w:id="327" w:name="v12_appC"/>
      <w:r>
        <w:t>Appendix C | Data relationships and implementation contracts</w:t>
      </w:r>
      <w:bookmarkEnd w:id="38"/>
      <w:bookmarkEnd w:id="327"/>
      <w:bookmarkStart w:id="631" w:name="tocfinal_app_C"/>
      <w:bookmarkEnd w:id="631"/>
    </w:p>
    <w:p>
      <w:pPr>
        <w:pStyle w:val="Heading2"/>
      </w:pPr>
      <w:r>
        <w:t>C.1 Relationship map</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Relationship</w:t>
            </w:r>
          </w:p>
        </w:tc>
        <w:tc>
          <w:tcPr>
            <w:tcW w:type="dxa" w:w="7029"/>
            <w:vAlign w:val="top"/>
            <w:tcMar>
              <w:top w:w="85" w:type="dxa"/>
              <w:bottom w:w="85" w:type="dxa"/>
              <w:left w:w="95" w:type="dxa"/>
              <w:right w:w="95" w:type="dxa"/>
            </w:tcMar>
            <w:shd w:fill="163349"/>
          </w:tcPr>
          <w:p>
            <w:pPr>
              <w:pStyle w:val="TableText"/>
              <w:keepNext/>
              <w:spacing w:after="20"/>
            </w:pPr>
            <w:r>
              <w:rPr>
                <w:b/>
                <w:color w:val="FFFFFF"/>
              </w:rPr>
              <w:t>Integrity rule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Site → pages → revisions → block instances</w:t>
            </w:r>
          </w:p>
        </w:tc>
        <w:tc>
          <w:tcPr>
            <w:tcW w:type="dxa" w:w="7029"/>
            <w:vAlign w:val="top"/>
            <w:tcMar>
              <w:top w:w="85" w:type="dxa"/>
              <w:bottom w:w="85" w:type="dxa"/>
              <w:left w:w="95" w:type="dxa"/>
              <w:right w:w="95" w:type="dxa"/>
            </w:tcMar>
            <w:shd w:fill="FFFFFF"/>
          </w:tcPr>
          <w:p>
            <w:pPr>
              <w:pStyle w:val="TableText"/>
              <w:keepNext w:val="0"/>
              <w:spacing w:after="20"/>
            </w:pPr>
            <w:r>
              <w:t>Every child belongs to the same scoped site; live revision belongs to its page.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Post → author/reviewer → topics → related pages</w:t>
            </w:r>
          </w:p>
        </w:tc>
        <w:tc>
          <w:tcPr>
            <w:tcW w:type="dxa" w:w="7029"/>
            <w:vAlign w:val="top"/>
            <w:tcMar>
              <w:top w:w="85" w:type="dxa"/>
              <w:bottom w:w="85" w:type="dxa"/>
              <w:left w:w="95" w:type="dxa"/>
              <w:right w:w="95" w:type="dxa"/>
            </w:tcMar>
            <w:shd w:fill="F3F7F9"/>
          </w:tcPr>
          <w:p>
            <w:pPr>
              <w:pStyle w:val="TableText"/>
              <w:keepNext w:val="0"/>
              <w:spacing w:after="20"/>
            </w:pPr>
            <w:r>
              <w:t>References are valid and publishable; public queries do not reveal drafts.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Asset → derivatives → content usages</w:t>
            </w:r>
          </w:p>
        </w:tc>
        <w:tc>
          <w:tcPr>
            <w:tcW w:type="dxa" w:w="7029"/>
            <w:vAlign w:val="top"/>
            <w:tcMar>
              <w:top w:w="85" w:type="dxa"/>
              <w:bottom w:w="85" w:type="dxa"/>
              <w:left w:w="95" w:type="dxa"/>
              <w:right w:w="95" w:type="dxa"/>
            </w:tcMar>
            <w:shd w:fill="FFFFFF"/>
          </w:tcPr>
          <w:p>
            <w:pPr>
              <w:pStyle w:val="TableText"/>
              <w:keepNext w:val="0"/>
              <w:spacing w:after="20"/>
            </w:pPr>
            <w:r>
              <w:t>Access classification follows the original; in-use deletion is controlled.</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Form → form revision → submission → lead</w:t>
            </w:r>
          </w:p>
        </w:tc>
        <w:tc>
          <w:tcPr>
            <w:tcW w:type="dxa" w:w="7029"/>
            <w:vAlign w:val="top"/>
            <w:tcMar>
              <w:top w:w="85" w:type="dxa"/>
              <w:bottom w:w="85" w:type="dxa"/>
              <w:left w:w="95" w:type="dxa"/>
              <w:right w:w="95" w:type="dxa"/>
            </w:tcMar>
            <w:shd w:fill="F3F7F9"/>
          </w:tcPr>
          <w:p>
            <w:pPr>
              <w:pStyle w:val="TableText"/>
              <w:keepNext w:val="0"/>
              <w:spacing w:after="20"/>
            </w:pPr>
            <w:r>
              <w:t>The exact submitted schema remains available; lead PII is protected.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Lead → activities → lifecycle events</w:t>
            </w:r>
          </w:p>
        </w:tc>
        <w:tc>
          <w:tcPr>
            <w:tcW w:type="dxa" w:w="7029"/>
            <w:vAlign w:val="top"/>
            <w:tcMar>
              <w:top w:w="85" w:type="dxa"/>
              <w:bottom w:w="85" w:type="dxa"/>
              <w:left w:w="95" w:type="dxa"/>
              <w:right w:w="95" w:type="dxa"/>
            </w:tcMar>
            <w:shd w:fill="FFFFFF"/>
          </w:tcPr>
          <w:p>
            <w:pPr>
              <w:pStyle w:val="TableText"/>
              <w:keepNext w:val="0"/>
              <w:spacing w:after="20"/>
            </w:pPr>
            <w:r>
              <w:t>Actual stage transitions create distinct audited events; note edits do not repeat conversions.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Business transaction → outbox → destination deliveries</w:t>
            </w:r>
          </w:p>
        </w:tc>
        <w:tc>
          <w:tcPr>
            <w:tcW w:type="dxa" w:w="7029"/>
            <w:vAlign w:val="top"/>
            <w:tcMar>
              <w:top w:w="85" w:type="dxa"/>
              <w:bottom w:w="85" w:type="dxa"/>
              <w:left w:w="95" w:type="dxa"/>
              <w:right w:w="95" w:type="dxa"/>
            </w:tcMar>
            <w:shd w:fill="F3F7F9"/>
          </w:tcPr>
          <w:p>
            <w:pPr>
              <w:pStyle w:val="TableText"/>
              <w:keepNext w:val="0"/>
              <w:spacing w:after="20"/>
            </w:pPr>
            <w:r>
              <w:t>One committed fact can fan out; each destination has its own eligibility and delivery state.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Consent/policy → eligible identity/touch → conversion mapping</w:t>
            </w:r>
          </w:p>
        </w:tc>
        <w:tc>
          <w:tcPr>
            <w:tcW w:type="dxa" w:w="7029"/>
            <w:vAlign w:val="top"/>
            <w:tcMar>
              <w:top w:w="85" w:type="dxa"/>
              <w:bottom w:w="85" w:type="dxa"/>
              <w:left w:w="95" w:type="dxa"/>
              <w:right w:w="95" w:type="dxa"/>
            </w:tcMar>
            <w:shd w:fill="FFFFFF"/>
          </w:tcPr>
          <w:p>
            <w:pPr>
              <w:pStyle w:val="TableText"/>
              <w:keepNext w:val="0"/>
              <w:spacing w:after="20"/>
            </w:pPr>
            <w:r>
              <w:t>Purpose and evidence remain traceable; unknown or withdrawn linkage is not fabricated.</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Order → lines → payments/refunds → entitlements</w:t>
            </w:r>
          </w:p>
        </w:tc>
        <w:tc>
          <w:tcPr>
            <w:tcW w:type="dxa" w:w="7029"/>
            <w:vAlign w:val="top"/>
            <w:tcMar>
              <w:top w:w="85" w:type="dxa"/>
              <w:bottom w:w="85" w:type="dxa"/>
              <w:left w:w="95" w:type="dxa"/>
              <w:right w:w="95" w:type="dxa"/>
            </w:tcMar>
            <w:shd w:fill="F3F7F9"/>
          </w:tcPr>
          <w:p>
            <w:pPr>
              <w:pStyle w:val="TableText"/>
              <w:keepNext w:val="0"/>
              <w:spacing w:after="20"/>
            </w:pPr>
            <w:r>
              <w:t>Historical money snapshots remain immutable; verified adjustments change current entitlement under policy.</w:t>
            </w:r>
          </w:p>
        </w:tc>
      </w:tr>
    </w:tbl>
    <w:p>
      <w:pPr>
        <w:spacing w:after="0"/>
      </w:pPr>
    </w:p>
    <w:p>
      <w:pPr>
        <w:pStyle w:val="Heading2"/>
      </w:pPr>
      <w:r>
        <w:t>C.2 Example outbox SQL sketch</w:t>
      </w:r>
    </w:p>
    <w:p>
      <w:r>
        <w:t>This deliberately limited example illustrates integrity requirements. It is not a complete production migration. Real implementation must add project-specific access rules, schema validation, retention, foreign keys, encryption decisions, worker leasing, and migration tests. Event payloads contain safe references, not unrestricted copies of contact records.</w:t>
      </w:r>
    </w:p>
    <w:p>
      <w:pPr>
        <w:pStyle w:val="CodeBlock"/>
        <w:keepNext/>
        <w:shd w:fill="F0F4F6"/>
      </w:pPr>
      <w:r>
        <w:t>CREATE TABLE outbox_events (</w:t>
      </w:r>
    </w:p>
    <w:p>
      <w:pPr>
        <w:pStyle w:val="CodeBlock"/>
        <w:keepNext/>
        <w:shd w:fill="F0F4F6"/>
      </w:pPr>
      <w:r>
        <w:t xml:space="preserve">  id uuid PRIMARY KEY,</w:t>
      </w:r>
    </w:p>
    <w:p>
      <w:pPr>
        <w:pStyle w:val="CodeBlock"/>
        <w:keepNext/>
        <w:shd w:fill="F0F4F6"/>
      </w:pPr>
      <w:r>
        <w:t xml:space="preserve">  site_id uuid NOT NULL,</w:t>
      </w:r>
    </w:p>
    <w:p>
      <w:pPr>
        <w:pStyle w:val="CodeBlock"/>
        <w:keepNext/>
        <w:shd w:fill="F0F4F6"/>
      </w:pPr>
      <w:r>
        <w:t xml:space="preserve">  business_event_key text NOT NULL,</w:t>
      </w:r>
    </w:p>
    <w:p>
      <w:pPr>
        <w:pStyle w:val="CodeBlock"/>
        <w:keepNext/>
        <w:shd w:fill="F0F4F6"/>
      </w:pPr>
      <w:r>
        <w:t xml:space="preserve">  event_name text NOT NULL,</w:t>
      </w:r>
    </w:p>
    <w:p>
      <w:pPr>
        <w:pStyle w:val="CodeBlock"/>
        <w:keepNext/>
        <w:shd w:fill="F0F4F6"/>
      </w:pPr>
      <w:r>
        <w:t xml:space="preserve">  schema_version integer NOT NULL CHECK (schema_version &gt; 0),</w:t>
      </w:r>
    </w:p>
    <w:p>
      <w:pPr>
        <w:pStyle w:val="CodeBlock"/>
        <w:keepNext/>
        <w:shd w:fill="F0F4F6"/>
      </w:pPr>
      <w:r>
        <w:t xml:space="preserve">  occurred_at timestamptz NOT NULL,</w:t>
      </w:r>
    </w:p>
    <w:p>
      <w:pPr>
        <w:pStyle w:val="CodeBlock"/>
        <w:keepNext/>
        <w:shd w:fill="F0F4F6"/>
      </w:pPr>
      <w:r>
        <w:t xml:space="preserve">  payload jsonb NOT NULL,</w:t>
      </w:r>
    </w:p>
    <w:p>
      <w:pPr>
        <w:pStyle w:val="CodeBlock"/>
        <w:keepNext/>
        <w:shd w:fill="F0F4F6"/>
      </w:pPr>
      <w:r>
        <w:t xml:space="preserve">  created_at timestamptz NOT NULL DEFAULT now(),</w:t>
      </w:r>
    </w:p>
    <w:p>
      <w:pPr>
        <w:pStyle w:val="CodeBlock"/>
        <w:keepNext/>
        <w:shd w:fill="F0F4F6"/>
      </w:pPr>
      <w:r>
        <w:t xml:space="preserve">  UNIQUE (site_id, business_event_key)</w:t>
      </w:r>
    </w:p>
    <w:p>
      <w:pPr>
        <w:pStyle w:val="CodeBlock"/>
        <w:keepNext/>
        <w:shd w:fill="F0F4F6"/>
      </w:pPr>
      <w:r>
        <w:t>);</w:t>
      </w:r>
    </w:p>
    <w:p>
      <w:pPr>
        <w:pStyle w:val="CodeBlock"/>
        <w:keepNext/>
        <w:shd w:fill="F0F4F6"/>
      </w:pPr>
      <w:r>
        <w:t xml:space="preserve"> </w:t>
      </w:r>
    </w:p>
    <w:p>
      <w:pPr>
        <w:pStyle w:val="CodeBlock"/>
        <w:keepNext/>
        <w:shd w:fill="F0F4F6"/>
      </w:pPr>
      <w:r>
        <w:t>CREATE TABLE destination_deliveries (</w:t>
      </w:r>
    </w:p>
    <w:p>
      <w:pPr>
        <w:pStyle w:val="CodeBlock"/>
        <w:keepNext/>
        <w:shd w:fill="F0F4F6"/>
      </w:pPr>
      <w:r>
        <w:t xml:space="preserve">  id uuid PRIMARY KEY,</w:t>
      </w:r>
    </w:p>
    <w:p>
      <w:pPr>
        <w:pStyle w:val="CodeBlock"/>
        <w:keepNext/>
        <w:shd w:fill="F0F4F6"/>
      </w:pPr>
      <w:r>
        <w:t xml:space="preserve">  event_id uuid NOT NULL REFERENCES outbox_events(id),</w:t>
      </w:r>
    </w:p>
    <w:p>
      <w:pPr>
        <w:pStyle w:val="CodeBlock"/>
        <w:keepNext/>
        <w:shd w:fill="F0F4F6"/>
      </w:pPr>
      <w:r>
        <w:t xml:space="preserve">  destination_config_id uuid NOT NULL,</w:t>
      </w:r>
    </w:p>
    <w:p>
      <w:pPr>
        <w:pStyle w:val="CodeBlock"/>
        <w:keepNext/>
        <w:shd w:fill="F0F4F6"/>
      </w:pPr>
      <w:r>
        <w:t xml:space="preserve">  state text NOT NULL CHECK (state IN (</w:t>
      </w:r>
    </w:p>
    <w:p>
      <w:pPr>
        <w:pStyle w:val="CodeBlock"/>
        <w:keepNext/>
        <w:shd w:fill="F0F4F6"/>
      </w:pPr>
      <w:r>
        <w:t xml:space="preserve">    'pending', 'eligible', 'in_flight', 'accepted',</w:t>
      </w:r>
    </w:p>
    <w:p>
      <w:pPr>
        <w:pStyle w:val="CodeBlock"/>
        <w:keepNext/>
        <w:shd w:fill="F0F4F6"/>
      </w:pPr>
      <w:r>
        <w:t xml:space="preserve">    'retry_wait', 'rejected', 'suppressed', 'dead_letter'</w:t>
      </w:r>
    </w:p>
    <w:p>
      <w:pPr>
        <w:pStyle w:val="CodeBlock"/>
        <w:keepNext/>
        <w:shd w:fill="F0F4F6"/>
      </w:pPr>
      <w:r>
        <w:t xml:space="preserve">  )),</w:t>
      </w:r>
    </w:p>
    <w:p>
      <w:pPr>
        <w:pStyle w:val="CodeBlock"/>
        <w:keepNext/>
        <w:shd w:fill="F0F4F6"/>
      </w:pPr>
      <w:r>
        <w:t xml:space="preserve">  attempt_count integer NOT NULL DEFAULT 0,</w:t>
      </w:r>
    </w:p>
    <w:p>
      <w:pPr>
        <w:pStyle w:val="CodeBlock"/>
        <w:keepNext/>
        <w:shd w:fill="F0F4F6"/>
      </w:pPr>
      <w:r>
        <w:t xml:space="preserve">  available_at timestamptz NOT NULL DEFAULT now(),</w:t>
      </w:r>
    </w:p>
    <w:p>
      <w:pPr>
        <w:pStyle w:val="CodeBlock"/>
        <w:keepNext/>
        <w:shd w:fill="F0F4F6"/>
      </w:pPr>
      <w:r>
        <w:t xml:space="preserve">  last_error_code text,</w:t>
      </w:r>
    </w:p>
    <w:p>
      <w:pPr>
        <w:pStyle w:val="CodeBlock"/>
        <w:keepNext/>
        <w:shd w:fill="F0F4F6"/>
      </w:pPr>
      <w:r>
        <w:t xml:space="preserve">  UNIQUE (event_id, destination_config_id)</w:t>
      </w:r>
    </w:p>
    <w:p>
      <w:pPr>
        <w:pStyle w:val="CodeBlock"/>
        <w:keepNext/>
        <w:shd w:fill="F0F4F6"/>
      </w:pPr>
      <w:r>
        <w:t>);</w:t>
      </w:r>
    </w:p>
    <w:p>
      <w:pPr>
        <w:pStyle w:val="CodeBlock"/>
        <w:keepNext/>
        <w:shd w:fill="F0F4F6"/>
      </w:pPr>
      <w:r>
        <w:t xml:space="preserve"> </w:t>
      </w:r>
    </w:p>
    <w:p>
      <w:pPr>
        <w:pStyle w:val="CodeBlock"/>
        <w:keepNext/>
        <w:shd w:fill="F0F4F6"/>
      </w:pPr>
      <w:r>
        <w:t>CREATE INDEX deliveries_ready_idx</w:t>
      </w:r>
    </w:p>
    <w:p>
      <w:pPr>
        <w:pStyle w:val="CodeBlock"/>
        <w:keepNext/>
        <w:shd w:fill="F0F4F6"/>
      </w:pPr>
      <w:r>
        <w:t xml:space="preserve">  ON destination_deliveries (available_at)</w:t>
      </w:r>
    </w:p>
    <w:p>
      <w:pPr>
        <w:pStyle w:val="CodeBlock"/>
        <w:keepNext w:val="0"/>
        <w:shd w:fill="F0F4F6"/>
      </w:pPr>
      <w:r>
        <w:t xml:space="preserve">  WHERE state IN ('pending', 'retry_wait');</w:t>
      </w:r>
    </w:p>
    <w:p>
      <w:pPr>
        <w:spacing w:after="0" w:before="20"/>
      </w:pPr>
    </w:p>
    <w:p>
      <w:r>
        <w:t>A uniqueness constraint prevents duplicate rows but does not implement the full workflow. The lead and outbox write must share a transaction. Worker claims require safe concurrency. An uncertain network result retries using the same event identity. A destination's accepted status must not be renamed “attributed” unless the provider actually supplies that evidence.</w:t>
      </w:r>
    </w:p>
    <w:p>
      <w:pPr>
        <w:pStyle w:val="Heading2"/>
      </w:pPr>
      <w:r>
        <w:t>C.3 Publish contract</w:t>
      </w:r>
    </w:p>
    <w:p>
      <w:r>
        <w:t>Input: page ID, expected draft version, approved revision ID, publication mode/time, actor, and reason. Preconditions: scoped publish permission, approved workflow state, valid block schema, allowed route, valid dependencies, and content checks. Commit: update live revision atomically, append audit, and create publication outbox. Side effects: invalidate affected routes, update search/sitemap indexes, and report publication status.</w:t>
      </w:r>
    </w:p>
    <w:p>
      <w:r>
        <w:t>Failure behavior: no partial live revision update when validation fails; no overwritten concurrent edit; retries do not publish duplicate revisions; an invalidation failure becomes visible and retries safely. A price/availability transaction remains authoritative even while a public display is refreshing.</w:t>
      </w:r>
    </w:p>
    <w:p>
      <w:pPr>
        <w:pStyle w:val="Heading2"/>
      </w:pPr>
      <w:r>
        <w:t>C.4 Integration capability test record</w:t>
      </w:r>
    </w:p>
    <w:p>
      <w:r>
        <w:t>For each provider, record authentication, read/reporting, write, backfill, incremental synchronization, webhook receipt, token renewal/revocation, rate limiting, retries, duplicate handling, deletion/suppression, and production verification separately. Mark unsupported capabilities Not Applicable. A connected OAuth account does not prove any of the other capabilities.</w:t>
      </w:r>
    </w:p>
    <w:p>
      <w:pPr>
        <w:pStyle w:val="Heading2"/>
        <w:keepNext/>
        <w:widowControl/>
      </w:pPr>
      <w:r>
        <w:t>C.5 Extended relationships</w:t>
      </w:r>
    </w:p>
    <w:p>
      <w:pPr>
        <w:widowControl/>
      </w:pPr>
      <w:r>
        <w:t>Chapter 40 owns the new experiment/context/conversation/deletion/audit entity contracts. Appendix F supplies safe context/event/audit examples and the field-level retention matrix. In particular, source-post removal cannot cascade to audit evidence, and a visitor-context reference does not grant access to contact details or another conversation.</w:t>
      </w:r>
    </w:p>
    <w:p>
      <w:pPr>
        <w:pStyle w:val="Heading1"/>
        <w:pageBreakBefore/>
        <w:spacing w:before="400"/>
        <w:pBdr>
          <w:bottom w:val="single" w:sz="8" w:color="087F83" w:space="8"/>
        </w:pBdr>
      </w:pPr>
      <w:bookmarkStart w:id="39" w:name="chapter_37"/>
      <w:bookmarkStart w:id="328" w:name="v12_appD"/>
      <w:r>
        <w:t>Appendix D | Operating registers and decision templates</w:t>
      </w:r>
      <w:bookmarkEnd w:id="39"/>
      <w:bookmarkEnd w:id="328"/>
      <w:bookmarkStart w:id="632" w:name="tocfinal_app_D"/>
      <w:bookmarkEnd w:id="632"/>
    </w:p>
    <w:p>
      <w:pPr>
        <w:pStyle w:val="Heading2"/>
      </w:pPr>
      <w:r>
        <w:t>D.1 Provider and account register</w:t>
      </w:r>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Field</w:t>
            </w:r>
          </w:p>
        </w:tc>
        <w:tc>
          <w:tcPr>
            <w:tcW w:type="dxa" w:w="7029"/>
            <w:vAlign w:val="top"/>
            <w:tcMar>
              <w:top w:w="85" w:type="dxa"/>
              <w:bottom w:w="85" w:type="dxa"/>
              <w:left w:w="95" w:type="dxa"/>
              <w:right w:w="95" w:type="dxa"/>
            </w:tcMar>
            <w:shd w:fill="163349"/>
          </w:tcPr>
          <w:p>
            <w:pPr>
              <w:pStyle w:val="TableText"/>
              <w:keepNext/>
              <w:spacing w:after="20"/>
            </w:pPr>
            <w:r>
              <w:rPr>
                <w:b/>
                <w:color w:val="FFFFFF"/>
              </w:rPr>
              <w:t>Required information</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Provider and purpose</w:t>
            </w:r>
          </w:p>
        </w:tc>
        <w:tc>
          <w:tcPr>
            <w:tcW w:type="dxa" w:w="7029"/>
            <w:vAlign w:val="top"/>
            <w:tcMar>
              <w:top w:w="85" w:type="dxa"/>
              <w:bottom w:w="85" w:type="dxa"/>
              <w:left w:w="95" w:type="dxa"/>
              <w:right w:w="95" w:type="dxa"/>
            </w:tcMar>
            <w:shd w:fill="FFFFFF"/>
          </w:tcPr>
          <w:p>
            <w:pPr>
              <w:pStyle w:val="TableText"/>
              <w:keepNext w:val="0"/>
              <w:spacing w:after="20"/>
            </w:pPr>
            <w:r>
              <w:t>Exact service, enabled modules, approved data purposes, and business owner.</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Ownership and access</w:t>
            </w:r>
          </w:p>
        </w:tc>
        <w:tc>
          <w:tcPr>
            <w:tcW w:type="dxa" w:w="7029"/>
            <w:vAlign w:val="top"/>
            <w:tcMar>
              <w:top w:w="85" w:type="dxa"/>
              <w:bottom w:w="85" w:type="dxa"/>
              <w:left w:w="95" w:type="dxa"/>
              <w:right w:w="95" w:type="dxa"/>
            </w:tcMar>
            <w:shd w:fill="F3F7F9"/>
          </w:tcPr>
          <w:p>
            <w:pPr>
              <w:pStyle w:val="TableText"/>
              <w:keepNext w:val="0"/>
              <w:spacing w:after="20"/>
            </w:pPr>
            <w:r>
              <w:t>Business account owner, delegated users, recovery methods, MFA status, and permission review date.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Data and credentials</w:t>
            </w:r>
          </w:p>
        </w:tc>
        <w:tc>
          <w:tcPr>
            <w:tcW w:type="dxa" w:w="7029"/>
            <w:vAlign w:val="top"/>
            <w:tcMar>
              <w:top w:w="85" w:type="dxa"/>
              <w:bottom w:w="85" w:type="dxa"/>
              <w:left w:w="95" w:type="dxa"/>
              <w:right w:w="95" w:type="dxa"/>
            </w:tcMar>
            <w:shd w:fill="FFFFFF"/>
          </w:tcPr>
          <w:p>
            <w:pPr>
              <w:pStyle w:val="TableText"/>
              <w:keepNext w:val="0"/>
              <w:spacing w:after="20"/>
            </w:pPr>
            <w:r>
              <w:t>Field map, sensitivity, region/processor terms, secret-manager reference, and credential rotation owner.</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Technical contract</w:t>
            </w:r>
          </w:p>
        </w:tc>
        <w:tc>
          <w:tcPr>
            <w:tcW w:type="dxa" w:w="7029"/>
            <w:vAlign w:val="top"/>
            <w:tcMar>
              <w:top w:w="85" w:type="dxa"/>
              <w:bottom w:w="85" w:type="dxa"/>
              <w:left w:w="95" w:type="dxa"/>
              <w:right w:w="95" w:type="dxa"/>
            </w:tcMar>
            <w:shd w:fill="F3F7F9"/>
          </w:tcPr>
          <w:p>
            <w:pPr>
              <w:pStyle w:val="TableText"/>
              <w:keepNext w:val="0"/>
              <w:spacing w:after="20"/>
            </w:pPr>
            <w:r>
              <w:t>API version, scopes, webhook/signature rules, quotas, retry policy, and deprecation review date.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Financial control</w:t>
            </w:r>
          </w:p>
        </w:tc>
        <w:tc>
          <w:tcPr>
            <w:tcW w:type="dxa" w:w="7029"/>
            <w:vAlign w:val="top"/>
            <w:tcMar>
              <w:top w:w="85" w:type="dxa"/>
              <w:bottom w:w="85" w:type="dxa"/>
              <w:left w:w="95" w:type="dxa"/>
              <w:right w:w="95" w:type="dxa"/>
            </w:tcMar>
            <w:shd w:fill="FFFFFF"/>
          </w:tcPr>
          <w:p>
            <w:pPr>
              <w:pStyle w:val="TableText"/>
              <w:keepNext w:val="0"/>
              <w:spacing w:after="20"/>
            </w:pPr>
            <w:r>
              <w:t>Billing owner, pricing basis, budget, usage alerts, renewal, and cancellation terms.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Exit</w:t>
            </w:r>
          </w:p>
        </w:tc>
        <w:tc>
          <w:tcPr>
            <w:tcW w:type="dxa" w:w="7029"/>
            <w:vAlign w:val="top"/>
            <w:tcMar>
              <w:top w:w="85" w:type="dxa"/>
              <w:bottom w:w="85" w:type="dxa"/>
              <w:left w:w="95" w:type="dxa"/>
              <w:right w:w="95" w:type="dxa"/>
            </w:tcMar>
            <w:shd w:fill="F3F7F9"/>
          </w:tcPr>
          <w:p>
            <w:pPr>
              <w:pStyle w:val="TableText"/>
              <w:keepNext w:val="0"/>
              <w:spacing w:after="20"/>
            </w:pPr>
            <w:r>
              <w:t>Export formats, data deletion, replacement adapter, migration steps, and last portability test.</w:t>
            </w:r>
          </w:p>
        </w:tc>
      </w:tr>
    </w:tbl>
    <w:p>
      <w:pPr>
        <w:spacing w:after="0"/>
      </w:pPr>
    </w:p>
    <w:p>
      <w:pPr>
        <w:pStyle w:val="Heading2"/>
      </w:pPr>
      <w:r>
        <w:t>D.2 Release evidence packet</w:t>
      </w:r>
    </w:p>
    <w:p>
      <w:r>
        <w:t>Include the scope/decision register; module activation; content approvals; API and database migration versions; security/accessibility/performance results; tracking/consent diagnostics; form-to-CRM proof; infrastructure change plan; restore report; owner training; and residual risks. Store sensitive screenshots and logs in a restricted location, not a public repository.</w:t>
      </w:r>
      <w:r>
        <w:t xml:space="preserve"> Include the new experiment, context, deletion and audit-verification registers.</w:t>
      </w:r>
    </w:p>
    <w:p>
      <w:pPr>
        <w:pStyle w:val="Heading2"/>
      </w:pPr>
      <w:r>
        <w:t>D.3 Change request template</w:t>
      </w:r>
    </w:p>
    <w:p>
      <w:r>
        <w:t>Requested change; business reason; affected pages/modules/data; owner-editable or code change; SEO/ads impact; event/schema changes; privacy/security impact; migration/rollback; estimated cost; tests; approval; release date; post-release check. A new form field or third-party widget can require a privacy review even when no backend schema migration is needed.</w:t>
      </w:r>
    </w:p>
    <w:p>
      <w:pPr>
        <w:pStyle w:val="Heading2"/>
      </w:pPr>
      <w:r>
        <w:t>D.4 Content and campaign preflight</w:t>
      </w:r>
    </w:p>
    <w:p>
      <w:r>
        <w:t>Confirm the offer and proof are accurate; destinations work; mobile/keyboard forms succeed; pricing and terms agree; page metadata/index policy is correct; campaign IDs follow the naming standard; primary conversions are appropriate; contact routing works; consent controls pass; no test identifiers remain; reporting freshness is visible; and someone will handle responses.</w:t>
      </w:r>
    </w:p>
    <w:p>
      <w:pPr>
        <w:pStyle w:val="Heading2"/>
      </w:pPr>
      <w:r>
        <w:t>D.5 Risk and exception template</w:t>
      </w:r>
    </w:p>
    <w:p>
      <w:r>
        <w:t>Risk ID; affected requirement; failure impact; likelihood assessment; mitigation; compensating control; acceptance owner; expiry/review date; monitoring; and closure evidence. Exceptions must be time-bounded where possible. An exception cannot transform an unlawful processing practice into an approved one; legal applicability must be assessed independently.</w:t>
      </w:r>
    </w:p>
    <w:p>
      <w:pPr>
        <w:pStyle w:val="Heading1"/>
        <w:pageBreakBefore/>
        <w:spacing w:before="400"/>
        <w:pBdr>
          <w:bottom w:val="single" w:sz="8" w:color="087F83" w:space="8"/>
        </w:pBdr>
      </w:pPr>
      <w:bookmarkStart w:id="40" w:name="chapter_38"/>
      <w:bookmarkStart w:id="329" w:name="v12_appE"/>
      <w:r>
        <w:t>Appendix E | Plain-language glossary</w:t>
      </w:r>
      <w:bookmarkEnd w:id="40"/>
      <w:bookmarkEnd w:id="329"/>
      <w:bookmarkStart w:id="633" w:name="tocfinal_app_E"/>
      <w:bookmarkEnd w:id="633"/>
    </w:p>
    <w:tbl>
      <w:tblPr>
        <w:tblW w:type="auto" w:w="0"/>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802"/>
        <w:gridCol w:w="7029"/>
      </w:tblGrid>
      <w:tr>
        <w:trPr>
          <w:cantSplit/>
          <w:tblHeader w:val="true"/>
        </w:trPr>
        <w:tc>
          <w:tcPr>
            <w:tcW w:type="dxa" w:w="2802"/>
            <w:vAlign w:val="top"/>
            <w:tcMar>
              <w:top w:w="85" w:type="dxa"/>
              <w:bottom w:w="85" w:type="dxa"/>
              <w:left w:w="95" w:type="dxa"/>
              <w:right w:w="95" w:type="dxa"/>
            </w:tcMar>
            <w:shd w:fill="163349"/>
          </w:tcPr>
          <w:p>
            <w:pPr>
              <w:pStyle w:val="TableText"/>
              <w:keepNext/>
              <w:spacing w:after="20"/>
            </w:pPr>
            <w:r>
              <w:rPr>
                <w:b/>
                <w:color w:val="FFFFFF"/>
              </w:rPr>
              <w:t>Term</w:t>
            </w:r>
          </w:p>
        </w:tc>
        <w:tc>
          <w:tcPr>
            <w:tcW w:type="dxa" w:w="7029"/>
            <w:vAlign w:val="top"/>
            <w:tcMar>
              <w:top w:w="85" w:type="dxa"/>
              <w:bottom w:w="85" w:type="dxa"/>
              <w:left w:w="95" w:type="dxa"/>
              <w:right w:w="95" w:type="dxa"/>
            </w:tcMar>
            <w:shd w:fill="163349"/>
          </w:tcPr>
          <w:p>
            <w:pPr>
              <w:pStyle w:val="TableText"/>
              <w:keepNext/>
              <w:spacing w:after="20"/>
            </w:pPr>
            <w:r>
              <w:rPr>
                <w:b/>
                <w:color w:val="FFFFFF"/>
              </w:rPr>
              <w:t>Meaning in this standard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CMS</w:t>
            </w:r>
          </w:p>
        </w:tc>
        <w:tc>
          <w:tcPr>
            <w:tcW w:type="dxa" w:w="7029"/>
            <w:vAlign w:val="top"/>
            <w:tcMar>
              <w:top w:w="85" w:type="dxa"/>
              <w:bottom w:w="85" w:type="dxa"/>
              <w:left w:w="95" w:type="dxa"/>
              <w:right w:w="95" w:type="dxa"/>
            </w:tcMar>
            <w:shd w:fill="FFFFFF"/>
          </w:tcPr>
          <w:p>
            <w:pPr>
              <w:pStyle w:val="TableText"/>
              <w:keepNext w:val="0"/>
              <w:spacing w:after="20"/>
            </w:pPr>
            <w:r>
              <w:t>The content-management interface used to maintain pages, articles, media, forms, and approved settings.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Headless / decoupled</w:t>
            </w:r>
          </w:p>
        </w:tc>
        <w:tc>
          <w:tcPr>
            <w:tcW w:type="dxa" w:w="7029"/>
            <w:vAlign w:val="top"/>
            <w:tcMar>
              <w:top w:w="85" w:type="dxa"/>
              <w:bottom w:w="85" w:type="dxa"/>
              <w:left w:w="95" w:type="dxa"/>
              <w:right w:w="95" w:type="dxa"/>
            </w:tcMar>
            <w:shd w:fill="F3F7F9"/>
          </w:tcPr>
          <w:p>
            <w:pPr>
              <w:pStyle w:val="TableText"/>
              <w:keepNext w:val="0"/>
              <w:spacing w:after="20"/>
            </w:pPr>
            <w:r>
              <w:t>Content/business services are accessed through interfaces rather than being inseparable from one presentation system.</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SSR / pre-rendering / caching</w:t>
            </w:r>
          </w:p>
        </w:tc>
        <w:tc>
          <w:tcPr>
            <w:tcW w:type="dxa" w:w="7029"/>
            <w:vAlign w:val="top"/>
            <w:tcMar>
              <w:top w:w="85" w:type="dxa"/>
              <w:bottom w:w="85" w:type="dxa"/>
              <w:left w:w="95" w:type="dxa"/>
              <w:right w:w="95" w:type="dxa"/>
            </w:tcMar>
            <w:shd w:fill="FFFFFF"/>
          </w:tcPr>
          <w:p>
            <w:pPr>
              <w:pStyle w:val="TableText"/>
              <w:keepNext w:val="0"/>
              <w:spacing w:after="20"/>
            </w:pPr>
            <w:r>
              <w:t>Different ways to produce and reuse page output; choose by route freshness, privacy, and performance needs.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API / REST / GraphQL / SOAP</w:t>
            </w:r>
          </w:p>
        </w:tc>
        <w:tc>
          <w:tcPr>
            <w:tcW w:type="dxa" w:w="7029"/>
            <w:vAlign w:val="top"/>
            <w:tcMar>
              <w:top w:w="85" w:type="dxa"/>
              <w:bottom w:w="85" w:type="dxa"/>
              <w:left w:w="95" w:type="dxa"/>
              <w:right w:w="95" w:type="dxa"/>
            </w:tcMar>
            <w:shd w:fill="F3F7F9"/>
          </w:tcPr>
          <w:p>
            <w:pPr>
              <w:pStyle w:val="TableText"/>
              <w:keepNext w:val="0"/>
              <w:spacing w:after="20"/>
            </w:pPr>
            <w:r>
              <w:t>Interface mechanisms; REST is the default, while GraphQL and SOAP are selected only for justified needs.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GTM / dataLayer</w:t>
            </w:r>
          </w:p>
        </w:tc>
        <w:tc>
          <w:tcPr>
            <w:tcW w:type="dxa" w:w="7029"/>
            <w:vAlign w:val="top"/>
            <w:tcMar>
              <w:top w:w="85" w:type="dxa"/>
              <w:bottom w:w="85" w:type="dxa"/>
              <w:left w:w="95" w:type="dxa"/>
              <w:right w:w="95" w:type="dxa"/>
            </w:tcMar>
            <w:shd w:fill="FFFFFF"/>
          </w:tcPr>
          <w:p>
            <w:pPr>
              <w:pStyle w:val="TableText"/>
              <w:keepNext w:val="0"/>
              <w:spacing w:after="20"/>
            </w:pPr>
            <w:r>
              <w:t>Tag distribution/configuration and the browser event interface; neither is the authoritative business database.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GA4</w:t>
            </w:r>
          </w:p>
        </w:tc>
        <w:tc>
          <w:tcPr>
            <w:tcW w:type="dxa" w:w="7029"/>
            <w:vAlign w:val="top"/>
            <w:tcMar>
              <w:top w:w="85" w:type="dxa"/>
              <w:bottom w:w="85" w:type="dxa"/>
              <w:left w:w="95" w:type="dxa"/>
              <w:right w:w="95" w:type="dxa"/>
            </w:tcMar>
            <w:shd w:fill="F3F7F9"/>
          </w:tcPr>
          <w:p>
            <w:pPr>
              <w:pStyle w:val="TableText"/>
              <w:keepNext w:val="0"/>
              <w:spacing w:after="20"/>
            </w:pPr>
            <w:r>
              <w:t>Google's analytics product; one reporting destination with its own processing rules and limitations.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Pixel / CAPI</w:t>
            </w:r>
          </w:p>
        </w:tc>
        <w:tc>
          <w:tcPr>
            <w:tcW w:type="dxa" w:w="7029"/>
            <w:vAlign w:val="top"/>
            <w:tcMar>
              <w:top w:w="85" w:type="dxa"/>
              <w:bottom w:w="85" w:type="dxa"/>
              <w:left w:w="95" w:type="dxa"/>
              <w:right w:w="95" w:type="dxa"/>
            </w:tcMar>
            <w:shd w:fill="FFFFFF"/>
          </w:tcPr>
          <w:p>
            <w:pPr>
              <w:pStyle w:val="TableText"/>
              <w:keepNext w:val="0"/>
              <w:spacing w:after="20"/>
            </w:pPr>
            <w:r>
              <w:t>Browser and server event connections for Meta; neither guarantees complete identity or attribution.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CMP / consent mode</w:t>
            </w:r>
          </w:p>
        </w:tc>
        <w:tc>
          <w:tcPr>
            <w:tcW w:type="dxa" w:w="7029"/>
            <w:vAlign w:val="top"/>
            <w:tcMar>
              <w:top w:w="85" w:type="dxa"/>
              <w:bottom w:w="85" w:type="dxa"/>
              <w:left w:w="95" w:type="dxa"/>
              <w:right w:w="95" w:type="dxa"/>
            </w:tcMar>
            <w:shd w:fill="F3F7F9"/>
          </w:tcPr>
          <w:p>
            <w:pPr>
              <w:pStyle w:val="TableText"/>
              <w:keepNext w:val="0"/>
              <w:spacing w:after="20"/>
            </w:pPr>
            <w:r>
              <w:t>Choice-management tooling and provider-specific consent behavior; not substitutes for an approved privacy policy.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PII / pseudonymous</w:t>
            </w:r>
          </w:p>
        </w:tc>
        <w:tc>
          <w:tcPr>
            <w:tcW w:type="dxa" w:w="7029"/>
            <w:vAlign w:val="top"/>
            <w:tcMar>
              <w:top w:w="85" w:type="dxa"/>
              <w:bottom w:w="85" w:type="dxa"/>
              <w:left w:w="95" w:type="dxa"/>
              <w:right w:w="95" w:type="dxa"/>
            </w:tcMar>
            <w:shd w:fill="FFFFFF"/>
          </w:tcPr>
          <w:p>
            <w:pPr>
              <w:pStyle w:val="TableText"/>
              <w:keepNext w:val="0"/>
              <w:spacing w:after="20"/>
            </w:pPr>
            <w:r>
              <w:t>Identifying personal data / data linked to an indirect identifier. Pseudonymous does not automatically mean anonymous.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Attribution</w:t>
            </w:r>
          </w:p>
        </w:tc>
        <w:tc>
          <w:tcPr>
            <w:tcW w:type="dxa" w:w="7029"/>
            <w:vAlign w:val="top"/>
            <w:tcMar>
              <w:top w:w="85" w:type="dxa"/>
              <w:bottom w:w="85" w:type="dxa"/>
              <w:left w:w="95" w:type="dxa"/>
              <w:right w:w="95" w:type="dxa"/>
            </w:tcMar>
            <w:shd w:fill="F3F7F9"/>
          </w:tcPr>
          <w:p>
            <w:pPr>
              <w:pStyle w:val="TableText"/>
              <w:keepNext w:val="0"/>
              <w:spacing w:after="20"/>
            </w:pPr>
            <w:r>
              <w:t>A rule-based interpretation of which touchpoints receive credit, distinct from the fact that a business event occurred.</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Outbox / idempotency</w:t>
            </w:r>
          </w:p>
        </w:tc>
        <w:tc>
          <w:tcPr>
            <w:tcW w:type="dxa" w:w="7029"/>
            <w:vAlign w:val="top"/>
            <w:tcMar>
              <w:top w:w="85" w:type="dxa"/>
              <w:bottom w:w="85" w:type="dxa"/>
              <w:left w:w="95" w:type="dxa"/>
              <w:right w:w="95" w:type="dxa"/>
            </w:tcMar>
            <w:shd w:fill="FFFFFF"/>
          </w:tcPr>
          <w:p>
            <w:pPr>
              <w:pStyle w:val="TableText"/>
              <w:keepNext w:val="0"/>
              <w:spacing w:after="20"/>
            </w:pPr>
            <w:r>
              <w:t>Durable pending effects linked to a transaction / safe repetition without duplicating the same intended business action.</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CRM</w:t>
            </w:r>
          </w:p>
        </w:tc>
        <w:tc>
          <w:tcPr>
            <w:tcW w:type="dxa" w:w="7029"/>
            <w:vAlign w:val="top"/>
            <w:tcMar>
              <w:top w:w="85" w:type="dxa"/>
              <w:bottom w:w="85" w:type="dxa"/>
              <w:left w:w="95" w:type="dxa"/>
              <w:right w:w="95" w:type="dxa"/>
            </w:tcMar>
            <w:shd w:fill="F3F7F9"/>
          </w:tcPr>
          <w:p>
            <w:pPr>
              <w:pStyle w:val="TableText"/>
              <w:keepNext w:val="0"/>
              <w:spacing w:after="20"/>
            </w:pPr>
            <w:r>
              <w:t>Customer and lead-management system containing authorized business records and lifecycle history.</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Core Web Vitals</w:t>
            </w:r>
          </w:p>
        </w:tc>
        <w:tc>
          <w:tcPr>
            <w:tcW w:type="dxa" w:w="7029"/>
            <w:vAlign w:val="top"/>
            <w:tcMar>
              <w:top w:w="85" w:type="dxa"/>
              <w:bottom w:w="85" w:type="dxa"/>
              <w:left w:w="95" w:type="dxa"/>
              <w:right w:w="95" w:type="dxa"/>
            </w:tcMar>
            <w:shd w:fill="FFFFFF"/>
          </w:tcPr>
          <w:p>
            <w:pPr>
              <w:pStyle w:val="TableText"/>
              <w:keepNext w:val="0"/>
              <w:spacing w:after="20"/>
            </w:pPr>
            <w:r>
              <w:t>Field-oriented page-experience metrics; useful thresholds do not guarantee ranking or advertising results.</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RBAC / object authorization</w:t>
            </w:r>
          </w:p>
        </w:tc>
        <w:tc>
          <w:tcPr>
            <w:tcW w:type="dxa" w:w="7029"/>
            <w:vAlign w:val="top"/>
            <w:tcMar>
              <w:top w:w="85" w:type="dxa"/>
              <w:bottom w:w="85" w:type="dxa"/>
              <w:left w:w="95" w:type="dxa"/>
              <w:right w:w="95" w:type="dxa"/>
            </w:tcMar>
            <w:shd w:fill="F3F7F9"/>
          </w:tcPr>
          <w:p>
            <w:pPr>
              <w:pStyle w:val="TableText"/>
              <w:keepNext w:val="0"/>
              <w:spacing w:after="20"/>
            </w:pPr>
            <w:r>
              <w:t>Role-based permissions / checks that a user may access the particular record or resource.</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RPO / RTO / SLO</w:t>
            </w:r>
          </w:p>
        </w:tc>
        <w:tc>
          <w:tcPr>
            <w:tcW w:type="dxa" w:w="7029"/>
            <w:vAlign w:val="top"/>
            <w:tcMar>
              <w:top w:w="85" w:type="dxa"/>
              <w:bottom w:w="85" w:type="dxa"/>
              <w:left w:w="95" w:type="dxa"/>
              <w:right w:w="95" w:type="dxa"/>
            </w:tcMar>
            <w:shd w:fill="FFFFFF"/>
          </w:tcPr>
          <w:p>
            <w:pPr>
              <w:pStyle w:val="TableText"/>
              <w:keepNext w:val="0"/>
              <w:spacing w:after="20"/>
            </w:pPr>
            <w:r>
              <w:t>Acceptable data-loss window / recovery-time objective / measurable service objective approved for the project.</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CI/CD / IaC</w:t>
            </w:r>
          </w:p>
        </w:tc>
        <w:tc>
          <w:tcPr>
            <w:tcW w:type="dxa" w:w="7029"/>
            <w:vAlign w:val="top"/>
            <w:tcMar>
              <w:top w:w="85" w:type="dxa"/>
              <w:bottom w:w="85" w:type="dxa"/>
              <w:left w:w="95" w:type="dxa"/>
              <w:right w:w="95" w:type="dxa"/>
            </w:tcMar>
            <w:shd w:fill="F3F7F9"/>
          </w:tcPr>
          <w:p>
            <w:pPr>
              <w:pStyle w:val="TableText"/>
              <w:keepNext w:val="0"/>
              <w:spacing w:after="20"/>
            </w:pPr>
            <w:r>
              <w:t>Automated validation and delivery / versioned infrastructure definitions.</w:t>
            </w:r>
          </w:p>
        </w:tc>
      </w:tr>
      <w:tr>
        <w:trPr>
          <w:cantSplit/>
        </w:trPr>
        <w:tc>
          <w:tcPr>
            <w:tcW w:type="dxa" w:w="2802"/>
            <w:vAlign w:val="top"/>
            <w:tcMar>
              <w:top w:w="85" w:type="dxa"/>
              <w:bottom w:w="85" w:type="dxa"/>
              <w:left w:w="95" w:type="dxa"/>
              <w:right w:w="95" w:type="dxa"/>
            </w:tcMar>
            <w:shd w:fill="FFFFFF"/>
          </w:tcPr>
          <w:p>
            <w:pPr>
              <w:pStyle w:val="TableText"/>
              <w:keepNext w:val="0"/>
              <w:spacing w:after="20"/>
            </w:pPr>
            <w:r>
              <w:rPr>
                <w:b/>
                <w:color w:val="163349"/>
              </w:rPr>
              <w:t>Feature flag / adapter</w:t>
            </w:r>
          </w:p>
        </w:tc>
        <w:tc>
          <w:tcPr>
            <w:tcW w:type="dxa" w:w="7029"/>
            <w:vAlign w:val="top"/>
            <w:tcMar>
              <w:top w:w="85" w:type="dxa"/>
              <w:bottom w:w="85" w:type="dxa"/>
              <w:left w:w="95" w:type="dxa"/>
              <w:right w:w="95" w:type="dxa"/>
            </w:tcMar>
            <w:shd w:fill="FFFFFF"/>
          </w:tcPr>
          <w:p>
            <w:pPr>
              <w:pStyle w:val="TableText"/>
              <w:keepNext w:val="0"/>
              <w:spacing w:after="20"/>
            </w:pPr>
            <w:r>
              <w:t>Controlled module activation / a replaceable boundary for an external service.</w:t>
            </w:r>
          </w:p>
        </w:tc>
      </w:tr>
      <w:tr>
        <w:trPr>
          <w:cantSplit/>
        </w:trPr>
        <w:tc>
          <w:tcPr>
            <w:tcW w:type="dxa" w:w="2802"/>
            <w:vAlign w:val="top"/>
            <w:tcMar>
              <w:top w:w="85" w:type="dxa"/>
              <w:bottom w:w="85" w:type="dxa"/>
              <w:left w:w="95" w:type="dxa"/>
              <w:right w:w="95" w:type="dxa"/>
            </w:tcMar>
            <w:shd w:fill="F3F7F9"/>
          </w:tcPr>
          <w:p>
            <w:pPr>
              <w:pStyle w:val="TableText"/>
              <w:keepNext w:val="0"/>
              <w:spacing w:after="20"/>
            </w:pPr>
            <w:r>
              <w:rPr>
                <w:b/>
                <w:color w:val="163349"/>
              </w:rPr>
              <w:t>Source of truth</w:t>
            </w:r>
          </w:p>
        </w:tc>
        <w:tc>
          <w:tcPr>
            <w:tcW w:type="dxa" w:w="7029"/>
            <w:vAlign w:val="top"/>
            <w:tcMar>
              <w:top w:w="85" w:type="dxa"/>
              <w:bottom w:w="85" w:type="dxa"/>
              <w:left w:w="95" w:type="dxa"/>
              <w:right w:w="95" w:type="dxa"/>
            </w:tcMar>
            <w:shd w:fill="F3F7F9"/>
          </w:tcPr>
          <w:p>
            <w:pPr>
              <w:pStyle w:val="TableText"/>
              <w:keepNext w:val="0"/>
              <w:spacing w:after="20"/>
            </w:pPr>
            <w:r>
              <w:t>The system whose record is authoritative for a specific fact, such as a paid order or published revision.</w:t>
            </w:r>
          </w:p>
        </w:tc>
      </w:tr>
    </w:tbl>
    <w:p>
      <w:pPr>
        <w:spacing w:after="0"/>
      </w:pPr>
    </w:p>
    <w:p>
      <w:pPr>
        <w:pStyle w:val="Heading1"/>
        <w:keepNext/>
        <w:pageBreakBefore/>
        <w:widowControl/>
        <w:spacing w:before="240"/>
        <w:pBdr>
          <w:bottom w:val="single" w:sz="8" w:color="087F83" w:space="8"/>
        </w:pBdr>
      </w:pPr>
      <w:bookmarkStart w:id="330" w:name="v12_appF"/>
      <w:bookmarkStart w:id="96" w:name="appendix_F"/>
      <w:r>
        <w:t>Appendix F | Extended event, context and retention contracts</w:t>
      </w:r>
      <w:bookmarkEnd w:id="96"/>
      <w:bookmarkEnd w:id="330"/>
      <w:bookmarkStart w:id="634" w:name="tocfinal_app_F"/>
      <w:bookmarkEnd w:id="634"/>
    </w:p>
    <w:p>
      <w:pPr>
        <w:pStyle w:val="Heading2"/>
        <w:keepNext/>
        <w:widowControl/>
      </w:pPr>
      <w:r>
        <w:t>F.1 Additional event dictionary</w:t>
      </w:r>
    </w:p>
    <w:p>
      <w:pPr>
        <w:widowControl/>
      </w:pPr>
      <w:r>
        <w:t>These entries extend Chapter 14; they do not replace its existing page, pricing, download, form and trusted conversion events. Each implementation must record event schema, authority, permission, allowed fields, duplicate scope and destination mapping. Operational events are not automatically forwarded to analytics. Never forward all internal audit events to Google or Meta.</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621"/>
        <w:gridCol w:w="3168"/>
        <w:gridCol w:w="4042"/>
      </w:tblGrid>
      <w:tr>
        <w:trPr>
          <w:cantSplit/>
          <w:tblHeader w:val="true"/>
        </w:trPr>
        <w:tc>
          <w:tcPr>
            <w:tcW w:type="dxa" w:w="2621"/>
            <w:vAlign w:val="center"/>
            <w:shd w:fill="163349"/>
            <w:tcMar>
              <w:top w:w="80" w:type="dxa"/>
              <w:bottom w:w="70" w:type="dxa"/>
              <w:left w:w="90" w:type="dxa"/>
              <w:right w:w="90" w:type="dxa"/>
            </w:tcMar>
          </w:tcPr>
          <w:p>
            <w:pPr>
              <w:pStyle w:val="TableText"/>
              <w:keepNext/>
              <w:widowControl/>
              <w:spacing w:after="40"/>
            </w:pPr>
            <w:r>
              <w:rPr>
                <w:b/>
                <w:color w:val="FFFFFF"/>
                <w:sz w:val="18"/>
              </w:rPr>
              <w:t>Event</w:t>
            </w:r>
          </w:p>
        </w:tc>
        <w:tc>
          <w:tcPr>
            <w:tcW w:type="dxa" w:w="3168"/>
            <w:vAlign w:val="center"/>
            <w:shd w:fill="163349"/>
            <w:tcMar>
              <w:top w:w="80" w:type="dxa"/>
              <w:bottom w:w="70" w:type="dxa"/>
              <w:left w:w="90" w:type="dxa"/>
              <w:right w:w="90" w:type="dxa"/>
            </w:tcMar>
          </w:tcPr>
          <w:p>
            <w:pPr>
              <w:pStyle w:val="TableText"/>
              <w:keepNext/>
              <w:widowControl/>
              <w:spacing w:after="40"/>
            </w:pPr>
            <w:r>
              <w:rPr>
                <w:b/>
                <w:color w:val="FFFFFF"/>
                <w:sz w:val="18"/>
              </w:rPr>
              <w:t>Trigger and authority</w:t>
            </w:r>
          </w:p>
        </w:tc>
        <w:tc>
          <w:tcPr>
            <w:tcW w:type="dxa" w:w="4042"/>
            <w:vAlign w:val="center"/>
            <w:shd w:fill="163349"/>
            <w:tcMar>
              <w:top w:w="80" w:type="dxa"/>
              <w:bottom w:w="70" w:type="dxa"/>
              <w:left w:w="90" w:type="dxa"/>
              <w:right w:w="90" w:type="dxa"/>
            </w:tcMar>
          </w:tcPr>
          <w:p>
            <w:pPr>
              <w:pStyle w:val="TableText"/>
              <w:keepNext/>
              <w:widowControl/>
              <w:spacing w:after="40"/>
            </w:pPr>
            <w:r>
              <w:rPr>
                <w:b/>
                <w:color w:val="FFFFFF"/>
                <w:sz w:val="18"/>
              </w:rPr>
              <w:t>Allowed context / key restriction</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acquisition_touch_captured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Collector accepts eligible sanitized acquisition.</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touch reference and campaign mapping; not a raw query string.</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attribution_linked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Backend links an accepted lead to permitted evidence.</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lead/touch references internally; no copied contact data.</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experiment_assigned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Trusted resolver assigns an eligible unit.</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experiment/version/variant and unit scope; not proof of exposure.</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experiment_exposure</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The agreed experience/render trigger is satisfied.</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Same assignment reference and trigger version; deduplicate as declared.</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experiment_paused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Authorized operator or approved safety rule pauses enrollment/delivery.</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actor/rule, reason, version and affected scope; audit stream.</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experiment_promoted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Approved result becomes a CMS publication.</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decision and published revision references; audit/outbox.</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chat_open</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Visitor deliberately opens the chat interface.</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launcher/page ID; optional behavioral event only when permitted.</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chat_started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Backend accepts the first meaningful conversation interaction.</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conversation/bot version internally; not a qualified lead.</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chat_message_accepted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Chat backend durably accepts a message.</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sender type, message ID and delivery status; text stays in conversation store.</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chat_capture_started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Visitor begins explicit structured contact capture.</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capture schema/version; no partial values in analytics.</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chat_capture_confirmed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Visitor explicitly submits/accepts captured fields.</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protected capture evidence; generate_lead still requires business commit.</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chat_handoff_requested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Visitor or approved rule asks for an agent.</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routing/service category and request ID.</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chat_agent_joined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Authorized human agent joins the conversation.</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agent reference and joined_at internally; separate from request.</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chat_resource_selected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Visitor chooses a suggested public resource.</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asset/version and action ID; actual download uses Chapter 14 events.</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chat_resolved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Authorized actor or approved workflow marks resolution.</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reason code, actor type and status; not proof of customer satisfaction.</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location_request_started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Visitor activates a stated location task.</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purpose/control ID; no coordinate in behavioral payload.</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location_permission_result</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The browser/app request resolves to a known state.</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granted/denied/unavailable/etc.; restricted or permissioned diagnostics.</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location_task_resolved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Backend produces an approved service-area result.</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coarse service-area reference; exact location stays protected.</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context_link_revoked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Rights/consent/session policy revokes context linkage.</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policy and reference IDs; stop future eligible use.</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content_trashed / restored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Authorized manual state transition commits.</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actor, reason, version and operation; mandatory audit.</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content_purge_requested / approved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Authorized human creates or approves a manifest.</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requester/approver, scope hash, reason and expiry.</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content_purge_executed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Approved execution reaches a recorded phase/result.</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initiator, approver, executor, manifest and actual outcome.</w:t>
            </w:r>
          </w:p>
        </w:tc>
      </w:tr>
      <w:tr>
        <w:trPr>
          <w:cantSplit/>
        </w:trPr>
        <w:tc>
          <w:tcPr>
            <w:tcW w:type="dxa" w:w="2621"/>
            <w:vAlign w:val="center"/>
            <w:shd w:fill="F2F7F9"/>
            <w:tcMar>
              <w:top w:w="80" w:type="dxa"/>
              <w:bottom w:w="70" w:type="dxa"/>
              <w:left w:w="90" w:type="dxa"/>
              <w:right w:w="90" w:type="dxa"/>
            </w:tcMar>
          </w:tcPr>
          <w:p>
            <w:pPr>
              <w:pStyle w:val="TableText"/>
              <w:keepNext w:val="0"/>
              <w:widowControl/>
              <w:spacing w:after="40"/>
            </w:pPr>
            <w:r>
              <w:rPr>
                <w:b/>
                <w:sz w:val="18"/>
              </w:rPr>
              <w:t>sensitive_context_accessed</w:t>
            </w:r>
          </w:p>
        </w:tc>
        <w:tc>
          <w:tcPr>
            <w:tcW w:type="dxa" w:w="3168"/>
            <w:vAlign w:val="center"/>
            <w:shd w:fill="F2F7F9"/>
            <w:tcMar>
              <w:top w:w="80" w:type="dxa"/>
              <w:bottom w:w="70" w:type="dxa"/>
              <w:left w:w="90" w:type="dxa"/>
              <w:right w:w="90" w:type="dxa"/>
            </w:tcMar>
          </w:tcPr>
          <w:p>
            <w:pPr>
              <w:pStyle w:val="TableText"/>
              <w:keepNext w:val="0"/>
              <w:widowControl/>
              <w:spacing w:after="40"/>
            </w:pPr>
            <w:r>
              <w:rPr>
                <w:sz w:val="18"/>
              </w:rPr>
              <w:t>Authorized raw-IP/location/transcript reveal or export.</w:t>
            </w:r>
          </w:p>
        </w:tc>
        <w:tc>
          <w:tcPr>
            <w:tcW w:type="dxa" w:w="4042"/>
            <w:vAlign w:val="center"/>
            <w:shd w:fill="F2F7F9"/>
            <w:tcMar>
              <w:top w:w="80" w:type="dxa"/>
              <w:bottom w:w="70" w:type="dxa"/>
              <w:left w:w="90" w:type="dxa"/>
              <w:right w:w="90" w:type="dxa"/>
            </w:tcMar>
          </w:tcPr>
          <w:p>
            <w:pPr>
              <w:pStyle w:val="TableText"/>
              <w:keepNext w:val="0"/>
              <w:widowControl/>
              <w:spacing w:after="40"/>
            </w:pPr>
            <w:r>
              <w:rPr>
                <w:sz w:val="18"/>
              </w:rPr>
              <w:t>actor/purpose/evidence reference; do not duplicate revealed values.</w:t>
            </w:r>
          </w:p>
        </w:tc>
      </w:tr>
      <w:tr>
        <w:trPr>
          <w:cantSplit/>
        </w:trPr>
        <w:tc>
          <w:tcPr>
            <w:tcW w:type="dxa" w:w="2621"/>
            <w:vAlign w:val="center"/>
            <w:shd w:fill="FFFFFF"/>
            <w:tcMar>
              <w:top w:w="80" w:type="dxa"/>
              <w:bottom w:w="70" w:type="dxa"/>
              <w:left w:w="90" w:type="dxa"/>
              <w:right w:w="90" w:type="dxa"/>
            </w:tcMar>
          </w:tcPr>
          <w:p>
            <w:pPr>
              <w:pStyle w:val="TableText"/>
              <w:keepNext w:val="0"/>
              <w:widowControl/>
              <w:spacing w:after="40"/>
            </w:pPr>
            <w:r>
              <w:rPr>
                <w:b/>
                <w:sz w:val="18"/>
              </w:rPr>
              <w:t>audit_export_verified</w:t>
            </w:r>
          </w:p>
        </w:tc>
        <w:tc>
          <w:tcPr>
            <w:tcW w:type="dxa" w:w="3168"/>
            <w:vAlign w:val="center"/>
            <w:shd w:fill="FFFFFF"/>
            <w:tcMar>
              <w:top w:w="80" w:type="dxa"/>
              <w:bottom w:w="70" w:type="dxa"/>
              <w:left w:w="90" w:type="dxa"/>
              <w:right w:w="90" w:type="dxa"/>
            </w:tcMar>
          </w:tcPr>
          <w:p>
            <w:pPr>
              <w:pStyle w:val="TableText"/>
              <w:keepNext w:val="0"/>
              <w:widowControl/>
              <w:spacing w:after="40"/>
            </w:pPr>
            <w:r>
              <w:rPr>
                <w:sz w:val="18"/>
              </w:rPr>
              <w:t>Independent batch manifest/checkpoint verification succeeds or fails.</w:t>
            </w:r>
          </w:p>
        </w:tc>
        <w:tc>
          <w:tcPr>
            <w:tcW w:type="dxa" w:w="4042"/>
            <w:vAlign w:val="center"/>
            <w:shd w:fill="FFFFFF"/>
            <w:tcMar>
              <w:top w:w="80" w:type="dxa"/>
              <w:bottom w:w="70" w:type="dxa"/>
              <w:left w:w="90" w:type="dxa"/>
              <w:right w:w="90" w:type="dxa"/>
            </w:tcMar>
          </w:tcPr>
          <w:p>
            <w:pPr>
              <w:pStyle w:val="TableText"/>
              <w:keepNext w:val="0"/>
              <w:widowControl/>
              <w:spacing w:after="40"/>
            </w:pPr>
            <w:r>
              <w:rPr>
                <w:sz w:val="18"/>
              </w:rPr>
              <w:t>batch/sequence/digest status; integrity alert on failure.</w:t>
            </w:r>
          </w:p>
        </w:tc>
      </w:tr>
    </w:tbl>
    <w:p>
      <w:pPr>
        <w:widowControl/>
      </w:pPr>
      <w:r>
        <w:t>Do not create a second chat_lead conversion in addition to generate_lead for the same accepted enquiry. Store submission_channel=chat in the approved internal business record; destination mappings preserve the single agreed primary conversion. event_id is generated once for the business fact and reused by eligible retries/browser representations.</w:t>
      </w:r>
    </w:p>
    <w:p>
      <w:pPr>
        <w:pStyle w:val="Heading2"/>
        <w:keepNext/>
        <w:widowControl/>
      </w:pPr>
      <w:r>
        <w:t>F.2 Safe shared-context example</w:t>
      </w:r>
    </w:p>
    <w:p>
      <w:pPr>
        <w:widowControl/>
      </w:pPr>
      <w:r>
        <w:t>Illustrative backend projection for an authorized chatbot task. Values are synthetic; fields may be absent when not permitted. This is not an authentication token and is not a payload to send wholesale to an advertising destination.</w:t>
      </w:r>
    </w:p>
    <w:p>
      <w:pPr>
        <w:pStyle w:val="CodeBlock"/>
        <w:keepNext/>
        <w:widowControl/>
        <w:shd w:fill="F0F4F7"/>
      </w:pPr>
      <w:r>
        <w:t>{</w:t>
      </w:r>
    </w:p>
    <w:p>
      <w:pPr>
        <w:pStyle w:val="CodeBlock"/>
        <w:keepNext/>
        <w:widowControl/>
        <w:shd w:fill="F0F4F7"/>
      </w:pPr>
      <w:r>
        <w:t xml:space="preserve">  "schema_version": 1,</w:t>
      </w:r>
    </w:p>
    <w:p>
      <w:pPr>
        <w:pStyle w:val="CodeBlock"/>
        <w:keepNext/>
        <w:widowControl/>
        <w:shd w:fill="F0F4F7"/>
      </w:pPr>
      <w:r>
        <w:t xml:space="preserve">  "context_id": "ctx_example_01",</w:t>
      </w:r>
    </w:p>
    <w:p>
      <w:pPr>
        <w:pStyle w:val="CodeBlock"/>
        <w:keepNext/>
        <w:widowControl/>
        <w:shd w:fill="F0F4F7"/>
      </w:pPr>
      <w:r>
        <w:t xml:space="preserve">  "site_id": "site_example",</w:t>
      </w:r>
    </w:p>
    <w:p>
      <w:pPr>
        <w:pStyle w:val="CodeBlock"/>
        <w:keepNext/>
        <w:widowControl/>
        <w:shd w:fill="F0F4F7"/>
      </w:pPr>
      <w:r>
        <w:t xml:space="preserve">  "conversation_id": "conv_example_01",</w:t>
      </w:r>
    </w:p>
    <w:p>
      <w:pPr>
        <w:pStyle w:val="CodeBlock"/>
        <w:keepNext/>
        <w:widowControl/>
        <w:shd w:fill="F0F4F7"/>
      </w:pPr>
      <w:r>
        <w:t xml:space="preserve">  "policy_version": "visitor_context_v1_1",</w:t>
      </w:r>
    </w:p>
    <w:p>
      <w:pPr>
        <w:pStyle w:val="CodeBlock"/>
        <w:keepNext/>
        <w:widowControl/>
        <w:shd w:fill="F0F4F7"/>
      </w:pPr>
      <w:r>
        <w:t xml:space="preserve">  "page": {"page_id": "pricing", "revision_id": "rev_42"},</w:t>
      </w:r>
    </w:p>
    <w:p>
      <w:pPr>
        <w:pStyle w:val="CodeBlock"/>
        <w:keepNext/>
        <w:widowControl/>
        <w:shd w:fill="F0F4F7"/>
      </w:pPr>
      <w:r>
        <w:t xml:space="preserve">  "language": "en",</w:t>
      </w:r>
    </w:p>
    <w:p>
      <w:pPr>
        <w:pStyle w:val="CodeBlock"/>
        <w:keepNext/>
        <w:widowControl/>
        <w:shd w:fill="F0F4F7"/>
      </w:pPr>
      <w:r>
        <w:t xml:space="preserve">  "visitor_selected_topic": "consultation",</w:t>
      </w:r>
    </w:p>
    <w:p>
      <w:pPr>
        <w:pStyle w:val="CodeBlock"/>
        <w:keepNext/>
        <w:widowControl/>
        <w:shd w:fill="F0F4F7"/>
      </w:pPr>
      <w:r>
        <w:t xml:space="preserve">  "service_area": {</w:t>
      </w:r>
    </w:p>
    <w:p>
      <w:pPr>
        <w:pStyle w:val="CodeBlock"/>
        <w:keepNext/>
        <w:widowControl/>
        <w:shd w:fill="F0F4F7"/>
      </w:pPr>
      <w:r>
        <w:t xml:space="preserve">    "id": "area_example",</w:t>
      </w:r>
    </w:p>
    <w:p>
      <w:pPr>
        <w:pStyle w:val="CodeBlock"/>
        <w:keepNext/>
        <w:widowControl/>
        <w:shd w:fill="F0F4F7"/>
      </w:pPr>
      <w:r>
        <w:t xml:space="preserve">    "source": "visitor_selected",</w:t>
      </w:r>
    </w:p>
    <w:p>
      <w:pPr>
        <w:pStyle w:val="CodeBlock"/>
        <w:keepNext/>
        <w:widowControl/>
        <w:shd w:fill="F0F4F7"/>
      </w:pPr>
      <w:r>
        <w:t xml:space="preserve">    "verification_state": "declared"</w:t>
      </w:r>
    </w:p>
    <w:p>
      <w:pPr>
        <w:pStyle w:val="CodeBlock"/>
        <w:keepNext/>
        <w:widowControl/>
        <w:shd w:fill="F0F4F7"/>
      </w:pPr>
      <w:r>
        <w:t xml:space="preserve">  },</w:t>
      </w:r>
    </w:p>
    <w:p>
      <w:pPr>
        <w:pStyle w:val="CodeBlock"/>
        <w:keepNext/>
        <w:widowControl/>
        <w:shd w:fill="F0F4F7"/>
      </w:pPr>
      <w:r>
        <w:t xml:space="preserve">  "allowed_actions": ["answer_public_faq", "request_lead_capture"],</w:t>
      </w:r>
    </w:p>
    <w:p>
      <w:pPr>
        <w:pStyle w:val="CodeBlock"/>
        <w:keepNext/>
        <w:widowControl/>
        <w:shd w:fill="F0F4F7"/>
      </w:pPr>
      <w:r>
        <w:t xml:space="preserve">  "expires_at": "2026-10-06T12:30:00Z"</w:t>
      </w:r>
    </w:p>
    <w:p>
      <w:pPr>
        <w:pStyle w:val="CodeBlock"/>
        <w:keepNext w:val="0"/>
        <w:widowControl/>
        <w:shd w:fill="F0F4F7"/>
      </w:pPr>
      <w:r>
        <w:t>}</w:t>
      </w:r>
    </w:p>
    <w:p>
      <w:pPr>
        <w:widowControl/>
      </w:pPr>
      <w:r>
        <w:t>The backend may separately associate eligible touch/assignment references with the conversation. They are not needed in the model prompt. When context expires or a purpose is revoked, resolve a new permitted projection rather than trusting this snapshot. Raw IP, latitude/longitude, phone, email, click identifiers and transcript history are intentionally absent.</w:t>
      </w:r>
    </w:p>
    <w:p>
      <w:pPr>
        <w:pStyle w:val="Heading2"/>
        <w:keepNext/>
        <w:widowControl/>
      </w:pPr>
      <w:r>
        <w:t>F.3 Manual deletion command and audit contract</w:t>
      </w:r>
    </w:p>
    <w:p>
      <w:pPr>
        <w:widowControl/>
      </w:pPr>
      <w:r>
        <w:t>The admin submits post_id, expected_version, operation type, reason and a confirmation binding. The backend derives actor/site/permissions from trusted authentication, checks dependencies/holds, and commits the state transition plus audit/outbox. The caller cannot supply an authoritative actor_id or approved=true field. Purge additionally resolves an independently approved, unexpired manifest.</w:t>
      </w:r>
    </w:p>
    <w:p>
      <w:pPr>
        <w:pStyle w:val="CodeBlock"/>
        <w:keepNext/>
        <w:widowControl/>
        <w:shd w:fill="F0F4F7"/>
      </w:pPr>
      <w:r>
        <w:t>{</w:t>
      </w:r>
    </w:p>
    <w:p>
      <w:pPr>
        <w:pStyle w:val="CodeBlock"/>
        <w:keepNext/>
        <w:widowControl/>
        <w:shd w:fill="F0F4F7"/>
      </w:pPr>
      <w:r>
        <w:t xml:space="preserve">  "audit_schema_version": 1,</w:t>
      </w:r>
    </w:p>
    <w:p>
      <w:pPr>
        <w:pStyle w:val="CodeBlock"/>
        <w:keepNext/>
        <w:widowControl/>
        <w:shd w:fill="F0F4F7"/>
      </w:pPr>
      <w:r>
        <w:t xml:space="preserve">  "audit_id": "aud_example_01",</w:t>
      </w:r>
    </w:p>
    <w:p>
      <w:pPr>
        <w:pStyle w:val="CodeBlock"/>
        <w:keepNext/>
        <w:widowControl/>
        <w:shd w:fill="F0F4F7"/>
      </w:pPr>
      <w:r>
        <w:t xml:space="preserve">  "operation_id": "op_example_01",</w:t>
      </w:r>
    </w:p>
    <w:p>
      <w:pPr>
        <w:pStyle w:val="CodeBlock"/>
        <w:keepNext/>
        <w:widowControl/>
        <w:shd w:fill="F0F4F7"/>
      </w:pPr>
      <w:r>
        <w:t xml:space="preserve">  "site_id": "site_example",</w:t>
      </w:r>
    </w:p>
    <w:p>
      <w:pPr>
        <w:pStyle w:val="CodeBlock"/>
        <w:keepNext/>
        <w:widowControl/>
        <w:shd w:fill="F0F4F7"/>
      </w:pPr>
      <w:r>
        <w:t xml:space="preserve">  "action": "content.trashed",</w:t>
      </w:r>
    </w:p>
    <w:p>
      <w:pPr>
        <w:pStyle w:val="CodeBlock"/>
        <w:keepNext/>
        <w:widowControl/>
        <w:shd w:fill="F0F4F7"/>
      </w:pPr>
      <w:r>
        <w:t xml:space="preserve">  "resource_type": "blog_post",</w:t>
      </w:r>
    </w:p>
    <w:p>
      <w:pPr>
        <w:pStyle w:val="CodeBlock"/>
        <w:keepNext/>
        <w:widowControl/>
        <w:shd w:fill="F0F4F7"/>
      </w:pPr>
      <w:r>
        <w:t xml:space="preserve">  "resource_id": "post_example_17",</w:t>
      </w:r>
    </w:p>
    <w:p>
      <w:pPr>
        <w:pStyle w:val="CodeBlock"/>
        <w:keepNext/>
        <w:widowControl/>
        <w:shd w:fill="F0F4F7"/>
      </w:pPr>
      <w:r>
        <w:t xml:space="preserve">  "resource_version": 9,</w:t>
      </w:r>
    </w:p>
    <w:p>
      <w:pPr>
        <w:pStyle w:val="CodeBlock"/>
        <w:keepNext/>
        <w:widowControl/>
        <w:shd w:fill="F0F4F7"/>
      </w:pPr>
      <w:r>
        <w:t xml:space="preserve">  "actor_type": "human",</w:t>
      </w:r>
    </w:p>
    <w:p>
      <w:pPr>
        <w:pStyle w:val="CodeBlock"/>
        <w:keepNext/>
        <w:widowControl/>
        <w:shd w:fill="F0F4F7"/>
      </w:pPr>
      <w:r>
        <w:t xml:space="preserve">  "actor_id": "staff_example_04",</w:t>
      </w:r>
    </w:p>
    <w:p>
      <w:pPr>
        <w:pStyle w:val="CodeBlock"/>
        <w:keepNext/>
        <w:widowControl/>
        <w:shd w:fill="F0F4F7"/>
      </w:pPr>
      <w:r>
        <w:t xml:space="preserve">  "reason_code": "owner_requested_removal",</w:t>
      </w:r>
    </w:p>
    <w:p>
      <w:pPr>
        <w:pStyle w:val="CodeBlock"/>
        <w:keepNext/>
        <w:widowControl/>
        <w:shd w:fill="F0F4F7"/>
      </w:pPr>
      <w:r>
        <w:t xml:space="preserve">  "outcome": "committed",</w:t>
      </w:r>
    </w:p>
    <w:p>
      <w:pPr>
        <w:pStyle w:val="CodeBlock"/>
        <w:keepNext/>
        <w:widowControl/>
        <w:shd w:fill="F0F4F7"/>
      </w:pPr>
      <w:r>
        <w:t xml:space="preserve">  "occurred_at": "2026-10-06T12:00:00Z",</w:t>
      </w:r>
    </w:p>
    <w:p>
      <w:pPr>
        <w:pStyle w:val="CodeBlock"/>
        <w:keepNext/>
        <w:widowControl/>
        <w:shd w:fill="F0F4F7"/>
      </w:pPr>
      <w:r>
        <w:t xml:space="preserve">  "request_id": "req_example_01",</w:t>
      </w:r>
    </w:p>
    <w:p>
      <w:pPr>
        <w:pStyle w:val="CodeBlock"/>
        <w:keepNext/>
        <w:widowControl/>
        <w:shd w:fill="F0F4F7"/>
      </w:pPr>
      <w:r>
        <w:t xml:space="preserve">  "changed_fields": ["deletion_state", "deleted_at", "deleted_by"],</w:t>
      </w:r>
    </w:p>
    <w:p>
      <w:pPr>
        <w:pStyle w:val="CodeBlock"/>
        <w:keepNext/>
        <w:widowControl/>
        <w:shd w:fill="F0F4F7"/>
      </w:pPr>
      <w:r>
        <w:t xml:space="preserve">  "request_context_ref": "restricted_context_example"</w:t>
      </w:r>
    </w:p>
    <w:p>
      <w:pPr>
        <w:pStyle w:val="CodeBlock"/>
        <w:keepNext w:val="0"/>
        <w:widowControl/>
        <w:shd w:fill="F0F4F7"/>
      </w:pPr>
      <w:r>
        <w:t>}</w:t>
      </w:r>
    </w:p>
    <w:p>
      <w:pPr>
        <w:widowControl/>
      </w:pPr>
      <w:r>
        <w:t>The restricted request-context reference is optional and purpose-bound. A safe audit entry is not permission to retain an entire IP/geo/profile forever. Keep the human initiator and execution service distinct for asynchronous purge; do not show only “system deleted this post.”</w:t>
      </w:r>
    </w:p>
    <w:p>
      <w:pPr>
        <w:pStyle w:val="Heading2"/>
        <w:keepNext/>
        <w:widowControl/>
      </w:pPr>
      <w:r>
        <w:t>F.4 Retention and destination matrix</w:t>
      </w:r>
    </w:p>
    <w:p>
      <w:pPr>
        <w:widowControl/>
      </w:pPr>
      <w:r>
        <w:t>The following are proposed starting defaults, not legal periods. The approved site-specific schedule governs actual deployment. Every field must have a purpose, owner, access rule and disposal behavior before activation. A data class may require shorter processing or a justified longer hold.</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117"/>
        <w:gridCol w:w="3859"/>
        <w:gridCol w:w="3855"/>
      </w:tblGrid>
      <w:tr>
        <w:trPr>
          <w:cantSplit/>
          <w:tblHeader w:val="true"/>
        </w:trPr>
        <w:tc>
          <w:tcPr>
            <w:tcW w:type="dxa" w:w="2117"/>
            <w:vAlign w:val="center"/>
            <w:shd w:fill="163349"/>
            <w:tcMar>
              <w:top w:w="80" w:type="dxa"/>
              <w:bottom w:w="70" w:type="dxa"/>
              <w:left w:w="90" w:type="dxa"/>
              <w:right w:w="90" w:type="dxa"/>
            </w:tcMar>
          </w:tcPr>
          <w:p>
            <w:pPr>
              <w:pStyle w:val="TableText"/>
              <w:keepNext/>
              <w:widowControl/>
              <w:spacing w:after="40"/>
            </w:pPr>
            <w:r>
              <w:rPr>
                <w:b/>
                <w:color w:val="FFFFFF"/>
                <w:sz w:val="18"/>
              </w:rPr>
              <w:t>Data class</w:t>
            </w:r>
          </w:p>
        </w:tc>
        <w:tc>
          <w:tcPr>
            <w:tcW w:type="dxa" w:w="3859"/>
            <w:vAlign w:val="center"/>
            <w:shd w:fill="163349"/>
            <w:tcMar>
              <w:top w:w="80" w:type="dxa"/>
              <w:bottom w:w="70" w:type="dxa"/>
              <w:left w:w="90" w:type="dxa"/>
              <w:right w:w="90" w:type="dxa"/>
            </w:tcMar>
          </w:tcPr>
          <w:p>
            <w:pPr>
              <w:pStyle w:val="TableText"/>
              <w:keepNext/>
              <w:widowControl/>
              <w:spacing w:after="40"/>
            </w:pPr>
            <w:r>
              <w:rPr>
                <w:b/>
                <w:color w:val="FFFFFF"/>
                <w:sz w:val="18"/>
              </w:rPr>
              <w:t>Starting policy</w:t>
            </w:r>
          </w:p>
        </w:tc>
        <w:tc>
          <w:tcPr>
            <w:tcW w:type="dxa" w:w="3855"/>
            <w:vAlign w:val="center"/>
            <w:shd w:fill="163349"/>
            <w:tcMar>
              <w:top w:w="80" w:type="dxa"/>
              <w:bottom w:w="70" w:type="dxa"/>
              <w:left w:w="90" w:type="dxa"/>
              <w:right w:w="90" w:type="dxa"/>
            </w:tcMar>
          </w:tcPr>
          <w:p>
            <w:pPr>
              <w:pStyle w:val="TableText"/>
              <w:keepNext/>
              <w:widowControl/>
              <w:spacing w:after="40"/>
            </w:pPr>
            <w:r>
              <w:rPr>
                <w:b/>
                <w:color w:val="FFFFFF"/>
                <w:sz w:val="18"/>
              </w:rPr>
              <w:t>Access / external transfer</w:t>
            </w:r>
          </w:p>
        </w:tc>
      </w:tr>
      <w:tr>
        <w:trPr>
          <w:cantSplit/>
        </w:trPr>
        <w:tc>
          <w:tcPr>
            <w:tcW w:type="dxa" w:w="2117"/>
            <w:vAlign w:val="center"/>
            <w:shd w:fill="F2F7F9"/>
            <w:tcMar>
              <w:top w:w="80" w:type="dxa"/>
              <w:bottom w:w="70" w:type="dxa"/>
              <w:left w:w="90" w:type="dxa"/>
              <w:right w:w="90" w:type="dxa"/>
            </w:tcMar>
          </w:tcPr>
          <w:p>
            <w:pPr>
              <w:pStyle w:val="TableText"/>
              <w:keepNext w:val="0"/>
              <w:widowControl/>
              <w:spacing w:after="40"/>
            </w:pPr>
            <w:r>
              <w:rPr>
                <w:b/>
                <w:sz w:val="18"/>
              </w:rPr>
              <w:t>Blog source posts and revisions, including trash</w:t>
            </w:r>
          </w:p>
        </w:tc>
        <w:tc>
          <w:tcPr>
            <w:tcW w:type="dxa" w:w="3859"/>
            <w:vAlign w:val="center"/>
            <w:shd w:fill="F2F7F9"/>
            <w:tcMar>
              <w:top w:w="80" w:type="dxa"/>
              <w:bottom w:w="70" w:type="dxa"/>
              <w:left w:w="90" w:type="dxa"/>
              <w:right w:w="90" w:type="dxa"/>
            </w:tcMar>
          </w:tcPr>
          <w:p>
            <w:pPr>
              <w:pStyle w:val="TableText"/>
              <w:keepNext w:val="0"/>
              <w:widowControl/>
              <w:spacing w:after="40"/>
            </w:pPr>
            <w:r>
              <w:rPr>
                <w:sz w:val="18"/>
              </w:rPr>
              <w:t>No automatic deletion. Retain until authorized manual source-content removal or lawful exception.</w:t>
            </w:r>
          </w:p>
        </w:tc>
        <w:tc>
          <w:tcPr>
            <w:tcW w:type="dxa" w:w="3855"/>
            <w:vAlign w:val="center"/>
            <w:shd w:fill="F2F7F9"/>
            <w:tcMar>
              <w:top w:w="80" w:type="dxa"/>
              <w:bottom w:w="70" w:type="dxa"/>
              <w:left w:w="90" w:type="dxa"/>
              <w:right w:w="90" w:type="dxa"/>
            </w:tcMar>
          </w:tcPr>
          <w:p>
            <w:pPr>
              <w:pStyle w:val="TableText"/>
              <w:keepNext w:val="0"/>
              <w:widowControl/>
              <w:spacing w:after="40"/>
            </w:pPr>
            <w:r>
              <w:rPr>
                <w:sz w:val="18"/>
              </w:rPr>
              <w:t>Editorial access; only published content is public. No automatic purge by analytics retention jobs.</w:t>
            </w:r>
          </w:p>
        </w:tc>
      </w:tr>
      <w:tr>
        <w:trPr>
          <w:cantSplit/>
        </w:trPr>
        <w:tc>
          <w:tcPr>
            <w:tcW w:type="dxa" w:w="2117"/>
            <w:vAlign w:val="center"/>
            <w:shd w:fill="FFFFFF"/>
            <w:tcMar>
              <w:top w:w="80" w:type="dxa"/>
              <w:bottom w:w="70" w:type="dxa"/>
              <w:left w:w="90" w:type="dxa"/>
              <w:right w:w="90" w:type="dxa"/>
            </w:tcMar>
          </w:tcPr>
          <w:p>
            <w:pPr>
              <w:pStyle w:val="TableText"/>
              <w:keepNext w:val="0"/>
              <w:widowControl/>
              <w:spacing w:after="40"/>
            </w:pPr>
            <w:r>
              <w:rPr>
                <w:b/>
                <w:sz w:val="18"/>
              </w:rPr>
              <w:t>Raw visitor IP</w:t>
            </w:r>
          </w:p>
        </w:tc>
        <w:tc>
          <w:tcPr>
            <w:tcW w:type="dxa" w:w="3859"/>
            <w:vAlign w:val="center"/>
            <w:shd w:fill="FFFFFF"/>
            <w:tcMar>
              <w:top w:w="80" w:type="dxa"/>
              <w:bottom w:w="70" w:type="dxa"/>
              <w:left w:w="90" w:type="dxa"/>
              <w:right w:w="90" w:type="dxa"/>
            </w:tcMar>
          </w:tcPr>
          <w:p>
            <w:pPr>
              <w:pStyle w:val="TableText"/>
              <w:keepNext w:val="0"/>
              <w:widowControl/>
              <w:spacing w:after="40"/>
            </w:pPr>
            <w:r>
              <w:rPr>
                <w:sz w:val="18"/>
              </w:rPr>
              <w:t>Avoid persistence when transient processing is sufficient; otherwise propose a short security window such as 7–30 days, subject to approved obligations.</w:t>
            </w:r>
          </w:p>
        </w:tc>
        <w:tc>
          <w:tcPr>
            <w:tcW w:type="dxa" w:w="3855"/>
            <w:vAlign w:val="center"/>
            <w:shd w:fill="FFFFFF"/>
            <w:tcMar>
              <w:top w:w="80" w:type="dxa"/>
              <w:bottom w:w="70" w:type="dxa"/>
              <w:left w:w="90" w:type="dxa"/>
              <w:right w:w="90" w:type="dxa"/>
            </w:tcMar>
          </w:tcPr>
          <w:p>
            <w:pPr>
              <w:pStyle w:val="TableText"/>
              <w:keepNext w:val="0"/>
              <w:widowControl/>
              <w:spacing w:after="40"/>
            </w:pPr>
            <w:r>
              <w:rPr>
                <w:sz w:val="18"/>
              </w:rPr>
              <w:t>Security/approved adapter only; no generic analytics dimension or chatbot prompt.</w:t>
            </w:r>
          </w:p>
        </w:tc>
      </w:tr>
      <w:tr>
        <w:trPr>
          <w:cantSplit/>
        </w:trPr>
        <w:tc>
          <w:tcPr>
            <w:tcW w:type="dxa" w:w="2117"/>
            <w:vAlign w:val="center"/>
            <w:shd w:fill="F2F7F9"/>
            <w:tcMar>
              <w:top w:w="80" w:type="dxa"/>
              <w:bottom w:w="70" w:type="dxa"/>
              <w:left w:w="90" w:type="dxa"/>
              <w:right w:w="90" w:type="dxa"/>
            </w:tcMar>
          </w:tcPr>
          <w:p>
            <w:pPr>
              <w:pStyle w:val="TableText"/>
              <w:keepNext w:val="0"/>
              <w:widowControl/>
              <w:spacing w:after="40"/>
            </w:pPr>
            <w:r>
              <w:rPr>
                <w:b/>
                <w:sz w:val="18"/>
              </w:rPr>
              <w:t>Precise browser coordinates</w:t>
            </w:r>
          </w:p>
        </w:tc>
        <w:tc>
          <w:tcPr>
            <w:tcW w:type="dxa" w:w="3859"/>
            <w:vAlign w:val="center"/>
            <w:shd w:fill="F2F7F9"/>
            <w:tcMar>
              <w:top w:w="80" w:type="dxa"/>
              <w:bottom w:w="70" w:type="dxa"/>
              <w:left w:w="90" w:type="dxa"/>
              <w:right w:w="90" w:type="dxa"/>
            </w:tcMar>
          </w:tcPr>
          <w:p>
            <w:pPr>
              <w:pStyle w:val="TableText"/>
              <w:keepNext w:val="0"/>
              <w:widowControl/>
              <w:spacing w:after="40"/>
            </w:pPr>
            <w:r>
              <w:rPr>
                <w:sz w:val="18"/>
              </w:rPr>
              <w:t>Prefer in-memory task processing and immediate discard; exceptional persistence needs a stated task-specific expiry.</w:t>
            </w:r>
          </w:p>
        </w:tc>
        <w:tc>
          <w:tcPr>
            <w:tcW w:type="dxa" w:w="3855"/>
            <w:vAlign w:val="center"/>
            <w:shd w:fill="F2F7F9"/>
            <w:tcMar>
              <w:top w:w="80" w:type="dxa"/>
              <w:bottom w:w="70" w:type="dxa"/>
              <w:left w:w="90" w:type="dxa"/>
              <w:right w:w="90" w:type="dxa"/>
            </w:tcMar>
          </w:tcPr>
          <w:p>
            <w:pPr>
              <w:pStyle w:val="TableText"/>
              <w:keepNext w:val="0"/>
              <w:widowControl/>
              <w:spacing w:after="40"/>
            </w:pPr>
            <w:r>
              <w:rPr>
                <w:sz w:val="18"/>
              </w:rPr>
              <w:t>Protected location service; return a derived service-area result where possible.</w:t>
            </w:r>
          </w:p>
        </w:tc>
      </w:tr>
      <w:tr>
        <w:trPr>
          <w:cantSplit/>
        </w:trPr>
        <w:tc>
          <w:tcPr>
            <w:tcW w:type="dxa" w:w="2117"/>
            <w:vAlign w:val="center"/>
            <w:shd w:fill="FFFFFF"/>
            <w:tcMar>
              <w:top w:w="80" w:type="dxa"/>
              <w:bottom w:w="70" w:type="dxa"/>
              <w:left w:w="90" w:type="dxa"/>
              <w:right w:w="90" w:type="dxa"/>
            </w:tcMar>
          </w:tcPr>
          <w:p>
            <w:pPr>
              <w:pStyle w:val="TableText"/>
              <w:keepNext w:val="0"/>
              <w:widowControl/>
              <w:spacing w:after="40"/>
            </w:pPr>
            <w:r>
              <w:rPr>
                <w:b/>
                <w:sz w:val="18"/>
              </w:rPr>
              <w:t>Approximate location and behavioral events</w:t>
            </w:r>
          </w:p>
        </w:tc>
        <w:tc>
          <w:tcPr>
            <w:tcW w:type="dxa" w:w="3859"/>
            <w:vAlign w:val="center"/>
            <w:shd w:fill="FFFFFF"/>
            <w:tcMar>
              <w:top w:w="80" w:type="dxa"/>
              <w:bottom w:w="70" w:type="dxa"/>
              <w:left w:w="90" w:type="dxa"/>
              <w:right w:w="90" w:type="dxa"/>
            </w:tcMar>
          </w:tcPr>
          <w:p>
            <w:pPr>
              <w:pStyle w:val="TableText"/>
              <w:keepNext w:val="0"/>
              <w:widowControl/>
              <w:spacing w:after="40"/>
            </w:pPr>
            <w:r>
              <w:rPr>
                <w:sz w:val="18"/>
              </w:rPr>
              <w:t>Default to the approved Chapter 17 short-window event schedule; coarse data only.</w:t>
            </w:r>
          </w:p>
        </w:tc>
        <w:tc>
          <w:tcPr>
            <w:tcW w:type="dxa" w:w="3855"/>
            <w:vAlign w:val="center"/>
            <w:shd w:fill="FFFFFF"/>
            <w:tcMar>
              <w:top w:w="80" w:type="dxa"/>
              <w:bottom w:w="70" w:type="dxa"/>
              <w:left w:w="90" w:type="dxa"/>
              <w:right w:w="90" w:type="dxa"/>
            </w:tcMar>
          </w:tcPr>
          <w:p>
            <w:pPr>
              <w:pStyle w:val="TableText"/>
              <w:keepNext w:val="0"/>
              <w:widowControl/>
              <w:spacing w:after="40"/>
            </w:pPr>
            <w:r>
              <w:rPr>
                <w:sz w:val="18"/>
              </w:rPr>
              <w:t>Purpose-controlled analytics with minimum cohort protections.</w:t>
            </w:r>
          </w:p>
        </w:tc>
      </w:tr>
      <w:tr>
        <w:trPr>
          <w:cantSplit/>
        </w:trPr>
        <w:tc>
          <w:tcPr>
            <w:tcW w:type="dxa" w:w="2117"/>
            <w:vAlign w:val="center"/>
            <w:shd w:fill="F2F7F9"/>
            <w:tcMar>
              <w:top w:w="80" w:type="dxa"/>
              <w:bottom w:w="70" w:type="dxa"/>
              <w:left w:w="90" w:type="dxa"/>
              <w:right w:w="90" w:type="dxa"/>
            </w:tcMar>
          </w:tcPr>
          <w:p>
            <w:pPr>
              <w:pStyle w:val="TableText"/>
              <w:keepNext w:val="0"/>
              <w:widowControl/>
              <w:spacing w:after="40"/>
            </w:pPr>
            <w:r>
              <w:rPr>
                <w:b/>
                <w:sz w:val="18"/>
              </w:rPr>
              <w:t>UTM touches and click identifiers</w:t>
            </w:r>
          </w:p>
        </w:tc>
        <w:tc>
          <w:tcPr>
            <w:tcW w:type="dxa" w:w="3859"/>
            <w:vAlign w:val="center"/>
            <w:shd w:fill="F2F7F9"/>
            <w:tcMar>
              <w:top w:w="80" w:type="dxa"/>
              <w:bottom w:w="70" w:type="dxa"/>
              <w:left w:w="90" w:type="dxa"/>
              <w:right w:w="90" w:type="dxa"/>
            </w:tcMar>
          </w:tcPr>
          <w:p>
            <w:pPr>
              <w:pStyle w:val="TableText"/>
              <w:keepNext w:val="0"/>
              <w:widowControl/>
              <w:spacing w:after="40"/>
            </w:pPr>
            <w:r>
              <w:rPr>
                <w:sz w:val="18"/>
              </w:rPr>
              <w:t>Declared attribution lookback and destination eligibility/expiry; not unlimited history.</w:t>
            </w:r>
          </w:p>
        </w:tc>
        <w:tc>
          <w:tcPr>
            <w:tcW w:type="dxa" w:w="3855"/>
            <w:vAlign w:val="center"/>
            <w:shd w:fill="F2F7F9"/>
            <w:tcMar>
              <w:top w:w="80" w:type="dxa"/>
              <w:bottom w:w="70" w:type="dxa"/>
              <w:left w:w="90" w:type="dxa"/>
              <w:right w:w="90" w:type="dxa"/>
            </w:tcMar>
          </w:tcPr>
          <w:p>
            <w:pPr>
              <w:pStyle w:val="TableText"/>
              <w:keepNext w:val="0"/>
              <w:widowControl/>
              <w:spacing w:after="40"/>
            </w:pPr>
            <w:r>
              <w:rPr>
                <w:sz w:val="18"/>
              </w:rPr>
              <w:t>Restricted identifier store; only eligible destination-specific transmission.</w:t>
            </w:r>
          </w:p>
        </w:tc>
      </w:tr>
      <w:tr>
        <w:trPr>
          <w:cantSplit/>
        </w:trPr>
        <w:tc>
          <w:tcPr>
            <w:tcW w:type="dxa" w:w="2117"/>
            <w:vAlign w:val="center"/>
            <w:shd w:fill="FFFFFF"/>
            <w:tcMar>
              <w:top w:w="80" w:type="dxa"/>
              <w:bottom w:w="70" w:type="dxa"/>
              <w:left w:w="90" w:type="dxa"/>
              <w:right w:w="90" w:type="dxa"/>
            </w:tcMar>
          </w:tcPr>
          <w:p>
            <w:pPr>
              <w:pStyle w:val="TableText"/>
              <w:keepNext w:val="0"/>
              <w:widowControl/>
              <w:spacing w:after="40"/>
            </w:pPr>
            <w:r>
              <w:rPr>
                <w:b/>
                <w:sz w:val="18"/>
              </w:rPr>
              <w:t>Chat transcripts and attachments</w:t>
            </w:r>
          </w:p>
        </w:tc>
        <w:tc>
          <w:tcPr>
            <w:tcW w:type="dxa" w:w="3859"/>
            <w:vAlign w:val="center"/>
            <w:shd w:fill="FFFFFF"/>
            <w:tcMar>
              <w:top w:w="80" w:type="dxa"/>
              <w:bottom w:w="70" w:type="dxa"/>
              <w:left w:w="90" w:type="dxa"/>
              <w:right w:w="90" w:type="dxa"/>
            </w:tcMar>
          </w:tcPr>
          <w:p>
            <w:pPr>
              <w:pStyle w:val="TableText"/>
              <w:keepNext w:val="0"/>
              <w:widowControl/>
              <w:spacing w:after="40"/>
            </w:pPr>
            <w:r>
              <w:rPr>
                <w:sz w:val="18"/>
              </w:rPr>
              <w:t>Proposed 30–90 days for support triage unless case-specific obligations justify another period.</w:t>
            </w:r>
          </w:p>
        </w:tc>
        <w:tc>
          <w:tcPr>
            <w:tcW w:type="dxa" w:w="3855"/>
            <w:vAlign w:val="center"/>
            <w:shd w:fill="FFFFFF"/>
            <w:tcMar>
              <w:top w:w="80" w:type="dxa"/>
              <w:bottom w:w="70" w:type="dxa"/>
              <w:left w:w="90" w:type="dxa"/>
              <w:right w:w="90" w:type="dxa"/>
            </w:tcMar>
          </w:tcPr>
          <w:p>
            <w:pPr>
              <w:pStyle w:val="TableText"/>
              <w:keepNext w:val="0"/>
              <w:widowControl/>
              <w:spacing w:after="40"/>
            </w:pPr>
            <w:r>
              <w:rPr>
                <w:sz w:val="18"/>
              </w:rPr>
              <w:t>Assigned support staff and approved processing; no session replay or ad payloads.</w:t>
            </w:r>
          </w:p>
        </w:tc>
      </w:tr>
      <w:tr>
        <w:trPr>
          <w:cantSplit/>
        </w:trPr>
        <w:tc>
          <w:tcPr>
            <w:tcW w:type="dxa" w:w="2117"/>
            <w:vAlign w:val="center"/>
            <w:shd w:fill="F2F7F9"/>
            <w:tcMar>
              <w:top w:w="80" w:type="dxa"/>
              <w:bottom w:w="70" w:type="dxa"/>
              <w:left w:w="90" w:type="dxa"/>
              <w:right w:w="90" w:type="dxa"/>
            </w:tcMar>
          </w:tcPr>
          <w:p>
            <w:pPr>
              <w:pStyle w:val="TableText"/>
              <w:keepNext w:val="0"/>
              <w:widowControl/>
              <w:spacing w:after="40"/>
            </w:pPr>
            <w:r>
              <w:rPr>
                <w:b/>
                <w:sz w:val="18"/>
              </w:rPr>
              <w:t>Accepted leads and verified business records</w:t>
            </w:r>
          </w:p>
        </w:tc>
        <w:tc>
          <w:tcPr>
            <w:tcW w:type="dxa" w:w="3859"/>
            <w:vAlign w:val="center"/>
            <w:shd w:fill="F2F7F9"/>
            <w:tcMar>
              <w:top w:w="80" w:type="dxa"/>
              <w:bottom w:w="70" w:type="dxa"/>
              <w:left w:w="90" w:type="dxa"/>
              <w:right w:w="90" w:type="dxa"/>
            </w:tcMar>
          </w:tcPr>
          <w:p>
            <w:pPr>
              <w:pStyle w:val="TableText"/>
              <w:keepNext w:val="0"/>
              <w:widowControl/>
              <w:spacing w:after="40"/>
            </w:pPr>
            <w:r>
              <w:rPr>
                <w:sz w:val="18"/>
              </w:rPr>
              <w:t>Business/legal schedule under Chapter 17, independent from transcript expiry.</w:t>
            </w:r>
          </w:p>
        </w:tc>
        <w:tc>
          <w:tcPr>
            <w:tcW w:type="dxa" w:w="3855"/>
            <w:vAlign w:val="center"/>
            <w:shd w:fill="F2F7F9"/>
            <w:tcMar>
              <w:top w:w="80" w:type="dxa"/>
              <w:bottom w:w="70" w:type="dxa"/>
              <w:left w:w="90" w:type="dxa"/>
              <w:right w:w="90" w:type="dxa"/>
            </w:tcMar>
          </w:tcPr>
          <w:p>
            <w:pPr>
              <w:pStyle w:val="TableText"/>
              <w:keepNext w:val="0"/>
              <w:widowControl/>
              <w:spacing w:after="40"/>
            </w:pPr>
            <w:r>
              <w:rPr>
                <w:sz w:val="18"/>
              </w:rPr>
              <w:t>Authorized CRM/support/business integrations.</w:t>
            </w:r>
          </w:p>
        </w:tc>
      </w:tr>
      <w:tr>
        <w:trPr>
          <w:cantSplit/>
        </w:trPr>
        <w:tc>
          <w:tcPr>
            <w:tcW w:type="dxa" w:w="2117"/>
            <w:vAlign w:val="center"/>
            <w:shd w:fill="FFFFFF"/>
            <w:tcMar>
              <w:top w:w="80" w:type="dxa"/>
              <w:bottom w:w="70" w:type="dxa"/>
              <w:left w:w="90" w:type="dxa"/>
              <w:right w:w="90" w:type="dxa"/>
            </w:tcMar>
          </w:tcPr>
          <w:p>
            <w:pPr>
              <w:pStyle w:val="TableText"/>
              <w:keepNext w:val="0"/>
              <w:widowControl/>
              <w:spacing w:after="40"/>
            </w:pPr>
            <w:r>
              <w:rPr>
                <w:b/>
                <w:sz w:val="18"/>
              </w:rPr>
              <w:t>Experiment assignments/results</w:t>
            </w:r>
          </w:p>
        </w:tc>
        <w:tc>
          <w:tcPr>
            <w:tcW w:type="dxa" w:w="3859"/>
            <w:vAlign w:val="center"/>
            <w:shd w:fill="FFFFFF"/>
            <w:tcMar>
              <w:top w:w="80" w:type="dxa"/>
              <w:bottom w:w="70" w:type="dxa"/>
              <w:left w:w="90" w:type="dxa"/>
              <w:right w:w="90" w:type="dxa"/>
            </w:tcMar>
          </w:tcPr>
          <w:p>
            <w:pPr>
              <w:pStyle w:val="TableText"/>
              <w:keepNext w:val="0"/>
              <w:widowControl/>
              <w:spacing w:after="40"/>
            </w:pPr>
            <w:r>
              <w:rPr>
                <w:sz w:val="18"/>
              </w:rPr>
              <w:t>Keep identifiable enrollment only through the approved analysis/maturation window; retain justified aggregate decisions longer.</w:t>
            </w:r>
          </w:p>
        </w:tc>
        <w:tc>
          <w:tcPr>
            <w:tcW w:type="dxa" w:w="3855"/>
            <w:vAlign w:val="center"/>
            <w:shd w:fill="FFFFFF"/>
            <w:tcMar>
              <w:top w:w="80" w:type="dxa"/>
              <w:bottom w:w="70" w:type="dxa"/>
              <w:left w:w="90" w:type="dxa"/>
              <w:right w:w="90" w:type="dxa"/>
            </w:tcMar>
          </w:tcPr>
          <w:p>
            <w:pPr>
              <w:pStyle w:val="TableText"/>
              <w:keepNext w:val="0"/>
              <w:widowControl/>
              <w:spacing w:after="40"/>
            </w:pPr>
            <w:r>
              <w:rPr>
                <w:sz w:val="18"/>
              </w:rPr>
              <w:t>Restricted analysis; published decisions do not expose personal units.</w:t>
            </w:r>
          </w:p>
        </w:tc>
      </w:tr>
      <w:tr>
        <w:trPr>
          <w:cantSplit/>
        </w:trPr>
        <w:tc>
          <w:tcPr>
            <w:tcW w:type="dxa" w:w="2117"/>
            <w:vAlign w:val="center"/>
            <w:shd w:fill="F2F7F9"/>
            <w:tcMar>
              <w:top w:w="80" w:type="dxa"/>
              <w:bottom w:w="70" w:type="dxa"/>
              <w:left w:w="90" w:type="dxa"/>
              <w:right w:w="90" w:type="dxa"/>
            </w:tcMar>
          </w:tcPr>
          <w:p>
            <w:pPr>
              <w:pStyle w:val="TableText"/>
              <w:keepNext w:val="0"/>
              <w:widowControl/>
              <w:spacing w:after="40"/>
            </w:pPr>
            <w:r>
              <w:rPr>
                <w:b/>
                <w:sz w:val="18"/>
              </w:rPr>
              <w:t>Minimal critical audit evidence</w:t>
            </w:r>
          </w:p>
        </w:tc>
        <w:tc>
          <w:tcPr>
            <w:tcW w:type="dxa" w:w="3859"/>
            <w:vAlign w:val="center"/>
            <w:shd w:fill="F2F7F9"/>
            <w:tcMar>
              <w:top w:w="80" w:type="dxa"/>
              <w:bottom w:w="70" w:type="dxa"/>
              <w:left w:w="90" w:type="dxa"/>
              <w:right w:w="90" w:type="dxa"/>
            </w:tcMar>
          </w:tcPr>
          <w:p>
            <w:pPr>
              <w:pStyle w:val="TableText"/>
              <w:keepNext w:val="0"/>
              <w:widowControl/>
              <w:spacing w:after="40"/>
            </w:pPr>
            <w:r>
              <w:rPr>
                <w:sz w:val="18"/>
              </w:rPr>
              <w:t>Security/legal owner approves a justified period, for example 12 months where appropriate; hold rules explicit.</w:t>
            </w:r>
          </w:p>
        </w:tc>
        <w:tc>
          <w:tcPr>
            <w:tcW w:type="dxa" w:w="3855"/>
            <w:vAlign w:val="center"/>
            <w:shd w:fill="F2F7F9"/>
            <w:tcMar>
              <w:top w:w="80" w:type="dxa"/>
              <w:bottom w:w="70" w:type="dxa"/>
              <w:left w:w="90" w:type="dxa"/>
              <w:right w:w="90" w:type="dxa"/>
            </w:tcMar>
          </w:tcPr>
          <w:p>
            <w:pPr>
              <w:pStyle w:val="TableText"/>
              <w:keepNext w:val="0"/>
              <w:widowControl/>
              <w:spacing w:after="40"/>
            </w:pPr>
            <w:r>
              <w:rPr>
                <w:sz w:val="18"/>
              </w:rPr>
              <w:t>Append-oriented restricted storage with independent verification; no ordinary admin erasure.</w:t>
            </w:r>
          </w:p>
        </w:tc>
      </w:tr>
      <w:tr>
        <w:trPr>
          <w:cantSplit/>
        </w:trPr>
        <w:tc>
          <w:tcPr>
            <w:tcW w:type="dxa" w:w="2117"/>
            <w:vAlign w:val="center"/>
            <w:shd w:fill="FFFFFF"/>
            <w:tcMar>
              <w:top w:w="80" w:type="dxa"/>
              <w:bottom w:w="70" w:type="dxa"/>
              <w:left w:w="90" w:type="dxa"/>
              <w:right w:w="90" w:type="dxa"/>
            </w:tcMar>
          </w:tcPr>
          <w:p>
            <w:pPr>
              <w:pStyle w:val="TableText"/>
              <w:keepNext w:val="0"/>
              <w:widowControl/>
              <w:spacing w:after="40"/>
            </w:pPr>
            <w:r>
              <w:rPr>
                <w:b/>
                <w:sz w:val="18"/>
              </w:rPr>
              <w:t>Backups and exports</w:t>
            </w:r>
          </w:p>
        </w:tc>
        <w:tc>
          <w:tcPr>
            <w:tcW w:type="dxa" w:w="3859"/>
            <w:vAlign w:val="center"/>
            <w:shd w:fill="FFFFFF"/>
            <w:tcMar>
              <w:top w:w="80" w:type="dxa"/>
              <w:bottom w:w="70" w:type="dxa"/>
              <w:left w:w="90" w:type="dxa"/>
              <w:right w:w="90" w:type="dxa"/>
            </w:tcMar>
          </w:tcPr>
          <w:p>
            <w:pPr>
              <w:pStyle w:val="TableText"/>
              <w:keepNext w:val="0"/>
              <w:widowControl/>
              <w:spacing w:after="40"/>
            </w:pPr>
            <w:r>
              <w:rPr>
                <w:sz w:val="18"/>
              </w:rPr>
              <w:t>Approved rolling expiry; short-lived export links; restore-time deletion reconciliation.</w:t>
            </w:r>
          </w:p>
        </w:tc>
        <w:tc>
          <w:tcPr>
            <w:tcW w:type="dxa" w:w="3855"/>
            <w:vAlign w:val="center"/>
            <w:shd w:fill="FFFFFF"/>
            <w:tcMar>
              <w:top w:w="80" w:type="dxa"/>
              <w:bottom w:w="70" w:type="dxa"/>
              <w:left w:w="90" w:type="dxa"/>
              <w:right w:w="90" w:type="dxa"/>
            </w:tcMar>
          </w:tcPr>
          <w:p>
            <w:pPr>
              <w:pStyle w:val="TableText"/>
              <w:keepNext w:val="0"/>
              <w:widowControl/>
              <w:spacing w:after="40"/>
            </w:pPr>
            <w:r>
              <w:rPr>
                <w:sz w:val="18"/>
              </w:rPr>
              <w:t>Encrypted, restricted and audited; backup expiry does not delete live retained blogs.</w:t>
            </w:r>
          </w:p>
        </w:tc>
      </w:tr>
    </w:tbl>
    <w:p>
      <w:pPr>
        <w:pStyle w:val="Heading2"/>
        <w:keepNext/>
        <w:widowControl/>
      </w:pPr>
      <w:r>
        <w:t>F.5 Privacy-state acceptance matrix</w:t>
      </w:r>
    </w:p>
    <w:p>
      <w:pPr>
        <w:widowControl/>
      </w:pPr>
      <w:r>
        <w:t>No optional consent: serve the ordinary control page, permit functional support and a submitted enquiry, and avoid optional tracking identities/history. Analytics only: permit approved internal/GA4 analysis and eligible experiments under the declared purpose, but suppress advertising destinations. Ads permission does not by itself grant location permission or allow prohibited data. Location permission supports only the stated location task. Withdrawal revokes future optional use and queued dispatch according to policy; a separate rights process handles past records where applicable.</w:t>
      </w:r>
    </w:p>
    <w:p>
      <w:pPr>
        <w:widowControl/>
      </w:pPr>
      <w:r>
        <w:t>A stored consent record is necessary evidence where required, not an eternal override of current choices. Backend dispatch and context projection recheck current eligibility. Browser privacy controls, required opt-outs and applicable jurisdictional rules remain part of the project's reviewed policy.</w:t>
      </w:r>
    </w:p>
    <w:p>
      <w:pPr>
        <w:pStyle w:val="Heading1"/>
        <w:keepNext/>
        <w:pageBreakBefore/>
        <w:widowControl/>
        <w:spacing w:before="240"/>
        <w:pBdr>
          <w:bottom w:val="single" w:sz="8" w:color="087F83" w:space="8"/>
        </w:pBdr>
      </w:pPr>
      <w:bookmarkStart w:id="331" w:name="v12_appG"/>
      <w:bookmarkStart w:id="97" w:name="appendix_G"/>
      <w:r>
        <w:t>Appendix G | Extended release checklist and evidence register</w:t>
      </w:r>
      <w:bookmarkEnd w:id="97"/>
      <w:bookmarkEnd w:id="331"/>
      <w:bookmarkStart w:id="635" w:name="tocfinal_app_G"/>
      <w:bookmarkEnd w:id="635"/>
    </w:p>
    <w:p>
      <w:pPr>
        <w:pStyle w:val="Heading2"/>
        <w:keepNext/>
        <w:widowControl/>
      </w:pPr>
      <w:r>
        <w:t>G.1 Mandatory test cases</w:t>
      </w:r>
    </w:p>
    <w:p>
      <w:pPr>
        <w:widowControl/>
      </w:pPr>
      <w:r>
        <w:t xml:space="preserve">These are requirements to execute, not passed results. Add code/test links, named owner, environment, evidence, run date and status to the project register. Test with synthetic visitors, contacts, locations and accounts; do not leak real personal records into test artifacts. Playwright supports geolocation emulation for automated fixtures; also verify actual supported mobile and in-app browsers. </w:t>
      </w:r>
      <w:hyperlink w:anchor="ref_R61">
        <w:r>
          <w:rPr>
            <w:color w:val="087F83"/>
            <w:b/>
          </w:rPr>
          <w:t>[R61]</w:t>
        </w:r>
      </w:hyperlink>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994"/>
        <w:gridCol w:w="3542"/>
        <w:gridCol w:w="5295"/>
      </w:tblGrid>
      <w:tr>
        <w:trPr>
          <w:cantSplit/>
          <w:tblHeader w:val="true"/>
        </w:trPr>
        <w:tc>
          <w:tcPr>
            <w:tcW w:type="dxa" w:w="994"/>
            <w:vAlign w:val="center"/>
            <w:shd w:fill="163349"/>
            <w:tcMar>
              <w:top w:w="80" w:type="dxa"/>
              <w:bottom w:w="70" w:type="dxa"/>
              <w:left w:w="90" w:type="dxa"/>
              <w:right w:w="90" w:type="dxa"/>
            </w:tcMar>
          </w:tcPr>
          <w:p>
            <w:pPr>
              <w:pStyle w:val="TableText"/>
              <w:keepNext/>
              <w:widowControl/>
              <w:spacing w:after="40"/>
            </w:pPr>
            <w:r>
              <w:rPr>
                <w:b/>
                <w:color w:val="FFFFFF"/>
                <w:sz w:val="18"/>
              </w:rPr>
              <w:t>ID</w:t>
            </w:r>
          </w:p>
        </w:tc>
        <w:tc>
          <w:tcPr>
            <w:tcW w:type="dxa" w:w="3542"/>
            <w:vAlign w:val="center"/>
            <w:shd w:fill="163349"/>
            <w:tcMar>
              <w:top w:w="80" w:type="dxa"/>
              <w:bottom w:w="70" w:type="dxa"/>
              <w:left w:w="90" w:type="dxa"/>
              <w:right w:w="90" w:type="dxa"/>
            </w:tcMar>
          </w:tcPr>
          <w:p>
            <w:pPr>
              <w:pStyle w:val="TableText"/>
              <w:keepNext/>
              <w:widowControl/>
              <w:spacing w:after="40"/>
            </w:pPr>
            <w:r>
              <w:rPr>
                <w:b/>
                <w:color w:val="FFFFFF"/>
                <w:sz w:val="18"/>
              </w:rPr>
              <w:t>Scenario</w:t>
            </w:r>
          </w:p>
        </w:tc>
        <w:tc>
          <w:tcPr>
            <w:tcW w:type="dxa" w:w="5295"/>
            <w:vAlign w:val="center"/>
            <w:shd w:fill="163349"/>
            <w:tcMar>
              <w:top w:w="80" w:type="dxa"/>
              <w:bottom w:w="70" w:type="dxa"/>
              <w:left w:w="90" w:type="dxa"/>
              <w:right w:w="90" w:type="dxa"/>
            </w:tcMar>
          </w:tcPr>
          <w:p>
            <w:pPr>
              <w:pStyle w:val="TableText"/>
              <w:keepNext/>
              <w:widowControl/>
              <w:spacing w:after="40"/>
            </w:pPr>
            <w:r>
              <w:rPr>
                <w:b/>
                <w:color w:val="FFFFFF"/>
                <w:sz w:val="18"/>
              </w:rPr>
              <w:t>Required evidence / expected result</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AB-01</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Owner creates and previews A/B variants.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Pinned approved revisions, accessible preview, hypothesis/metric and approval recorded.</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AB-02</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Repeat navigation/reload and permitted return visits.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Stable unit/variant; no fresh randomization on every render.</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AB-03</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No optional measurement permission or configuration outage.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Usable documented control; no hidden-page flicker or forbidden tracking.</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AB-04</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SSR, hydration, CDN and multiple app instances.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Correct bounded variant cache; no cross-visitor content/Set-Cookie leak.</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AB-05</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Assignment versus actual exposure.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Separate counts, symmetric trigger and defined exposure deduplication.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AB-06</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A/A and sample-ratio mismatch fixture.</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Instrumentation validated; invalid sample prevents a winner decision.</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AB-07</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Low traffic and premature analysis.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Insufficient-data/inconclusive state; no unsupported success badge.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AB-08</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Multiple arms, segments and late outcomes.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Predeclared analysis/correction/maturation; exploratory results labeled.</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AB-09</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Conflicting tests or changed treatment.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Mutual exclusion or approved overlap; new version/cohort for material change.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AB-10</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Kill switch and promotion/rollback.</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Audited action; control/previous revision available; verified publication refresh.</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AB-11</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Split-URL search and ad review.</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cloaking; appropriate canonical and temporary redirect behavior.</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UTM-01</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Builder generates campaign links.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Approved vocabulary, stable ID, no PII and no unresolved macros.</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UTM-02</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Tagged landing through all redirect types.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Eligible genuine identifiers reach final route without corruption.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UTM-03</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Navigation, download, form and chatbot.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Same eligible acquisition evidence carried by validated references.</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UTM-04</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Direct return and a later different campaign.</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First/last/non-direct models behave as documented; earlier lead snapshot unchanged.</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UTM-05</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Bad encoding, long values, duplicate/PII-bearing parameters.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Sanitized or rejected input; no raw query leakage in edge/app logs.</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UTM-06</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Hidden-field or reference tampering.</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Cannot attach another session/site's context or authorize a business action.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UTM-07</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Cross-domain transfer and third-party returns.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Allowed destination/linker only; no long-lived identity/PII leakage.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UTM-08</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Consent refused/withdrawn, blocked storage and unknown source.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retrospective replay; reporting distinguishes unknown from direct.</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UTM-09</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Campaign rename and spend/CRM joins.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Stable keys, source provenance, currency/timezone and model explained.</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GEO-01</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Spoofed forwarding headers and origin bypass.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Trusted topology enforced; forged client IP never accepted as authority.</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GEO-02</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IPv4, IPv6, multiple/variable proxy hops.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Correct source/config attribution; malformed addresses rejected.</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GEO-03</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VPN, shared network and missing GeoIP result.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Approximate/unknown labels; no named-person or street-address claim.</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GEO-04</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Ordinary page load and chat open.</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No automatic precise-location prompt.</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GEO-05</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Explicit location action with permission granted.</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Stated purpose; source, timestamp and accuracy recorded in protected context.</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GEO-06</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Denial, timeout, unavailable, cancellation and late callback.</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Useful manual fallback; no repeated prompt or late unwanted persistence.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GEO-07</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Out-of-range, stale, mocked and (0,0) positions.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Correct validation; simulated location never treated as identity proof.</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GEO-08</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Iframe restrictions and in-app browsers.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Safe behavior; no permission bypass; first-party control when possible.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GEO-09</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Analyst/bot/ads payload inspection.</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raw IP or exact coordinates in generic events/prompts/replay.</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GEO-10</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Location retention and privileged reveal/export.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Expiry/disposal works; actor/purpose/access logged; permission boundaries enforced.</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CHAT-01</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Chat start with analytics and ads refused.</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Functional conversation without optional tracking or reconstructed history.</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CHAT-02</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Current page, locale and eligible acquisition.</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Purpose-specific shared context; correct provenance and no duplicate tracker.</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CHAT-03</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Structured fields and AI-extracted contact candidate.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Explicit visitor submission/confirmation; no lead from unsent keystrokes.</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CHAT-04</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Lead submit retry, reconnect and browser/server fan-out.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One accepted business event per idempotent action and correct destination identity.</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CHAT-05</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Location request from chat.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Same permission/task flow; denial uses manual selector, not fake GPS.</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CHAT-06</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Guessed conversation ID, forged context and tenant switch.</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Authorization denies cross-visitor/site access.</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CHAT-07</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Email typed for an existing customer.</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account/history reveal without appropriate ownership verification.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CHAT-08</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Prompt injection and forbidden tool call.</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Model cannot expose secrets, purge blogs, disable logs or bypass authorization.</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CHAT-09</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Trashed/unpublished source or changed price.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Retrieval excludes stale/private source; price uses authoritative current rule.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CHAT-10</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AI outage, handoff and closed support hours.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Approved fallback; honest delivery states; main forms remain usable.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CHAT-11</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Transcript/replay/log/export and rights request.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Masking, scoped access, approved deletion/retention and processor handling.</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BLOG-01</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Advance time beyond one year; run cleanup jobs.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Active, draft and trashed source posts/revisions persist.</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BLOG-02</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CMS plugin, bucket lifecycle and database TTL audit.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automatic source-content or trash purge policy remains enabled.</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BLOG-03</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Manual trash with required reason.</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Exact actor/object/version/time and reason committed with audit/outbox.</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BLOG-04</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Unauthorized user, bot or integration deletion attempt.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Denied through UI/API and restricted database path; failure evidence recorded.</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BLOG-05</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Restore a trashed post with slug/schema conflict.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Safe conflict handling; restore to unpublished state; no silent overwrite.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BLOG-06</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Delete author/category or shared media.</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cascade deletion of posts or other recoverable source content.</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BLOG-07</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Purge requester also acts as approver.</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Default two-person rule enforced; no silent exception.</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BLOG-08</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Changed manifest, expired approval, hold or revoked permission.</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Execution denied/requires renewed approval; exact scope remains bound.</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BLOG-09</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Interrupted approved purge and retry.</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Idempotent phase ledger; original human and execution service identifiable.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BLOG-10</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Public routes, feeds, search and chatbot after removal.</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Correct status/index/cache/retrieval invalidation; private revisions inaccessible.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BLOG-11</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Staff account deactivated after deletion.</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Minimal justified attribution survives; no cascade loss of audit evidence.</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BLOG-12</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Restore an older backup after lawful purge.</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Independent deletion ledger prevents unauthorized resurrection.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AUD-01</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Each critical administrative/business action.</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Coverage register maps emitter, atomic audit entry, export and test.</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AUD-02</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Domain transaction fails or authorization denies.</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false committed action; separate failure/attempt evidence survives rollback.</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AUD-03</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Local durable audit write unavailable.</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Protected mutation fails rather than completing invisibly.</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AUD-04</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Remote export unavailable, local evidence healthy.</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Durable queued export, lag alert and reconciliation; no false success report.</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AUD-05</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Ordinary admin attempts audit update/delete.</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Denied; independent evidence and security alert exist.</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AUD-06</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Audit batch altered, removed or reordered.</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Manifest/checkpoint verification detects the relevant integrity/gap failure.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AUD-07</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Log producer receives secrets/PII/control characters.</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Redaction and injection protection; no sensitive full-body dumps.</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AUD-08</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Sensitive reveal, search and export.</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Scope/purpose checks, safe evidence, expiry and access audit.</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AUD-09</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Retention expiry and legal hold.</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Data-class policy honored; no blog purge; disposal evidence minimized.</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AUD-10</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Clock skew, worker execution and staff deactivation.</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UTC/recording times and initiator/approver/executor remain distinguishable.</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INT-01</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Native and Docker deployment.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Equivalent context, deletion and audit invariants; clean bootstrap.</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INT-02</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Feature disabled or provider disconnected.</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No orphan tags/jobs/privileges; safe fallback and retained required records.</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INT-03</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Production migration and content import.</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No reset/demo overwrite; preserved revisions and explicit rollback plan.</w:t>
            </w:r>
          </w:p>
        </w:tc>
      </w:tr>
      <w:tr>
        <w:trPr>
          <w:cantSplit/>
        </w:trPr>
        <w:tc>
          <w:tcPr>
            <w:tcW w:type="dxa" w:w="994"/>
            <w:vAlign w:val="center"/>
            <w:shd w:fill="F2F7F9"/>
            <w:tcMar>
              <w:top w:w="80" w:type="dxa"/>
              <w:bottom w:w="70" w:type="dxa"/>
              <w:left w:w="90" w:type="dxa"/>
              <w:right w:w="90" w:type="dxa"/>
            </w:tcMar>
          </w:tcPr>
          <w:p>
            <w:pPr>
              <w:pStyle w:val="TableText"/>
              <w:keepNext w:val="0"/>
              <w:widowControl/>
              <w:spacing w:after="40"/>
            </w:pPr>
            <w:r>
              <w:rPr>
                <w:b/>
                <w:sz w:val="18"/>
              </w:rPr>
              <w:t>INT-04</w:t>
            </w:r>
          </w:p>
        </w:tc>
        <w:tc>
          <w:tcPr>
            <w:tcW w:type="dxa" w:w="3542"/>
            <w:vAlign w:val="center"/>
            <w:shd w:fill="F2F7F9"/>
            <w:tcMar>
              <w:top w:w="80" w:type="dxa"/>
              <w:bottom w:w="70" w:type="dxa"/>
              <w:left w:w="90" w:type="dxa"/>
              <w:right w:w="90" w:type="dxa"/>
            </w:tcMar>
          </w:tcPr>
          <w:p>
            <w:pPr>
              <w:pStyle w:val="TableText"/>
              <w:keepNext w:val="0"/>
              <w:widowControl/>
              <w:spacing w:after="40"/>
            </w:pPr>
            <w:r>
              <w:rPr>
                <w:sz w:val="18"/>
              </w:rPr>
              <w:t>Owner runs the integrated demonstration.</w:t>
            </w:r>
          </w:p>
        </w:tc>
        <w:tc>
          <w:tcPr>
            <w:tcW w:type="dxa" w:w="5295"/>
            <w:vAlign w:val="center"/>
            <w:shd w:fill="F2F7F9"/>
            <w:tcMar>
              <w:top w:w="80" w:type="dxa"/>
              <w:bottom w:w="70" w:type="dxa"/>
              <w:left w:w="90" w:type="dxa"/>
              <w:right w:w="90" w:type="dxa"/>
            </w:tcMar>
          </w:tcPr>
          <w:p>
            <w:pPr>
              <w:pStyle w:val="TableText"/>
              <w:keepNext w:val="0"/>
              <w:widowControl/>
              <w:spacing w:after="40"/>
            </w:pPr>
            <w:r>
              <w:rPr>
                <w:sz w:val="18"/>
              </w:rPr>
              <w:t>Can operate the new capabilities without routine developer intervention.</w:t>
            </w:r>
          </w:p>
        </w:tc>
      </w:tr>
      <w:tr>
        <w:trPr>
          <w:cantSplit/>
        </w:trPr>
        <w:tc>
          <w:tcPr>
            <w:tcW w:type="dxa" w:w="994"/>
            <w:vAlign w:val="center"/>
            <w:shd w:fill="FFFFFF"/>
            <w:tcMar>
              <w:top w:w="80" w:type="dxa"/>
              <w:bottom w:w="70" w:type="dxa"/>
              <w:left w:w="90" w:type="dxa"/>
              <w:right w:w="90" w:type="dxa"/>
            </w:tcMar>
          </w:tcPr>
          <w:p>
            <w:pPr>
              <w:pStyle w:val="TableText"/>
              <w:keepNext w:val="0"/>
              <w:widowControl/>
              <w:spacing w:after="40"/>
            </w:pPr>
            <w:r>
              <w:rPr>
                <w:b/>
                <w:sz w:val="18"/>
              </w:rPr>
              <w:t>INT-05</w:t>
            </w:r>
          </w:p>
        </w:tc>
        <w:tc>
          <w:tcPr>
            <w:tcW w:type="dxa" w:w="3542"/>
            <w:vAlign w:val="center"/>
            <w:shd w:fill="FFFFFF"/>
            <w:tcMar>
              <w:top w:w="80" w:type="dxa"/>
              <w:bottom w:w="70" w:type="dxa"/>
              <w:left w:w="90" w:type="dxa"/>
              <w:right w:w="90" w:type="dxa"/>
            </w:tcMar>
          </w:tcPr>
          <w:p>
            <w:pPr>
              <w:pStyle w:val="TableText"/>
              <w:keepNext w:val="0"/>
              <w:widowControl/>
              <w:spacing w:after="40"/>
            </w:pPr>
            <w:r>
              <w:rPr>
                <w:sz w:val="18"/>
              </w:rPr>
              <w:t>Full release evidence review.</w:t>
            </w:r>
          </w:p>
        </w:tc>
        <w:tc>
          <w:tcPr>
            <w:tcW w:type="dxa" w:w="5295"/>
            <w:vAlign w:val="center"/>
            <w:shd w:fill="FFFFFF"/>
            <w:tcMar>
              <w:top w:w="80" w:type="dxa"/>
              <w:bottom w:w="70" w:type="dxa"/>
              <w:left w:w="90" w:type="dxa"/>
              <w:right w:w="90" w:type="dxa"/>
            </w:tcMar>
          </w:tcPr>
          <w:p>
            <w:pPr>
              <w:pStyle w:val="TableText"/>
              <w:keepNext w:val="0"/>
              <w:widowControl/>
              <w:spacing w:after="40"/>
            </w:pPr>
            <w:r>
              <w:rPr>
                <w:sz w:val="18"/>
              </w:rPr>
              <w:t>Actual pass/fail/blocked status, residual risks and accountable sign-off.</w:t>
            </w:r>
          </w:p>
        </w:tc>
      </w:tr>
    </w:tbl>
    <w:p>
      <w:pPr>
        <w:pStyle w:val="Heading2"/>
        <w:keepNext/>
        <w:widowControl/>
      </w:pPr>
      <w:r>
        <w:t>G.2 Sign-off and unresolved decisions</w:t>
      </w:r>
    </w:p>
    <w:p>
      <w:pPr>
        <w:widowControl/>
      </w:pPr>
      <w:r>
        <w:t>Project/site: __________. Blueprint version: 1.3 Build/release: __________. Business owner: __________. Technical owner: __________. Marketing/analysis owner: __________. Privacy/security reviewer: __________. Operations/support owner: __________. Evidence location: __________. Decision/date: __________.</w:t>
      </w:r>
    </w:p>
    <w:p>
      <w:pPr>
        <w:widowControl/>
      </w:pPr>
      <w:r>
        <w:t>Confirm manually versus annually intended deletion language; precise-location task and necessity; raw-IP purpose/retention; applicable jurisdictions and age restrictions; chatbot provider/processing terms; experiment traffic and analysis settings; independent purge approver; audit retention/storage assurance; third-party reporting/measurement permissions; and operating budgets. Until clarified, use the conservative defaults documented in this version rather than inventing permission or enabling automatic deletion.</w:t>
      </w:r>
    </w:p>
    <w:p>
      <w:pPr>
        <w:widowControl/>
      </w:pPr>
      <w:r>
        <w:t>Approval requires no critical unauthorized collection, cross-visitor disclosure, unaudited destructive action, automatic blog purge, lost acknowledged lead, or untested restoration. A document requirement is not implementation evidence. A live experiment may be legitimately inactive, but the delivered capability and safety controls must still pass their acceptance tests.</w:t>
      </w:r>
    </w:p>
    <w:p>
      <w:pPr>
        <w:pStyle w:val="Heading1"/>
        <w:pageBreakBefore/>
      </w:pPr>
      <w:bookmarkStart w:id="332" w:name="v12_appH"/>
      <w:r>
        <w:t>Appendix H | Master capability coverage and activation register</w:t>
      </w:r>
      <w:bookmarkEnd w:id="332"/>
      <w:bookmarkStart w:id="636" w:name="tocfinal_app_H"/>
      <w:bookmarkEnd w:id="636"/>
    </w:p>
    <w:p>
      <w:pPr>
        <w:pStyle w:val="Heading2"/>
      </w:pPr>
      <w:r>
        <w:t>H.1 How to use the catalogue</w:t>
      </w:r>
    </w:p>
    <w:p>
      <w:pPr/>
      <w:r>
        <w:t>This register is a discovery and acceptance index, not a checklist of features to install blindly. F = universal foundation; G = comprehensive growth-platform capability, with public activation governed by purpose/provider approval; B = conditional business module. The site-specific register adds applicable, activation, implementation status, accountable owner, rationale, selected provider, costs, data policy and evidence. No blank decision is treated as approval.</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278"/>
        <w:gridCol w:w="5210"/>
        <w:gridCol w:w="1425"/>
        <w:gridCol w:w="1917"/>
      </w:tblGrid>
      <w:tr>
        <w:trPr>
          <w:cantSplit/>
          <w:tblHeader w:val="true"/>
        </w:trPr>
        <w:tc>
          <w:tcPr>
            <w:tcW w:type="dxa" w:w="127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w:t>
            </w:r>
          </w:p>
        </w:tc>
        <w:tc>
          <w:tcPr>
            <w:tcW w:type="dxa" w:w="5210"/>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Capability or control</w:t>
            </w:r>
          </w:p>
        </w:tc>
        <w:tc>
          <w:tcPr>
            <w:tcW w:type="dxa" w:w="1425"/>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Class</w:t>
            </w:r>
          </w:p>
        </w:tc>
        <w:tc>
          <w:tcPr>
            <w:tcW w:type="dxa" w:w="1917"/>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Controlling chapters</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CAP-001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Business brief, audience, outcomes, evidence and scope</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02, 42, 43</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CAP-002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Sitemap, navigation, page/route families and customer journeys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04, 50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CAP-003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Responsive design, semantic HTML, design tokens and accessible components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05, 06, 44</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CAP-004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CMS, page/section builder, navigation, forms and media ownership</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07–09, 44</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CAP-005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Autosave, draft recovery, undo/redo and edit conflict resolution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44</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CAP-006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Collection/schema builder with approved fields and templates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44, 63</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CAP-007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Editorial review, revisions, previews, scheduling and releases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08, 44</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CAP-008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Import/export, dry runs, manifests, partial failures and migration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44, 62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CAP-009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Manual-only blog retention, no-expiry trash and controlled purge</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09, 38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CAP-010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Media rights, quarantine, derivatives, alt text and private downloads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08, 09, 50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CAP-011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Technical SEO status/rendering/canonical/index policy</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10, 50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CAP-012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Sitemaps, feeds, pagination, faceting and crawl trap controls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10, 50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CAP-013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Structured-data registry and truthful rich-result eligibility</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10, 50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CAP-014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Search-intent map, editorial calendar and internal linking</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11, 43, 49</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CAP-015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Local profiles, real branch/service-area pages and reputation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11, 49, 57</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CAP-016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Image/video/news/job/AI search-surface policies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49, 50, 61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CAP-017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Locale routes, translations, hreflang and support readiness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10, 26, 49, 61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CAP-018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Search Console ownership, data extraction and search diagnostics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10, 49, 55</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CAP-019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Offer/claim registry, pricing consistency and campaign calendar</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43</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CAP-020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Creative library, asset rights, approved copy and social previews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43, 51, 52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CAP-021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Google Ads readiness, ownership, policies and destinations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12, 51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CAP-022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Google Ads goals, enhanced/offline feedback and supported ingestion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12, 16, 51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CAP-023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Google campaign strategy, keywords/negatives, bidding and experiments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CAP-024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Automated ad text/URL features with review and exclusions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51, 53</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CAP-025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Meta account/assets, category review, creative and destinations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13, 52</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CAP-026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Meta Pixel/CAPI mapping, deduplication and sensitive-data controls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13, 16, 52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CAP-027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Google/Meta native lead-form ingestion and honest provenance</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51, 52</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CAP-028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Advertising audience eligibility, synchronization and removal</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46, 53</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CAP-029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Campaign creation/budget/targeting API writes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51–53, 63</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CAP-030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UTM/click-ID campaign builder and attribution snapshots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18, 35</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CAP-031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Frontend dataLayer/SDK, page/section/form/resource events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14–16</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CAP-032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Trusted conversion outbox, retries, correction and reconciliation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16, 18</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CAP-033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A/B/n assignment, exposure, statistical validity and promotion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19, 34</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CAP-034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Consent-aware heatmaps and session replay</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19, 56</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CAP-035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Controlled IP/coarse location, trusted proxy handling</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36</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CAP-036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Explicit browser location task, accuracy/provenance and fallback</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36, 37</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CAP-037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Contextual chatbot, explicit capture, knowledge safety and human handoff</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26, 37</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CAP-038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Form builder, server validation, idempotency and accessible errors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CAP-039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CRM stages, routing, notes, qualification, merge/correction and escalation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18, 20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CAP-040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Visual marketing automation, timers, dispatch gates and simulations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45</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CAP-041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Explainable scoring, overrides and qualified-lead separation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46</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CAP-042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Segment builder and purpose-limited personalization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46</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CAP-043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Email sender authentication and deliverability monitoring</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 when email used</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20, 47</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CAP-044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Subscription preferences, one-click unsubscribe and suppression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 when marketing sends used</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47, 59</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CAP-045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Unified inbox, agent assignments, channel identity and delivery states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37, 48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CAP-046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WhatsApp/SMS/Telegram adapters and channel-specific permissions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48</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CAP-047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Call outcomes, dynamic-number attribution, recording/transcription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48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CAP-048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QR, offline/partner campaigns and declared-source attribution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35, 48</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CAP-049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Feedback/surveys, calculators/quizzes and governed lead magnets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56</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CAP-050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Popups/announcements/sticky CTAs with accessibility and frequency controls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05, 56</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CAP-051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Reporting/warehouse, metrics, spend, freshness and reconciliation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19, 55</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CAP-052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Scheduled reports and permission-safe exports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G</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55</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CAP-053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Incrementality, lift, marketing-mix and predictive-value analysis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34, 55</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CAP-054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Domain/registrar/DNS/TLS ownership, renewal and recovery</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28, 32, 57</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CAP-055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Authentication, staff MFA, scoped roles, sessions and recovery</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24, 58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CAP-056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Enterprise SSO/provisioning and organization roles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58, 61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CAP-057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API/tenant/object security, uploads, SSRF, CSRF and injection controls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23, 24, 58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CAP-058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Third-party scripts/tags/CSP, consent and performance governance</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15, 58</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CAP-059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Supply chain, SBOM, licensing, patching and CI secrets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27, 58</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CAP-060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Abuse/fake leads, message/OTP budgets, referral/transaction fraud</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20, 58</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CAP-061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Data inventory, purpose/consent policy engine, GPC where applicable</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17, 59</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CAP-062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Rights requests, retention, holds, processor deletion and restore reconciliation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17, 38, 59</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CAP-063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Children/sensitive-business and jurisdiction activation review</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 applicability decision</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02, 59, 61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CAP-064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Protected comprehensive audit, actor attribution and integrity</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39</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CAP-065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PostgreSQL constraints, migrations, pooling, indexes and analytical isolation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22, 60, 63</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CAP-066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Object storage/CDN, private media, caching and invalidation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06, 08, 28, 60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CAP-067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REST/OpenAPI and versioned events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23, 62, 63</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CAP-068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GraphQL, SOAP, streaming and legacy/file adapters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23, 62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CAP-069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Durable workers, timers, outbox, retries and idempotent external effects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16, 21, 45, 60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CAP-070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Native/Docker deployment; optional managed/Kubernetes profiles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28, 60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CAP-071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Terraform/state/secrets, protected releases and rollback</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 capability</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28, 29, 60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CAP-072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Monitoring/alerts, service objectives, incident response and status communication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29, 60</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CAP-073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Backups/PITR, recovery drills, deletion ledgers and independent copies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29, 38, 60</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CAP-074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Feature flags, extension manifests, tenant/domain isolation</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 for selected profile</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02, 62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CAP-075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Commerce/products/inventory/checkout/payments/returns/feeds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25, 54, 61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CAP-076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Bookings/events/webinars/waitlists and verified attendance</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25, 48, 61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CAP-077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Courses/memberships/student/guardian workflows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25, 59, 61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CAP-078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SaaS/subscriptions/usage/entitlements and customer portal</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25, 54, 61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CAP-079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B2B quotes/organizations/partners/franchises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61, 62</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CAP-080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Directories/marketplaces/sellers/payouts/disputes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CAP-081</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Referrals/affiliates/loyalty/gift cards/credits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54, 61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CAP-082</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News/media/RSS/paywalls/publisher advertising/sponsorship</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50, 61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CAP-083</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Community/comments/reviews/moderation/appeals</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09, 43, 61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CAP-084</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Careers/applications and private candidate records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50, 61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CAP-085</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Donations/fundraising and recurring cancellation</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54, 61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CAP-086</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Healthcare/finance/legal/housing/travel/public-sector profiles</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59, 61</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CAP-087</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PWA/offline/push/device permissions and accessible fallback</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B</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26, 61</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CAP-088</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Search relevance and approved AI retrieval/index rebuild</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B/G by profile</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26, 37, 62</w:t>
            </w:r>
          </w:p>
        </w:tc>
      </w:tr>
      <w:tr>
        <w:trPr>
          <w:cantSplit/>
        </w:trPr>
        <w:tc>
          <w:tcPr>
            <w:tcW w:type="dxa" w:w="1278"/>
            <w:vAlign w:val="top"/>
            <w:shd w:fill="F1F6F9"/>
            <w:tcMar>
              <w:top w:w="90" w:type="dxa"/>
              <w:bottom w:w="85" w:type="dxa"/>
              <w:left w:w="105" w:type="dxa"/>
              <w:right w:w="105" w:type="dxa"/>
            </w:tcMar>
          </w:tcPr>
          <w:p>
            <w:pPr>
              <w:pStyle w:val="TableText"/>
              <w:keepNext w:val="0"/>
              <w:keepLines w:val="0"/>
            </w:pPr>
            <w:r>
              <w:rPr>
                <w:rFonts w:ascii="Lato" w:hAnsi="Lato"/>
                <w:sz w:val="18"/>
              </w:rPr>
              <w:t>CAP-089</w:t>
            </w:r>
          </w:p>
        </w:tc>
        <w:tc>
          <w:tcPr>
            <w:tcW w:type="dxa" w:w="5210"/>
            <w:vAlign w:val="top"/>
            <w:shd w:fill="F1F6F9"/>
            <w:tcMar>
              <w:top w:w="90" w:type="dxa"/>
              <w:bottom w:w="85" w:type="dxa"/>
              <w:left w:w="105" w:type="dxa"/>
              <w:right w:w="105" w:type="dxa"/>
            </w:tcMar>
          </w:tcPr>
          <w:p>
            <w:pPr>
              <w:pStyle w:val="TableText"/>
              <w:keepNext w:val="0"/>
              <w:keepLines w:val="0"/>
            </w:pPr>
            <w:r>
              <w:rPr>
                <w:rFonts w:ascii="Lato" w:hAnsi="Lato"/>
                <w:sz w:val="18"/>
              </w:rPr>
              <w:t>Owner handover, second-team portability and secure account transfer</w:t>
            </w:r>
          </w:p>
        </w:tc>
        <w:tc>
          <w:tcPr>
            <w:tcW w:type="dxa" w:w="1425"/>
            <w:vAlign w:val="top"/>
            <w:shd w:fill="F1F6F9"/>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1F6F9"/>
            <w:tcMar>
              <w:top w:w="90" w:type="dxa"/>
              <w:bottom w:w="85" w:type="dxa"/>
              <w:left w:w="105" w:type="dxa"/>
              <w:right w:w="105" w:type="dxa"/>
            </w:tcMar>
          </w:tcPr>
          <w:p>
            <w:pPr>
              <w:pStyle w:val="TableText"/>
              <w:keepNext w:val="0"/>
              <w:keepLines w:val="0"/>
            </w:pPr>
            <w:r>
              <w:rPr>
                <w:rFonts w:ascii="Lato" w:hAnsi="Lato"/>
                <w:sz w:val="18"/>
              </w:rPr>
              <w:t>32, 62, 65</w:t>
            </w:r>
          </w:p>
        </w:tc>
      </w:tr>
      <w:tr>
        <w:trPr>
          <w:cantSplit/>
        </w:trPr>
        <w:tc>
          <w:tcPr>
            <w:tcW w:type="dxa" w:w="1278"/>
            <w:vAlign w:val="top"/>
            <w:shd w:fill="FFFFFF"/>
            <w:tcMar>
              <w:top w:w="90" w:type="dxa"/>
              <w:bottom w:w="85" w:type="dxa"/>
              <w:left w:w="105" w:type="dxa"/>
              <w:right w:w="105" w:type="dxa"/>
            </w:tcMar>
          </w:tcPr>
          <w:p>
            <w:pPr>
              <w:pStyle w:val="TableText"/>
              <w:keepNext w:val="0"/>
              <w:keepLines w:val="0"/>
            </w:pPr>
            <w:r>
              <w:rPr>
                <w:rFonts w:ascii="Lato" w:hAnsi="Lato"/>
                <w:sz w:val="18"/>
              </w:rPr>
              <w:t>CAP-090</w:t>
            </w:r>
          </w:p>
        </w:tc>
        <w:tc>
          <w:tcPr>
            <w:tcW w:type="dxa" w:w="5210"/>
            <w:vAlign w:val="top"/>
            <w:shd w:fill="FFFFFF"/>
            <w:tcMar>
              <w:top w:w="90" w:type="dxa"/>
              <w:bottom w:w="85" w:type="dxa"/>
              <w:left w:w="105" w:type="dxa"/>
              <w:right w:w="105" w:type="dxa"/>
            </w:tcMar>
          </w:tcPr>
          <w:p>
            <w:pPr>
              <w:pStyle w:val="TableText"/>
              <w:keepNext w:val="0"/>
              <w:keepLines w:val="0"/>
            </w:pPr>
            <w:r>
              <w:rPr>
                <w:rFonts w:ascii="Lato" w:hAnsi="Lato"/>
                <w:sz w:val="18"/>
              </w:rPr>
              <w:t>Master test evidence, launch gates, costs and living-standard review</w:t>
            </w:r>
          </w:p>
        </w:tc>
        <w:tc>
          <w:tcPr>
            <w:tcW w:type="dxa" w:w="1425"/>
            <w:vAlign w:val="top"/>
            <w:shd w:fill="FFFFFF"/>
            <w:tcMar>
              <w:top w:w="90" w:type="dxa"/>
              <w:bottom w:w="85" w:type="dxa"/>
              <w:left w:w="105" w:type="dxa"/>
              <w:right w:w="105" w:type="dxa"/>
            </w:tcMar>
          </w:tcPr>
          <w:p>
            <w:pPr>
              <w:pStyle w:val="TableText"/>
              <w:keepNext w:val="0"/>
              <w:keepLines w:val="0"/>
            </w:pPr>
            <w:r>
              <w:rPr>
                <w:rFonts w:ascii="Lato" w:hAnsi="Lato"/>
                <w:sz w:val="18"/>
              </w:rPr>
              <w:t>F</w:t>
            </w:r>
          </w:p>
        </w:tc>
        <w:tc>
          <w:tcPr>
            <w:tcW w:type="dxa" w:w="1917"/>
            <w:vAlign w:val="top"/>
            <w:shd w:fill="FFFFFF"/>
            <w:tcMar>
              <w:top w:w="90" w:type="dxa"/>
              <w:bottom w:w="85" w:type="dxa"/>
              <w:left w:w="105" w:type="dxa"/>
              <w:right w:w="105" w:type="dxa"/>
            </w:tcMar>
          </w:tcPr>
          <w:p>
            <w:pPr>
              <w:pStyle w:val="TableText"/>
              <w:keepNext w:val="0"/>
              <w:keepLines w:val="0"/>
            </w:pPr>
            <w:r>
              <w:rPr>
                <w:rFonts w:ascii="Lato" w:hAnsi="Lato"/>
                <w:sz w:val="18"/>
              </w:rPr>
              <w:t>30, 42, 64, 65</w:t>
            </w:r>
          </w:p>
        </w:tc>
      </w:tr>
    </w:tbl>
    <w:p>
      <w:pPr>
        <w:spacing w:after="60"/>
      </w:pPr>
    </w:p>
    <w:p>
      <w:pPr>
        <w:pStyle w:val="Heading2"/>
        <w:keepNext/>
      </w:pPr>
      <w:r>
        <w:t>H.1.1 Final edition capability extensions</w:t>
      </w:r>
    </w:p>
    <w:p>
      <w:r>
        <w:t>CAP-001–CAP-090 remain unchanged. These 30 additional entries make final operating and cross-system requirements explicit. F, G and B retain their existing meanings; implementation and activation are separate decisions.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080"/>
        <w:gridCol w:w="5285"/>
        <w:gridCol w:w="1613"/>
        <w:gridCol w:w="1853"/>
      </w:tblGrid>
      <w:tr>
        <w:trPr>
          <w:cantSplit/>
          <w:tblHeader/>
        </w:trPr>
        <w:tc>
          <w:tcPr>
            <w:tcW w:type="dxa" w:w="1080"/>
            <w:shd w:fill="163349"/>
          </w:tcPr>
          <w:p>
            <w:pPr>
              <w:pStyle w:val="TableText"/>
              <w:keepNext/>
            </w:pPr>
            <w:r>
              <w:rPr>
                <w:rFonts w:ascii="Lato" w:hAnsi="Lato"/>
                <w:b/>
                <w:color w:val="FFFFFF"/>
                <w:sz w:val="18"/>
              </w:rPr>
              <w:t>ID</w:t>
            </w:r>
          </w:p>
        </w:tc>
        <w:tc>
          <w:tcPr>
            <w:tcW w:type="dxa" w:w="5285"/>
            <w:shd w:fill="163349"/>
          </w:tcPr>
          <w:p>
            <w:pPr>
              <w:pStyle w:val="TableText"/>
              <w:keepNext/>
            </w:pPr>
            <w:r>
              <w:rPr>
                <w:rFonts w:ascii="Lato" w:hAnsi="Lato"/>
                <w:b/>
                <w:color w:val="FFFFFF"/>
                <w:sz w:val="18"/>
              </w:rPr>
              <w:t>Additional capability / control</w:t>
            </w:r>
          </w:p>
        </w:tc>
        <w:tc>
          <w:tcPr>
            <w:tcW w:type="dxa" w:w="1613"/>
            <w:shd w:fill="163349"/>
          </w:tcPr>
          <w:p>
            <w:pPr>
              <w:pStyle w:val="TableText"/>
              <w:keepNext/>
            </w:pPr>
            <w:r>
              <w:rPr>
                <w:rFonts w:ascii="Lato" w:hAnsi="Lato"/>
                <w:b/>
                <w:color w:val="FFFFFF"/>
                <w:sz w:val="18"/>
              </w:rPr>
              <w:t>Class</w:t>
            </w:r>
          </w:p>
        </w:tc>
        <w:tc>
          <w:tcPr>
            <w:tcW w:type="dxa" w:w="1853"/>
            <w:shd w:fill="163349"/>
          </w:tcPr>
          <w:p>
            <w:pPr>
              <w:pStyle w:val="TableText"/>
              <w:keepNext/>
            </w:pPr>
            <w:r>
              <w:rPr>
                <w:rFonts w:ascii="Lato" w:hAnsi="Lato"/>
                <w:b/>
                <w:color w:val="FFFFFF"/>
                <w:sz w:val="18"/>
              </w:rPr>
              <w:t>Sections</w:t>
            </w:r>
          </w:p>
        </w:tc>
      </w:tr>
      <w:tr>
        <w:trPr>
          <w:cantSplit/>
        </w:trPr>
        <w:tc>
          <w:tcPr>
            <w:tcW w:type="dxa" w:w="1080"/>
            <w:shd w:fill="F2F7FA"/>
          </w:tcPr>
          <w:p>
            <w:pPr>
              <w:pStyle w:val="TableText"/>
              <w:keepNext w:val="0"/>
            </w:pPr>
            <w:r>
              <w:rPr>
                <w:rFonts w:ascii="Lato" w:hAnsi="Lato"/>
                <w:b/>
                <w:color w:val="163349"/>
                <w:sz w:val="18"/>
              </w:rPr>
              <w:t>CAP-091</w:t>
            </w:r>
          </w:p>
        </w:tc>
        <w:tc>
          <w:tcPr>
            <w:tcW w:type="dxa" w:w="5285"/>
            <w:shd w:fill="F2F7FA"/>
          </w:tcPr>
          <w:p>
            <w:pPr>
              <w:pStyle w:val="TableText"/>
              <w:keepNext w:val="0"/>
            </w:pPr>
            <w:r>
              <w:rPr>
                <w:rFonts w:ascii="Lato" w:hAnsi="Lato"/>
                <w:sz w:val="18"/>
              </w:rPr>
              <w:t>Current search-surface eligibility and settings register</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66</w:t>
            </w:r>
          </w:p>
        </w:tc>
      </w:tr>
      <w:tr>
        <w:trPr>
          <w:cantSplit/>
        </w:trPr>
        <w:tc>
          <w:tcPr>
            <w:tcW w:type="dxa" w:w="1080"/>
            <w:shd w:fill="FFFFFF"/>
          </w:tcPr>
          <w:p>
            <w:pPr>
              <w:pStyle w:val="TableText"/>
              <w:keepNext w:val="0"/>
            </w:pPr>
            <w:r>
              <w:rPr>
                <w:rFonts w:ascii="Lato" w:hAnsi="Lato"/>
                <w:b/>
                <w:color w:val="163349"/>
                <w:sz w:val="18"/>
              </w:rPr>
              <w:t>CAP-092</w:t>
            </w:r>
          </w:p>
        </w:tc>
        <w:tc>
          <w:tcPr>
            <w:tcW w:type="dxa" w:w="5285"/>
            <w:shd w:fill="FFFFFF"/>
          </w:tcPr>
          <w:p>
            <w:pPr>
              <w:pStyle w:val="TableText"/>
              <w:keepNext w:val="0"/>
            </w:pPr>
            <w:r>
              <w:rPr>
                <w:rFonts w:ascii="Lato" w:hAnsi="Lato"/>
                <w:sz w:val="18"/>
              </w:rPr>
              <w:t>Generative-search reporting and source-grain limitations</w:t>
            </w:r>
          </w:p>
        </w:tc>
        <w:tc>
          <w:tcPr>
            <w:tcW w:type="dxa" w:w="1613"/>
            <w:shd w:fill="FFFFFF"/>
          </w:tcPr>
          <w:p>
            <w:pPr>
              <w:pStyle w:val="TableText"/>
              <w:keepNext w:val="0"/>
            </w:pPr>
            <w:r>
              <w:rPr>
                <w:rFonts w:ascii="Lato" w:hAnsi="Lato"/>
                <w:sz w:val="18"/>
              </w:rPr>
              <w:t>G</w:t>
            </w:r>
          </w:p>
        </w:tc>
        <w:tc>
          <w:tcPr>
            <w:tcW w:type="dxa" w:w="1853"/>
            <w:shd w:fill="FFFFFF"/>
          </w:tcPr>
          <w:p>
            <w:pPr>
              <w:pStyle w:val="TableText"/>
              <w:keepNext w:val="0"/>
            </w:pPr>
            <w:r>
              <w:rPr>
                <w:rFonts w:ascii="Lato" w:hAnsi="Lato"/>
                <w:sz w:val="18"/>
              </w:rPr>
              <w:t>66</w:t>
            </w:r>
          </w:p>
        </w:tc>
      </w:tr>
      <w:tr>
        <w:trPr>
          <w:cantSplit/>
        </w:trPr>
        <w:tc>
          <w:tcPr>
            <w:tcW w:type="dxa" w:w="1080"/>
            <w:shd w:fill="F2F7FA"/>
          </w:tcPr>
          <w:p>
            <w:pPr>
              <w:pStyle w:val="TableText"/>
              <w:keepNext w:val="0"/>
            </w:pPr>
            <w:r>
              <w:rPr>
                <w:rFonts w:ascii="Lato" w:hAnsi="Lato"/>
                <w:b/>
                <w:color w:val="163349"/>
                <w:sz w:val="18"/>
              </w:rPr>
              <w:t>CAP-093</w:t>
            </w:r>
          </w:p>
        </w:tc>
        <w:tc>
          <w:tcPr>
            <w:tcW w:type="dxa" w:w="5285"/>
            <w:shd w:fill="F2F7FA"/>
          </w:tcPr>
          <w:p>
            <w:pPr>
              <w:pStyle w:val="TableText"/>
              <w:keepNext w:val="0"/>
            </w:pPr>
            <w:r>
              <w:rPr>
                <w:rFonts w:ascii="Lato" w:hAnsi="Lato"/>
                <w:sz w:val="18"/>
              </w:rPr>
              <w:t>Preferred-source and regional discovery eligibility</w:t>
            </w:r>
          </w:p>
        </w:tc>
        <w:tc>
          <w:tcPr>
            <w:tcW w:type="dxa" w:w="1613"/>
            <w:shd w:fill="F2F7FA"/>
          </w:tcPr>
          <w:p>
            <w:pPr>
              <w:pStyle w:val="TableText"/>
              <w:keepNext w:val="0"/>
            </w:pPr>
            <w:r>
              <w:rPr>
                <w:rFonts w:ascii="Lato" w:hAnsi="Lato"/>
                <w:sz w:val="18"/>
              </w:rPr>
              <w:t>B</w:t>
            </w:r>
          </w:p>
        </w:tc>
        <w:tc>
          <w:tcPr>
            <w:tcW w:type="dxa" w:w="1853"/>
            <w:shd w:fill="F2F7FA"/>
          </w:tcPr>
          <w:p>
            <w:pPr>
              <w:pStyle w:val="TableText"/>
              <w:keepNext w:val="0"/>
            </w:pPr>
            <w:r>
              <w:rPr>
                <w:rFonts w:ascii="Lato" w:hAnsi="Lato"/>
                <w:sz w:val="18"/>
              </w:rPr>
              <w:t>66</w:t>
            </w:r>
          </w:p>
        </w:tc>
      </w:tr>
      <w:tr>
        <w:trPr>
          <w:cantSplit/>
        </w:trPr>
        <w:tc>
          <w:tcPr>
            <w:tcW w:type="dxa" w:w="1080"/>
            <w:shd w:fill="FFFFFF"/>
          </w:tcPr>
          <w:p>
            <w:pPr>
              <w:pStyle w:val="TableText"/>
              <w:keepNext w:val="0"/>
            </w:pPr>
            <w:r>
              <w:rPr>
                <w:rFonts w:ascii="Lato" w:hAnsi="Lato"/>
                <w:b/>
                <w:color w:val="163349"/>
                <w:sz w:val="18"/>
              </w:rPr>
              <w:t>CAP-094</w:t>
            </w:r>
          </w:p>
        </w:tc>
        <w:tc>
          <w:tcPr>
            <w:tcW w:type="dxa" w:w="5285"/>
            <w:shd w:fill="FFFFFF"/>
          </w:tcPr>
          <w:p>
            <w:pPr>
              <w:pStyle w:val="TableText"/>
              <w:keepNext w:val="0"/>
            </w:pPr>
            <w:r>
              <w:rPr>
                <w:rFonts w:ascii="Lato" w:hAnsi="Lato"/>
                <w:sz w:val="18"/>
              </w:rPr>
              <w:t>Other-engine change notification and IndexNow adapter</w:t>
            </w:r>
          </w:p>
        </w:tc>
        <w:tc>
          <w:tcPr>
            <w:tcW w:type="dxa" w:w="1613"/>
            <w:shd w:fill="FFFFFF"/>
          </w:tcPr>
          <w:p>
            <w:pPr>
              <w:pStyle w:val="TableText"/>
              <w:keepNext w:val="0"/>
            </w:pPr>
            <w:r>
              <w:rPr>
                <w:rFonts w:ascii="Lato" w:hAnsi="Lato"/>
                <w:sz w:val="18"/>
              </w:rPr>
              <w:t>B</w:t>
            </w:r>
          </w:p>
        </w:tc>
        <w:tc>
          <w:tcPr>
            <w:tcW w:type="dxa" w:w="1853"/>
            <w:shd w:fill="FFFFFF"/>
          </w:tcPr>
          <w:p>
            <w:pPr>
              <w:pStyle w:val="TableText"/>
              <w:keepNext w:val="0"/>
            </w:pPr>
            <w:r>
              <w:rPr>
                <w:rFonts w:ascii="Lato" w:hAnsi="Lato"/>
                <w:sz w:val="18"/>
              </w:rPr>
              <w:t>66</w:t>
            </w:r>
          </w:p>
        </w:tc>
      </w:tr>
      <w:tr>
        <w:trPr>
          <w:cantSplit/>
        </w:trPr>
        <w:tc>
          <w:tcPr>
            <w:tcW w:type="dxa" w:w="1080"/>
            <w:shd w:fill="F2F7FA"/>
          </w:tcPr>
          <w:p>
            <w:pPr>
              <w:pStyle w:val="TableText"/>
              <w:keepNext w:val="0"/>
            </w:pPr>
            <w:r>
              <w:rPr>
                <w:rFonts w:ascii="Lato" w:hAnsi="Lato"/>
                <w:b/>
                <w:color w:val="163349"/>
                <w:sz w:val="18"/>
              </w:rPr>
              <w:t>CAP-095</w:t>
            </w:r>
          </w:p>
        </w:tc>
        <w:tc>
          <w:tcPr>
            <w:tcW w:type="dxa" w:w="5285"/>
            <w:shd w:fill="F2F7FA"/>
          </w:tcPr>
          <w:p>
            <w:pPr>
              <w:pStyle w:val="TableText"/>
              <w:keepNext w:val="0"/>
            </w:pPr>
            <w:r>
              <w:rPr>
                <w:rFonts w:ascii="Lato" w:hAnsi="Lato"/>
                <w:sz w:val="18"/>
              </w:rPr>
              <w:t>AI-generated media/data provenance preservation</w:t>
            </w:r>
          </w:p>
        </w:tc>
        <w:tc>
          <w:tcPr>
            <w:tcW w:type="dxa" w:w="1613"/>
            <w:shd w:fill="F2F7FA"/>
          </w:tcPr>
          <w:p>
            <w:pPr>
              <w:pStyle w:val="TableText"/>
              <w:keepNext w:val="0"/>
            </w:pPr>
            <w:r>
              <w:rPr>
                <w:rFonts w:ascii="Lato" w:hAnsi="Lato"/>
                <w:sz w:val="18"/>
              </w:rPr>
              <w:t>F when used</w:t>
            </w:r>
          </w:p>
        </w:tc>
        <w:tc>
          <w:tcPr>
            <w:tcW w:type="dxa" w:w="1853"/>
            <w:shd w:fill="F2F7FA"/>
          </w:tcPr>
          <w:p>
            <w:pPr>
              <w:pStyle w:val="TableText"/>
              <w:keepNext w:val="0"/>
            </w:pPr>
            <w:r>
              <w:rPr>
                <w:rFonts w:ascii="Lato" w:hAnsi="Lato"/>
                <w:sz w:val="18"/>
              </w:rPr>
              <w:t>66</w:t>
            </w:r>
          </w:p>
        </w:tc>
      </w:tr>
      <w:tr>
        <w:trPr>
          <w:cantSplit/>
        </w:trPr>
        <w:tc>
          <w:tcPr>
            <w:tcW w:type="dxa" w:w="1080"/>
            <w:shd w:fill="FFFFFF"/>
          </w:tcPr>
          <w:p>
            <w:pPr>
              <w:pStyle w:val="TableText"/>
              <w:keepNext w:val="0"/>
            </w:pPr>
            <w:r>
              <w:rPr>
                <w:rFonts w:ascii="Lato" w:hAnsi="Lato"/>
                <w:b/>
                <w:color w:val="163349"/>
                <w:sz w:val="18"/>
              </w:rPr>
              <w:t>CAP-096</w:t>
            </w:r>
          </w:p>
        </w:tc>
        <w:tc>
          <w:tcPr>
            <w:tcW w:type="dxa" w:w="5285"/>
            <w:shd w:fill="FFFFFF"/>
          </w:tcPr>
          <w:p>
            <w:pPr>
              <w:pStyle w:val="TableText"/>
              <w:keepNext w:val="0"/>
            </w:pPr>
            <w:r>
              <w:rPr>
                <w:rFonts w:ascii="Lato" w:hAnsi="Lato"/>
                <w:sz w:val="18"/>
              </w:rPr>
              <w:t>Agent-compatible and delegated-action interface controls</w:t>
            </w:r>
          </w:p>
        </w:tc>
        <w:tc>
          <w:tcPr>
            <w:tcW w:type="dxa" w:w="1613"/>
            <w:shd w:fill="FFFFFF"/>
          </w:tcPr>
          <w:p>
            <w:pPr>
              <w:pStyle w:val="TableText"/>
              <w:keepNext w:val="0"/>
            </w:pPr>
            <w:r>
              <w:rPr>
                <w:rFonts w:ascii="Lato" w:hAnsi="Lato"/>
                <w:sz w:val="18"/>
              </w:rPr>
              <w:t>B</w:t>
            </w:r>
          </w:p>
        </w:tc>
        <w:tc>
          <w:tcPr>
            <w:tcW w:type="dxa" w:w="1853"/>
            <w:shd w:fill="FFFFFF"/>
          </w:tcPr>
          <w:p>
            <w:pPr>
              <w:pStyle w:val="TableText"/>
              <w:keepNext w:val="0"/>
            </w:pPr>
            <w:r>
              <w:rPr>
                <w:rFonts w:ascii="Lato" w:hAnsi="Lato"/>
                <w:sz w:val="18"/>
              </w:rPr>
              <w:t>66, 75</w:t>
            </w:r>
          </w:p>
        </w:tc>
      </w:tr>
      <w:tr>
        <w:trPr>
          <w:cantSplit/>
        </w:trPr>
        <w:tc>
          <w:tcPr>
            <w:tcW w:type="dxa" w:w="1080"/>
            <w:shd w:fill="F2F7FA"/>
          </w:tcPr>
          <w:p>
            <w:pPr>
              <w:pStyle w:val="TableText"/>
              <w:keepNext w:val="0"/>
            </w:pPr>
            <w:r>
              <w:rPr>
                <w:rFonts w:ascii="Lato" w:hAnsi="Lato"/>
                <w:b/>
                <w:color w:val="163349"/>
                <w:sz w:val="18"/>
              </w:rPr>
              <w:t>CAP-097</w:t>
            </w:r>
          </w:p>
        </w:tc>
        <w:tc>
          <w:tcPr>
            <w:tcW w:type="dxa" w:w="5285"/>
            <w:shd w:fill="F2F7FA"/>
          </w:tcPr>
          <w:p>
            <w:pPr>
              <w:pStyle w:val="TableText"/>
              <w:keepNext w:val="0"/>
            </w:pPr>
            <w:r>
              <w:rPr>
                <w:rFonts w:ascii="Lato" w:hAnsi="Lato"/>
                <w:sz w:val="18"/>
              </w:rPr>
              <w:t>Google top/absolute-top visibility and economics</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67</w:t>
            </w:r>
          </w:p>
        </w:tc>
      </w:tr>
      <w:tr>
        <w:trPr>
          <w:cantSplit/>
        </w:trPr>
        <w:tc>
          <w:tcPr>
            <w:tcW w:type="dxa" w:w="1080"/>
            <w:shd w:fill="FFFFFF"/>
          </w:tcPr>
          <w:p>
            <w:pPr>
              <w:pStyle w:val="TableText"/>
              <w:keepNext w:val="0"/>
            </w:pPr>
            <w:r>
              <w:rPr>
                <w:rFonts w:ascii="Lato" w:hAnsi="Lato"/>
                <w:b/>
                <w:color w:val="163349"/>
                <w:sz w:val="18"/>
              </w:rPr>
              <w:t>CAP-098</w:t>
            </w:r>
          </w:p>
        </w:tc>
        <w:tc>
          <w:tcPr>
            <w:tcW w:type="dxa" w:w="5285"/>
            <w:shd w:fill="FFFFFF"/>
          </w:tcPr>
          <w:p>
            <w:pPr>
              <w:pStyle w:val="TableText"/>
              <w:keepNext w:val="0"/>
            </w:pPr>
            <w:r>
              <w:rPr>
                <w:rFonts w:ascii="Lato" w:hAnsi="Lato"/>
                <w:sz w:val="18"/>
              </w:rPr>
              <w:t>Effective campaign goal/custom-goal resolution</w:t>
            </w:r>
          </w:p>
        </w:tc>
        <w:tc>
          <w:tcPr>
            <w:tcW w:type="dxa" w:w="1613"/>
            <w:shd w:fill="FFFFFF"/>
          </w:tcPr>
          <w:p>
            <w:pPr>
              <w:pStyle w:val="TableText"/>
              <w:keepNext w:val="0"/>
            </w:pPr>
            <w:r>
              <w:rPr>
                <w:rFonts w:ascii="Lato" w:hAnsi="Lato"/>
                <w:sz w:val="18"/>
              </w:rPr>
              <w:t>G</w:t>
            </w:r>
          </w:p>
        </w:tc>
        <w:tc>
          <w:tcPr>
            <w:tcW w:type="dxa" w:w="1853"/>
            <w:shd w:fill="FFFFFF"/>
          </w:tcPr>
          <w:p>
            <w:pPr>
              <w:pStyle w:val="TableText"/>
              <w:keepNext w:val="0"/>
            </w:pPr>
            <w:r>
              <w:rPr>
                <w:rFonts w:ascii="Lato" w:hAnsi="Lato"/>
                <w:sz w:val="18"/>
              </w:rPr>
              <w:t>67, 69</w:t>
            </w:r>
          </w:p>
        </w:tc>
      </w:tr>
      <w:tr>
        <w:trPr>
          <w:cantSplit/>
        </w:trPr>
        <w:tc>
          <w:tcPr>
            <w:tcW w:type="dxa" w:w="1080"/>
            <w:shd w:fill="F2F7FA"/>
          </w:tcPr>
          <w:p>
            <w:pPr>
              <w:pStyle w:val="TableText"/>
              <w:keepNext w:val="0"/>
            </w:pPr>
            <w:r>
              <w:rPr>
                <w:rFonts w:ascii="Lato" w:hAnsi="Lato"/>
                <w:b/>
                <w:color w:val="163349"/>
                <w:sz w:val="18"/>
              </w:rPr>
              <w:t>CAP-099</w:t>
            </w:r>
          </w:p>
        </w:tc>
        <w:tc>
          <w:tcPr>
            <w:tcW w:type="dxa" w:w="5285"/>
            <w:shd w:fill="F2F7FA"/>
          </w:tcPr>
          <w:p>
            <w:pPr>
              <w:pStyle w:val="TableText"/>
              <w:keepNext w:val="0"/>
            </w:pPr>
            <w:r>
              <w:rPr>
                <w:rFonts w:ascii="Lato" w:hAnsi="Lato"/>
                <w:sz w:val="18"/>
              </w:rPr>
              <w:t>Automated ad destination and claim expansion review</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67, 68</w:t>
            </w:r>
          </w:p>
        </w:tc>
      </w:tr>
      <w:tr>
        <w:trPr>
          <w:cantSplit/>
        </w:trPr>
        <w:tc>
          <w:tcPr>
            <w:tcW w:type="dxa" w:w="1080"/>
            <w:shd w:fill="FFFFFF"/>
          </w:tcPr>
          <w:p>
            <w:pPr>
              <w:pStyle w:val="TableText"/>
              <w:keepNext w:val="0"/>
            </w:pPr>
            <w:r>
              <w:rPr>
                <w:rFonts w:ascii="Lato" w:hAnsi="Lato"/>
                <w:b/>
                <w:color w:val="163349"/>
                <w:sz w:val="18"/>
              </w:rPr>
              <w:t>CAP-100</w:t>
            </w:r>
          </w:p>
        </w:tc>
        <w:tc>
          <w:tcPr>
            <w:tcW w:type="dxa" w:w="5285"/>
            <w:shd w:fill="FFFFFF"/>
          </w:tcPr>
          <w:p>
            <w:pPr>
              <w:pStyle w:val="TableText"/>
              <w:keepNext w:val="0"/>
            </w:pPr>
            <w:r>
              <w:rPr>
                <w:rFonts w:ascii="Lato" w:hAnsi="Lato"/>
                <w:sz w:val="18"/>
              </w:rPr>
              <w:t>Cross-campaign budget authority and remote uncertainty</w:t>
            </w:r>
          </w:p>
        </w:tc>
        <w:tc>
          <w:tcPr>
            <w:tcW w:type="dxa" w:w="1613"/>
            <w:shd w:fill="FFFFFF"/>
          </w:tcPr>
          <w:p>
            <w:pPr>
              <w:pStyle w:val="TableText"/>
              <w:keepNext w:val="0"/>
            </w:pPr>
            <w:r>
              <w:rPr>
                <w:rFonts w:ascii="Lato" w:hAnsi="Lato"/>
                <w:sz w:val="18"/>
              </w:rPr>
              <w:t>G</w:t>
            </w:r>
          </w:p>
        </w:tc>
        <w:tc>
          <w:tcPr>
            <w:tcW w:type="dxa" w:w="1853"/>
            <w:shd w:fill="FFFFFF"/>
          </w:tcPr>
          <w:p>
            <w:pPr>
              <w:pStyle w:val="TableText"/>
              <w:keepNext w:val="0"/>
            </w:pPr>
            <w:r>
              <w:rPr>
                <w:rFonts w:ascii="Lato" w:hAnsi="Lato"/>
                <w:sz w:val="18"/>
              </w:rPr>
              <w:t>67, 77</w:t>
            </w:r>
          </w:p>
        </w:tc>
      </w:tr>
      <w:tr>
        <w:trPr>
          <w:cantSplit/>
        </w:trPr>
        <w:tc>
          <w:tcPr>
            <w:tcW w:type="dxa" w:w="1080"/>
            <w:shd w:fill="F2F7FA"/>
          </w:tcPr>
          <w:p>
            <w:pPr>
              <w:pStyle w:val="TableText"/>
              <w:keepNext w:val="0"/>
            </w:pPr>
            <w:r>
              <w:rPr>
                <w:rFonts w:ascii="Lato" w:hAnsi="Lato"/>
                <w:b/>
                <w:color w:val="163349"/>
                <w:sz w:val="18"/>
              </w:rPr>
              <w:t>CAP-101</w:t>
            </w:r>
          </w:p>
        </w:tc>
        <w:tc>
          <w:tcPr>
            <w:tcW w:type="dxa" w:w="5285"/>
            <w:shd w:fill="F2F7FA"/>
          </w:tcPr>
          <w:p>
            <w:pPr>
              <w:pStyle w:val="TableText"/>
              <w:keepNext w:val="0"/>
            </w:pPr>
            <w:r>
              <w:rPr>
                <w:rFonts w:ascii="Lato" w:hAnsi="Lato"/>
                <w:sz w:val="18"/>
              </w:rPr>
              <w:t>Meta creative concepts, rights, variants and approvals</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68</w:t>
            </w:r>
          </w:p>
        </w:tc>
      </w:tr>
      <w:tr>
        <w:trPr>
          <w:cantSplit/>
        </w:trPr>
        <w:tc>
          <w:tcPr>
            <w:tcW w:type="dxa" w:w="1080"/>
            <w:shd w:fill="FFFFFF"/>
          </w:tcPr>
          <w:p>
            <w:pPr>
              <w:pStyle w:val="TableText"/>
              <w:keepNext w:val="0"/>
            </w:pPr>
            <w:r>
              <w:rPr>
                <w:rFonts w:ascii="Lato" w:hAnsi="Lato"/>
                <w:b/>
                <w:color w:val="163349"/>
                <w:sz w:val="18"/>
              </w:rPr>
              <w:t>CAP-102</w:t>
            </w:r>
          </w:p>
        </w:tc>
        <w:tc>
          <w:tcPr>
            <w:tcW w:type="dxa" w:w="5285"/>
            <w:shd w:fill="FFFFFF"/>
          </w:tcPr>
          <w:p>
            <w:pPr>
              <w:pStyle w:val="TableText"/>
              <w:keepNext w:val="0"/>
            </w:pPr>
            <w:r>
              <w:rPr>
                <w:rFonts w:ascii="Lato" w:hAnsi="Lato"/>
                <w:sz w:val="18"/>
              </w:rPr>
              <w:t>Native lead/messaging/web provenance separation</w:t>
            </w:r>
          </w:p>
        </w:tc>
        <w:tc>
          <w:tcPr>
            <w:tcW w:type="dxa" w:w="1613"/>
            <w:shd w:fill="FFFFFF"/>
          </w:tcPr>
          <w:p>
            <w:pPr>
              <w:pStyle w:val="TableText"/>
              <w:keepNext w:val="0"/>
            </w:pPr>
            <w:r>
              <w:rPr>
                <w:rFonts w:ascii="Lato" w:hAnsi="Lato"/>
                <w:sz w:val="18"/>
              </w:rPr>
              <w:t>G</w:t>
            </w:r>
          </w:p>
        </w:tc>
        <w:tc>
          <w:tcPr>
            <w:tcW w:type="dxa" w:w="1853"/>
            <w:shd w:fill="FFFFFF"/>
          </w:tcPr>
          <w:p>
            <w:pPr>
              <w:pStyle w:val="TableText"/>
              <w:keepNext w:val="0"/>
            </w:pPr>
            <w:r>
              <w:rPr>
                <w:rFonts w:ascii="Lato" w:hAnsi="Lato"/>
                <w:sz w:val="18"/>
              </w:rPr>
              <w:t>68, 69</w:t>
            </w:r>
          </w:p>
        </w:tc>
      </w:tr>
      <w:tr>
        <w:trPr>
          <w:cantSplit/>
        </w:trPr>
        <w:tc>
          <w:tcPr>
            <w:tcW w:type="dxa" w:w="1080"/>
            <w:shd w:fill="F2F7FA"/>
          </w:tcPr>
          <w:p>
            <w:pPr>
              <w:pStyle w:val="TableText"/>
              <w:keepNext w:val="0"/>
            </w:pPr>
            <w:r>
              <w:rPr>
                <w:rFonts w:ascii="Lato" w:hAnsi="Lato"/>
                <w:b/>
                <w:color w:val="163349"/>
                <w:sz w:val="18"/>
              </w:rPr>
              <w:t>CAP-103</w:t>
            </w:r>
          </w:p>
        </w:tc>
        <w:tc>
          <w:tcPr>
            <w:tcW w:type="dxa" w:w="5285"/>
            <w:shd w:fill="F2F7FA"/>
          </w:tcPr>
          <w:p>
            <w:pPr>
              <w:pStyle w:val="TableText"/>
              <w:keepNext w:val="0"/>
            </w:pPr>
            <w:r>
              <w:rPr>
                <w:rFonts w:ascii="Lato" w:hAnsi="Lato"/>
                <w:sz w:val="18"/>
              </w:rPr>
              <w:t>Provider ingestion and authentication migration register</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69</w:t>
            </w:r>
          </w:p>
        </w:tc>
      </w:tr>
      <w:tr>
        <w:trPr>
          <w:cantSplit/>
        </w:trPr>
        <w:tc>
          <w:tcPr>
            <w:tcW w:type="dxa" w:w="1080"/>
            <w:shd w:fill="FFFFFF"/>
          </w:tcPr>
          <w:p>
            <w:pPr>
              <w:pStyle w:val="TableText"/>
              <w:keepNext w:val="0"/>
            </w:pPr>
            <w:r>
              <w:rPr>
                <w:rFonts w:ascii="Lato" w:hAnsi="Lato"/>
                <w:b/>
                <w:color w:val="163349"/>
                <w:sz w:val="18"/>
              </w:rPr>
              <w:t>CAP-104</w:t>
            </w:r>
          </w:p>
        </w:tc>
        <w:tc>
          <w:tcPr>
            <w:tcW w:type="dxa" w:w="5285"/>
            <w:shd w:fill="FFFFFF"/>
          </w:tcPr>
          <w:p>
            <w:pPr>
              <w:pStyle w:val="TableText"/>
              <w:keepNext w:val="0"/>
            </w:pPr>
            <w:r>
              <w:rPr>
                <w:rFonts w:ascii="Lato" w:hAnsi="Lato"/>
                <w:sz w:val="18"/>
              </w:rPr>
              <w:t>Post-SDK serialization data-policy enforcement</w:t>
            </w:r>
          </w:p>
        </w:tc>
        <w:tc>
          <w:tcPr>
            <w:tcW w:type="dxa" w:w="1613"/>
            <w:shd w:fill="FFFFFF"/>
          </w:tcPr>
          <w:p>
            <w:pPr>
              <w:pStyle w:val="TableText"/>
              <w:keepNext w:val="0"/>
            </w:pPr>
            <w:r>
              <w:rPr>
                <w:rFonts w:ascii="Lato" w:hAnsi="Lato"/>
                <w:sz w:val="18"/>
              </w:rPr>
              <w:t>F when used</w:t>
            </w:r>
          </w:p>
        </w:tc>
        <w:tc>
          <w:tcPr>
            <w:tcW w:type="dxa" w:w="1853"/>
            <w:shd w:fill="FFFFFF"/>
          </w:tcPr>
          <w:p>
            <w:pPr>
              <w:pStyle w:val="TableText"/>
              <w:keepNext w:val="0"/>
            </w:pPr>
            <w:r>
              <w:rPr>
                <w:rFonts w:ascii="Lato" w:hAnsi="Lato"/>
                <w:sz w:val="18"/>
              </w:rPr>
              <w:t>69</w:t>
            </w:r>
          </w:p>
        </w:tc>
      </w:tr>
      <w:tr>
        <w:trPr>
          <w:cantSplit/>
        </w:trPr>
        <w:tc>
          <w:tcPr>
            <w:tcW w:type="dxa" w:w="1080"/>
            <w:shd w:fill="F2F7FA"/>
          </w:tcPr>
          <w:p>
            <w:pPr>
              <w:pStyle w:val="TableText"/>
              <w:keepNext w:val="0"/>
            </w:pPr>
            <w:r>
              <w:rPr>
                <w:rFonts w:ascii="Lato" w:hAnsi="Lato"/>
                <w:b/>
                <w:color w:val="163349"/>
                <w:sz w:val="18"/>
              </w:rPr>
              <w:t>CAP-105</w:t>
            </w:r>
          </w:p>
        </w:tc>
        <w:tc>
          <w:tcPr>
            <w:tcW w:type="dxa" w:w="5285"/>
            <w:shd w:fill="F2F7FA"/>
          </w:tcPr>
          <w:p>
            <w:pPr>
              <w:pStyle w:val="TableText"/>
              <w:keepNext w:val="0"/>
            </w:pPr>
            <w:r>
              <w:rPr>
                <w:rFonts w:ascii="Lato" w:hAnsi="Lato"/>
                <w:sz w:val="18"/>
              </w:rPr>
              <w:t>Destination-specific normalization and late-event contracts</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69</w:t>
            </w:r>
          </w:p>
        </w:tc>
      </w:tr>
      <w:tr>
        <w:trPr>
          <w:cantSplit/>
        </w:trPr>
        <w:tc>
          <w:tcPr>
            <w:tcW w:type="dxa" w:w="1080"/>
            <w:shd w:fill="FFFFFF"/>
          </w:tcPr>
          <w:p>
            <w:pPr>
              <w:pStyle w:val="TableText"/>
              <w:keepNext w:val="0"/>
            </w:pPr>
            <w:r>
              <w:rPr>
                <w:rFonts w:ascii="Lato" w:hAnsi="Lato"/>
                <w:b/>
                <w:color w:val="163349"/>
                <w:sz w:val="18"/>
              </w:rPr>
              <w:t>CAP-106</w:t>
            </w:r>
          </w:p>
        </w:tc>
        <w:tc>
          <w:tcPr>
            <w:tcW w:type="dxa" w:w="5285"/>
            <w:shd w:fill="FFFFFF"/>
          </w:tcPr>
          <w:p>
            <w:pPr>
              <w:pStyle w:val="TableText"/>
              <w:keepNext w:val="0"/>
            </w:pPr>
            <w:r>
              <w:rPr>
                <w:rFonts w:ascii="Lato" w:hAnsi="Lato"/>
                <w:sz w:val="18"/>
              </w:rPr>
              <w:t>CDN/streamed response status and canonical integrity</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70</w:t>
            </w:r>
          </w:p>
        </w:tc>
      </w:tr>
      <w:tr>
        <w:trPr>
          <w:cantSplit/>
        </w:trPr>
        <w:tc>
          <w:tcPr>
            <w:tcW w:type="dxa" w:w="1080"/>
            <w:shd w:fill="F2F7FA"/>
          </w:tcPr>
          <w:p>
            <w:pPr>
              <w:pStyle w:val="TableText"/>
              <w:keepNext w:val="0"/>
            </w:pPr>
            <w:r>
              <w:rPr>
                <w:rFonts w:ascii="Lato" w:hAnsi="Lato"/>
                <w:b/>
                <w:color w:val="163349"/>
                <w:sz w:val="18"/>
              </w:rPr>
              <w:t>CAP-107</w:t>
            </w:r>
          </w:p>
        </w:tc>
        <w:tc>
          <w:tcPr>
            <w:tcW w:type="dxa" w:w="5285"/>
            <w:shd w:fill="F2F7FA"/>
          </w:tcPr>
          <w:p>
            <w:pPr>
              <w:pStyle w:val="TableText"/>
              <w:keepNext w:val="0"/>
            </w:pPr>
            <w:r>
              <w:rPr>
                <w:rFonts w:ascii="Lato" w:hAnsi="Lato"/>
                <w:sz w:val="18"/>
              </w:rPr>
              <w:t>robots and discovery infrastructure failure monitoring</w:t>
            </w:r>
          </w:p>
        </w:tc>
        <w:tc>
          <w:tcPr>
            <w:tcW w:type="dxa" w:w="1613"/>
            <w:shd w:fill="F2F7FA"/>
          </w:tcPr>
          <w:p>
            <w:pPr>
              <w:pStyle w:val="TableText"/>
              <w:keepNext w:val="0"/>
            </w:pPr>
            <w:r>
              <w:rPr>
                <w:rFonts w:ascii="Lato" w:hAnsi="Lato"/>
                <w:sz w:val="18"/>
              </w:rPr>
              <w:t>F</w:t>
            </w:r>
          </w:p>
        </w:tc>
        <w:tc>
          <w:tcPr>
            <w:tcW w:type="dxa" w:w="1853"/>
            <w:shd w:fill="F2F7FA"/>
          </w:tcPr>
          <w:p>
            <w:pPr>
              <w:pStyle w:val="TableText"/>
              <w:keepNext w:val="0"/>
            </w:pPr>
            <w:r>
              <w:rPr>
                <w:rFonts w:ascii="Lato" w:hAnsi="Lato"/>
                <w:sz w:val="18"/>
              </w:rPr>
              <w:t>70</w:t>
            </w:r>
          </w:p>
        </w:tc>
      </w:tr>
      <w:tr>
        <w:trPr>
          <w:cantSplit/>
        </w:trPr>
        <w:tc>
          <w:tcPr>
            <w:tcW w:type="dxa" w:w="1080"/>
            <w:shd w:fill="FFFFFF"/>
          </w:tcPr>
          <w:p>
            <w:pPr>
              <w:pStyle w:val="TableText"/>
              <w:keepNext w:val="0"/>
            </w:pPr>
            <w:r>
              <w:rPr>
                <w:rFonts w:ascii="Lato" w:hAnsi="Lato"/>
                <w:b/>
                <w:color w:val="163349"/>
                <w:sz w:val="18"/>
              </w:rPr>
              <w:t>CAP-108</w:t>
            </w:r>
          </w:p>
        </w:tc>
        <w:tc>
          <w:tcPr>
            <w:tcW w:type="dxa" w:w="5285"/>
            <w:shd w:fill="FFFFFF"/>
          </w:tcPr>
          <w:p>
            <w:pPr>
              <w:pStyle w:val="TableText"/>
              <w:keepNext w:val="0"/>
            </w:pPr>
            <w:r>
              <w:rPr>
                <w:rFonts w:ascii="Lato" w:hAnsi="Lato"/>
                <w:sz w:val="18"/>
              </w:rPr>
              <w:t>Complex URL/resource/migration dependency tests</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70</w:t>
            </w:r>
          </w:p>
        </w:tc>
      </w:tr>
      <w:tr>
        <w:trPr>
          <w:cantSplit/>
        </w:trPr>
        <w:tc>
          <w:tcPr>
            <w:tcW w:type="dxa" w:w="1080"/>
            <w:shd w:fill="F2F7FA"/>
          </w:tcPr>
          <w:p>
            <w:pPr>
              <w:pStyle w:val="TableText"/>
              <w:keepNext w:val="0"/>
            </w:pPr>
            <w:r>
              <w:rPr>
                <w:rFonts w:ascii="Lato" w:hAnsi="Lato"/>
                <w:b/>
                <w:color w:val="163349"/>
                <w:sz w:val="18"/>
              </w:rPr>
              <w:t>CAP-109</w:t>
            </w:r>
          </w:p>
        </w:tc>
        <w:tc>
          <w:tcPr>
            <w:tcW w:type="dxa" w:w="5285"/>
            <w:shd w:fill="F2F7FA"/>
          </w:tcPr>
          <w:p>
            <w:pPr>
              <w:pStyle w:val="TableText"/>
              <w:keepNext w:val="0"/>
            </w:pPr>
            <w:r>
              <w:rPr>
                <w:rFonts w:ascii="Lato" w:hAnsi="Lato"/>
                <w:sz w:val="18"/>
              </w:rPr>
              <w:t>Cross-channel offers, proof and lifecycle consistency</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71</w:t>
            </w:r>
          </w:p>
        </w:tc>
      </w:tr>
      <w:tr>
        <w:trPr>
          <w:cantSplit/>
        </w:trPr>
        <w:tc>
          <w:tcPr>
            <w:tcW w:type="dxa" w:w="1080"/>
            <w:shd w:fill="FFFFFF"/>
          </w:tcPr>
          <w:p>
            <w:pPr>
              <w:pStyle w:val="TableText"/>
              <w:keepNext w:val="0"/>
            </w:pPr>
            <w:r>
              <w:rPr>
                <w:rFonts w:ascii="Lato" w:hAnsi="Lato"/>
                <w:b/>
                <w:color w:val="163349"/>
                <w:sz w:val="18"/>
              </w:rPr>
              <w:t>CAP-110</w:t>
            </w:r>
          </w:p>
        </w:tc>
        <w:tc>
          <w:tcPr>
            <w:tcW w:type="dxa" w:w="5285"/>
            <w:shd w:fill="FFFFFF"/>
          </w:tcPr>
          <w:p>
            <w:pPr>
              <w:pStyle w:val="TableText"/>
              <w:keepNext w:val="0"/>
            </w:pPr>
            <w:r>
              <w:rPr>
                <w:rFonts w:ascii="Lato" w:hAnsi="Lato"/>
                <w:sz w:val="18"/>
              </w:rPr>
              <w:t>Acquisition contribution and mature-cohort decisions</w:t>
            </w:r>
          </w:p>
        </w:tc>
        <w:tc>
          <w:tcPr>
            <w:tcW w:type="dxa" w:w="1613"/>
            <w:shd w:fill="FFFFFF"/>
          </w:tcPr>
          <w:p>
            <w:pPr>
              <w:pStyle w:val="TableText"/>
              <w:keepNext w:val="0"/>
            </w:pPr>
            <w:r>
              <w:rPr>
                <w:rFonts w:ascii="Lato" w:hAnsi="Lato"/>
                <w:sz w:val="18"/>
              </w:rPr>
              <w:t>G</w:t>
            </w:r>
          </w:p>
        </w:tc>
        <w:tc>
          <w:tcPr>
            <w:tcW w:type="dxa" w:w="1853"/>
            <w:shd w:fill="FFFFFF"/>
          </w:tcPr>
          <w:p>
            <w:pPr>
              <w:pStyle w:val="TableText"/>
              <w:keepNext w:val="0"/>
            </w:pPr>
            <w:r>
              <w:rPr>
                <w:rFonts w:ascii="Lato" w:hAnsi="Lato"/>
                <w:sz w:val="18"/>
              </w:rPr>
              <w:t>67, 71</w:t>
            </w:r>
          </w:p>
        </w:tc>
      </w:tr>
      <w:tr>
        <w:trPr>
          <w:cantSplit/>
        </w:trPr>
        <w:tc>
          <w:tcPr>
            <w:tcW w:type="dxa" w:w="1080"/>
            <w:shd w:fill="F2F7FA"/>
          </w:tcPr>
          <w:p>
            <w:pPr>
              <w:pStyle w:val="TableText"/>
              <w:keepNext w:val="0"/>
            </w:pPr>
            <w:r>
              <w:rPr>
                <w:rFonts w:ascii="Lato" w:hAnsi="Lato"/>
                <w:b/>
                <w:color w:val="163349"/>
                <w:sz w:val="18"/>
              </w:rPr>
              <w:t>CAP-111</w:t>
            </w:r>
          </w:p>
        </w:tc>
        <w:tc>
          <w:tcPr>
            <w:tcW w:type="dxa" w:w="5285"/>
            <w:shd w:fill="F2F7FA"/>
          </w:tcPr>
          <w:p>
            <w:pPr>
              <w:pStyle w:val="TableText"/>
              <w:keepNext w:val="0"/>
            </w:pPr>
            <w:r>
              <w:rPr>
                <w:rFonts w:ascii="Lato" w:hAnsi="Lato"/>
                <w:sz w:val="18"/>
              </w:rPr>
              <w:t>Prerender/prefetch/activation measurement separation</w:t>
            </w:r>
          </w:p>
        </w:tc>
        <w:tc>
          <w:tcPr>
            <w:tcW w:type="dxa" w:w="1613"/>
            <w:shd w:fill="F2F7FA"/>
          </w:tcPr>
          <w:p>
            <w:pPr>
              <w:pStyle w:val="TableText"/>
              <w:keepNext w:val="0"/>
            </w:pPr>
            <w:r>
              <w:rPr>
                <w:rFonts w:ascii="Lato" w:hAnsi="Lato"/>
                <w:sz w:val="18"/>
              </w:rPr>
              <w:t>F when used</w:t>
            </w:r>
          </w:p>
        </w:tc>
        <w:tc>
          <w:tcPr>
            <w:tcW w:type="dxa" w:w="1853"/>
            <w:shd w:fill="F2F7FA"/>
          </w:tcPr>
          <w:p>
            <w:pPr>
              <w:pStyle w:val="TableText"/>
              <w:keepNext w:val="0"/>
            </w:pPr>
            <w:r>
              <w:rPr>
                <w:rFonts w:ascii="Lato" w:hAnsi="Lato"/>
                <w:sz w:val="18"/>
              </w:rPr>
              <w:t>72</w:t>
            </w:r>
          </w:p>
        </w:tc>
      </w:tr>
      <w:tr>
        <w:trPr>
          <w:cantSplit/>
        </w:trPr>
        <w:tc>
          <w:tcPr>
            <w:tcW w:type="dxa" w:w="1080"/>
            <w:shd w:fill="FFFFFF"/>
          </w:tcPr>
          <w:p>
            <w:pPr>
              <w:pStyle w:val="TableText"/>
              <w:keepNext w:val="0"/>
            </w:pPr>
            <w:r>
              <w:rPr>
                <w:rFonts w:ascii="Lato" w:hAnsi="Lato"/>
                <w:b/>
                <w:color w:val="163349"/>
                <w:sz w:val="18"/>
              </w:rPr>
              <w:t>CAP-112</w:t>
            </w:r>
          </w:p>
        </w:tc>
        <w:tc>
          <w:tcPr>
            <w:tcW w:type="dxa" w:w="5285"/>
            <w:shd w:fill="FFFFFF"/>
          </w:tcPr>
          <w:p>
            <w:pPr>
              <w:pStyle w:val="TableText"/>
              <w:keepNext w:val="0"/>
            </w:pPr>
            <w:r>
              <w:rPr>
                <w:rFonts w:ascii="Lato" w:hAnsi="Lato"/>
                <w:sz w:val="18"/>
              </w:rPr>
              <w:t>Back/forward restoration and sensitive-state refresh</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72</w:t>
            </w:r>
          </w:p>
        </w:tc>
      </w:tr>
      <w:tr>
        <w:trPr>
          <w:cantSplit/>
        </w:trPr>
        <w:tc>
          <w:tcPr>
            <w:tcW w:type="dxa" w:w="1080"/>
            <w:shd w:fill="F2F7FA"/>
          </w:tcPr>
          <w:p>
            <w:pPr>
              <w:pStyle w:val="TableText"/>
              <w:keepNext w:val="0"/>
            </w:pPr>
            <w:r>
              <w:rPr>
                <w:rFonts w:ascii="Lato" w:hAnsi="Lato"/>
                <w:b/>
                <w:color w:val="163349"/>
                <w:sz w:val="18"/>
              </w:rPr>
              <w:t>CAP-113</w:t>
            </w:r>
          </w:p>
        </w:tc>
        <w:tc>
          <w:tcPr>
            <w:tcW w:type="dxa" w:w="5285"/>
            <w:shd w:fill="F2F7FA"/>
          </w:tcPr>
          <w:p>
            <w:pPr>
              <w:pStyle w:val="TableText"/>
              <w:keepNext w:val="0"/>
            </w:pPr>
            <w:r>
              <w:rPr>
                <w:rFonts w:ascii="Lato" w:hAnsi="Lato"/>
                <w:sz w:val="18"/>
              </w:rPr>
              <w:t>Hidden-tab exposure and engagement timing</w:t>
            </w:r>
          </w:p>
        </w:tc>
        <w:tc>
          <w:tcPr>
            <w:tcW w:type="dxa" w:w="1613"/>
            <w:shd w:fill="F2F7FA"/>
          </w:tcPr>
          <w:p>
            <w:pPr>
              <w:pStyle w:val="TableText"/>
              <w:keepNext w:val="0"/>
            </w:pPr>
            <w:r>
              <w:rPr>
                <w:rFonts w:ascii="Lato" w:hAnsi="Lato"/>
                <w:sz w:val="18"/>
              </w:rPr>
              <w:t>F</w:t>
            </w:r>
          </w:p>
        </w:tc>
        <w:tc>
          <w:tcPr>
            <w:tcW w:type="dxa" w:w="1853"/>
            <w:shd w:fill="F2F7FA"/>
          </w:tcPr>
          <w:p>
            <w:pPr>
              <w:pStyle w:val="TableText"/>
              <w:keepNext w:val="0"/>
            </w:pPr>
            <w:r>
              <w:rPr>
                <w:rFonts w:ascii="Lato" w:hAnsi="Lato"/>
                <w:sz w:val="18"/>
              </w:rPr>
              <w:t>72</w:t>
            </w:r>
          </w:p>
        </w:tc>
      </w:tr>
      <w:tr>
        <w:trPr>
          <w:cantSplit/>
        </w:trPr>
        <w:tc>
          <w:tcPr>
            <w:tcW w:type="dxa" w:w="1080"/>
            <w:shd w:fill="FFFFFF"/>
          </w:tcPr>
          <w:p>
            <w:pPr>
              <w:pStyle w:val="TableText"/>
              <w:keepNext w:val="0"/>
            </w:pPr>
            <w:r>
              <w:rPr>
                <w:rFonts w:ascii="Lato" w:hAnsi="Lato"/>
                <w:b/>
                <w:color w:val="163349"/>
                <w:sz w:val="18"/>
              </w:rPr>
              <w:t>CAP-114</w:t>
            </w:r>
          </w:p>
        </w:tc>
        <w:tc>
          <w:tcPr>
            <w:tcW w:type="dxa" w:w="5285"/>
            <w:shd w:fill="FFFFFF"/>
          </w:tcPr>
          <w:p>
            <w:pPr>
              <w:pStyle w:val="TableText"/>
              <w:keepNext w:val="0"/>
            </w:pPr>
            <w:r>
              <w:rPr>
                <w:rFonts w:ascii="Lato" w:hAnsi="Lato"/>
                <w:sz w:val="18"/>
              </w:rPr>
              <w:t>Cross-tab consent and revoked queued context</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72</w:t>
            </w:r>
          </w:p>
        </w:tc>
      </w:tr>
      <w:tr>
        <w:trPr>
          <w:cantSplit/>
        </w:trPr>
        <w:tc>
          <w:tcPr>
            <w:tcW w:type="dxa" w:w="1080"/>
            <w:shd w:fill="F2F7FA"/>
          </w:tcPr>
          <w:p>
            <w:pPr>
              <w:pStyle w:val="TableText"/>
              <w:keepNext w:val="0"/>
            </w:pPr>
            <w:r>
              <w:rPr>
                <w:rFonts w:ascii="Lato" w:hAnsi="Lato"/>
                <w:b/>
                <w:color w:val="163349"/>
                <w:sz w:val="18"/>
              </w:rPr>
              <w:t>CAP-115</w:t>
            </w:r>
          </w:p>
        </w:tc>
        <w:tc>
          <w:tcPr>
            <w:tcW w:type="dxa" w:w="5285"/>
            <w:shd w:fill="F2F7FA"/>
          </w:tcPr>
          <w:p>
            <w:pPr>
              <w:pStyle w:val="TableText"/>
              <w:keepNext w:val="0"/>
            </w:pPr>
            <w:r>
              <w:rPr>
                <w:rFonts w:ascii="Lato" w:hAnsi="Lato"/>
                <w:sz w:val="18"/>
              </w:rPr>
              <w:t>Scanner/synthetic/internal traffic classification</w:t>
            </w:r>
          </w:p>
        </w:tc>
        <w:tc>
          <w:tcPr>
            <w:tcW w:type="dxa" w:w="1613"/>
            <w:shd w:fill="F2F7FA"/>
          </w:tcPr>
          <w:p>
            <w:pPr>
              <w:pStyle w:val="TableText"/>
              <w:keepNext w:val="0"/>
            </w:pPr>
            <w:r>
              <w:rPr>
                <w:rFonts w:ascii="Lato" w:hAnsi="Lato"/>
                <w:sz w:val="18"/>
              </w:rPr>
              <w:t>F</w:t>
            </w:r>
          </w:p>
        </w:tc>
        <w:tc>
          <w:tcPr>
            <w:tcW w:type="dxa" w:w="1853"/>
            <w:shd w:fill="F2F7FA"/>
          </w:tcPr>
          <w:p>
            <w:pPr>
              <w:pStyle w:val="TableText"/>
              <w:keepNext w:val="0"/>
            </w:pPr>
            <w:r>
              <w:rPr>
                <w:rFonts w:ascii="Lato" w:hAnsi="Lato"/>
                <w:sz w:val="18"/>
              </w:rPr>
              <w:t>72</w:t>
            </w:r>
          </w:p>
        </w:tc>
      </w:tr>
      <w:tr>
        <w:trPr>
          <w:cantSplit/>
        </w:trPr>
        <w:tc>
          <w:tcPr>
            <w:tcW w:type="dxa" w:w="1080"/>
            <w:shd w:fill="FFFFFF"/>
          </w:tcPr>
          <w:p>
            <w:pPr>
              <w:pStyle w:val="TableText"/>
              <w:keepNext w:val="0"/>
            </w:pPr>
            <w:r>
              <w:rPr>
                <w:rFonts w:ascii="Lato" w:hAnsi="Lato"/>
                <w:b/>
                <w:color w:val="163349"/>
                <w:sz w:val="18"/>
              </w:rPr>
              <w:t>CAP-116</w:t>
            </w:r>
          </w:p>
        </w:tc>
        <w:tc>
          <w:tcPr>
            <w:tcW w:type="dxa" w:w="5285"/>
            <w:shd w:fill="FFFFFF"/>
          </w:tcPr>
          <w:p>
            <w:pPr>
              <w:pStyle w:val="TableText"/>
              <w:keepNext w:val="0"/>
            </w:pPr>
            <w:r>
              <w:rPr>
                <w:rFonts w:ascii="Lato" w:hAnsi="Lato"/>
                <w:sz w:val="18"/>
              </w:rPr>
              <w:t>Second-operator CMS/accessibility completion</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73</w:t>
            </w:r>
          </w:p>
        </w:tc>
      </w:tr>
      <w:tr>
        <w:trPr>
          <w:cantSplit/>
        </w:trPr>
        <w:tc>
          <w:tcPr>
            <w:tcW w:type="dxa" w:w="1080"/>
            <w:shd w:fill="F2F7FA"/>
          </w:tcPr>
          <w:p>
            <w:pPr>
              <w:pStyle w:val="TableText"/>
              <w:keepNext w:val="0"/>
            </w:pPr>
            <w:r>
              <w:rPr>
                <w:rFonts w:ascii="Lato" w:hAnsi="Lato"/>
                <w:b/>
                <w:color w:val="163349"/>
                <w:sz w:val="18"/>
              </w:rPr>
              <w:t>CAP-117</w:t>
            </w:r>
          </w:p>
        </w:tc>
        <w:tc>
          <w:tcPr>
            <w:tcW w:type="dxa" w:w="5285"/>
            <w:shd w:fill="F2F7FA"/>
          </w:tcPr>
          <w:p>
            <w:pPr>
              <w:pStyle w:val="TableText"/>
              <w:keepNext w:val="0"/>
            </w:pPr>
            <w:r>
              <w:rPr>
                <w:rFonts w:ascii="Lato" w:hAnsi="Lato"/>
                <w:sz w:val="18"/>
              </w:rPr>
              <w:t>Key/account-loss and post-restore external-effect control</w:t>
            </w:r>
          </w:p>
        </w:tc>
        <w:tc>
          <w:tcPr>
            <w:tcW w:type="dxa" w:w="1613"/>
            <w:shd w:fill="F2F7FA"/>
          </w:tcPr>
          <w:p>
            <w:pPr>
              <w:pStyle w:val="TableText"/>
              <w:keepNext w:val="0"/>
            </w:pPr>
            <w:r>
              <w:rPr>
                <w:rFonts w:ascii="Lato" w:hAnsi="Lato"/>
                <w:sz w:val="18"/>
              </w:rPr>
              <w:t>F</w:t>
            </w:r>
          </w:p>
        </w:tc>
        <w:tc>
          <w:tcPr>
            <w:tcW w:type="dxa" w:w="1853"/>
            <w:shd w:fill="F2F7FA"/>
          </w:tcPr>
          <w:p>
            <w:pPr>
              <w:pStyle w:val="TableText"/>
              <w:keepNext w:val="0"/>
            </w:pPr>
            <w:r>
              <w:rPr>
                <w:rFonts w:ascii="Lato" w:hAnsi="Lato"/>
                <w:sz w:val="18"/>
              </w:rPr>
              <w:t>74</w:t>
            </w:r>
          </w:p>
        </w:tc>
      </w:tr>
      <w:tr>
        <w:trPr>
          <w:cantSplit/>
        </w:trPr>
        <w:tc>
          <w:tcPr>
            <w:tcW w:type="dxa" w:w="1080"/>
            <w:shd w:fill="FFFFFF"/>
          </w:tcPr>
          <w:p>
            <w:pPr>
              <w:pStyle w:val="TableText"/>
              <w:keepNext w:val="0"/>
            </w:pPr>
            <w:r>
              <w:rPr>
                <w:rFonts w:ascii="Lato" w:hAnsi="Lato"/>
                <w:b/>
                <w:color w:val="163349"/>
                <w:sz w:val="18"/>
              </w:rPr>
              <w:t>CAP-118</w:t>
            </w:r>
          </w:p>
        </w:tc>
        <w:tc>
          <w:tcPr>
            <w:tcW w:type="dxa" w:w="5285"/>
            <w:shd w:fill="FFFFFF"/>
          </w:tcPr>
          <w:p>
            <w:pPr>
              <w:pStyle w:val="TableText"/>
              <w:keepNext w:val="0"/>
            </w:pPr>
            <w:r>
              <w:rPr>
                <w:rFonts w:ascii="Lato" w:hAnsi="Lato"/>
                <w:sz w:val="18"/>
              </w:rPr>
              <w:t>Expanded specialist transaction completion packs</w:t>
            </w:r>
          </w:p>
        </w:tc>
        <w:tc>
          <w:tcPr>
            <w:tcW w:type="dxa" w:w="1613"/>
            <w:shd w:fill="FFFFFF"/>
          </w:tcPr>
          <w:p>
            <w:pPr>
              <w:pStyle w:val="TableText"/>
              <w:keepNext w:val="0"/>
            </w:pPr>
            <w:r>
              <w:rPr>
                <w:rFonts w:ascii="Lato" w:hAnsi="Lato"/>
                <w:sz w:val="18"/>
              </w:rPr>
              <w:t>B</w:t>
            </w:r>
          </w:p>
        </w:tc>
        <w:tc>
          <w:tcPr>
            <w:tcW w:type="dxa" w:w="1853"/>
            <w:shd w:fill="FFFFFF"/>
          </w:tcPr>
          <w:p>
            <w:pPr>
              <w:pStyle w:val="TableText"/>
              <w:keepNext w:val="0"/>
            </w:pPr>
            <w:r>
              <w:rPr>
                <w:rFonts w:ascii="Lato" w:hAnsi="Lato"/>
                <w:sz w:val="18"/>
              </w:rPr>
              <w:t>75</w:t>
            </w:r>
          </w:p>
        </w:tc>
      </w:tr>
      <w:tr>
        <w:trPr>
          <w:cantSplit/>
        </w:trPr>
        <w:tc>
          <w:tcPr>
            <w:tcW w:type="dxa" w:w="1080"/>
            <w:shd w:fill="F2F7FA"/>
          </w:tcPr>
          <w:p>
            <w:pPr>
              <w:pStyle w:val="TableText"/>
              <w:keepNext w:val="0"/>
            </w:pPr>
            <w:r>
              <w:rPr>
                <w:rFonts w:ascii="Lato" w:hAnsi="Lato"/>
                <w:b/>
                <w:color w:val="163349"/>
                <w:sz w:val="18"/>
              </w:rPr>
              <w:t>CAP-119</w:t>
            </w:r>
          </w:p>
        </w:tc>
        <w:tc>
          <w:tcPr>
            <w:tcW w:type="dxa" w:w="5285"/>
            <w:shd w:fill="F2F7FA"/>
          </w:tcPr>
          <w:p>
            <w:pPr>
              <w:pStyle w:val="TableText"/>
              <w:keepNext w:val="0"/>
            </w:pPr>
            <w:r>
              <w:rPr>
                <w:rFonts w:ascii="Lato" w:hAnsi="Lato"/>
                <w:sz w:val="18"/>
              </w:rPr>
              <w:t>Paid-traffic preflight and 90-day operating evidence</w:t>
            </w:r>
          </w:p>
        </w:tc>
        <w:tc>
          <w:tcPr>
            <w:tcW w:type="dxa" w:w="1613"/>
            <w:shd w:fill="F2F7FA"/>
          </w:tcPr>
          <w:p>
            <w:pPr>
              <w:pStyle w:val="TableText"/>
              <w:keepNext w:val="0"/>
            </w:pPr>
            <w:r>
              <w:rPr>
                <w:rFonts w:ascii="Lato" w:hAnsi="Lato"/>
                <w:sz w:val="18"/>
              </w:rPr>
              <w:t>G</w:t>
            </w:r>
          </w:p>
        </w:tc>
        <w:tc>
          <w:tcPr>
            <w:tcW w:type="dxa" w:w="1853"/>
            <w:shd w:fill="F2F7FA"/>
          </w:tcPr>
          <w:p>
            <w:pPr>
              <w:pStyle w:val="TableText"/>
              <w:keepNext w:val="0"/>
            </w:pPr>
            <w:r>
              <w:rPr>
                <w:rFonts w:ascii="Lato" w:hAnsi="Lato"/>
                <w:sz w:val="18"/>
              </w:rPr>
              <w:t>77</w:t>
            </w:r>
          </w:p>
        </w:tc>
      </w:tr>
      <w:tr>
        <w:trPr>
          <w:cantSplit/>
        </w:trPr>
        <w:tc>
          <w:tcPr>
            <w:tcW w:type="dxa" w:w="1080"/>
            <w:shd w:fill="FFFFFF"/>
          </w:tcPr>
          <w:p>
            <w:pPr>
              <w:pStyle w:val="TableText"/>
              <w:keepNext w:val="0"/>
            </w:pPr>
            <w:r>
              <w:rPr>
                <w:rFonts w:ascii="Lato" w:hAnsi="Lato"/>
                <w:b/>
                <w:color w:val="163349"/>
                <w:sz w:val="18"/>
              </w:rPr>
              <w:t>CAP-120</w:t>
            </w:r>
          </w:p>
        </w:tc>
        <w:tc>
          <w:tcPr>
            <w:tcW w:type="dxa" w:w="5285"/>
            <w:shd w:fill="FFFFFF"/>
          </w:tcPr>
          <w:p>
            <w:pPr>
              <w:pStyle w:val="TableText"/>
              <w:keepNext w:val="0"/>
            </w:pPr>
            <w:r>
              <w:rPr>
                <w:rFonts w:ascii="Lato" w:hAnsi="Lato"/>
                <w:sz w:val="18"/>
              </w:rPr>
              <w:t>Final merge, five-dimensional status and release sign-off</w:t>
            </w:r>
          </w:p>
        </w:tc>
        <w:tc>
          <w:tcPr>
            <w:tcW w:type="dxa" w:w="1613"/>
            <w:shd w:fill="FFFFFF"/>
          </w:tcPr>
          <w:p>
            <w:pPr>
              <w:pStyle w:val="TableText"/>
              <w:keepNext w:val="0"/>
            </w:pPr>
            <w:r>
              <w:rPr>
                <w:rFonts w:ascii="Lato" w:hAnsi="Lato"/>
                <w:sz w:val="18"/>
              </w:rPr>
              <w:t>F</w:t>
            </w:r>
          </w:p>
        </w:tc>
        <w:tc>
          <w:tcPr>
            <w:tcW w:type="dxa" w:w="1853"/>
            <w:shd w:fill="FFFFFF"/>
          </w:tcPr>
          <w:p>
            <w:pPr>
              <w:pStyle w:val="TableText"/>
              <w:keepNext w:val="0"/>
            </w:pPr>
            <w:r>
              <w:rPr>
                <w:rFonts w:ascii="Lato" w:hAnsi="Lato"/>
                <w:sz w:val="18"/>
              </w:rPr>
              <w:t>78, M–P</w:t>
            </w:r>
          </w:p>
        </w:tc>
      </w:tr>
    </w:tbl>
    <w:p>
      <w:pPr>
        <w:spacing w:after="40"/>
      </w:pPr>
      <w:r/>
    </w:p>
    <w:p>
      <w:pPr>
        <w:pStyle w:val="Heading2"/>
      </w:pPr>
      <w:r>
        <w:t>H.2 Required activation answers</w:t>
      </w:r>
    </w:p>
    <w:p>
      <w:pPr/>
      <w:r>
        <w:t>For each selected row, answer: What customer problem does it solve? Who operates it? What data is necessary? Which channels/providers are used? What happens on failure/refusal? What costs recur? What is the source of truth? Which customer obligations survive disabling it? Which tests prove it? What is the exit path? Record Not Applicable with a reason where appropriate; do not leave blank rows that hide decisions.</w:t>
      </w:r>
    </w:p>
    <w:p>
      <w:pPr>
        <w:pStyle w:val="Heading2"/>
      </w:pPr>
      <w:r>
        <w:t>H.3 Non-negotiable preserved requirements</w:t>
      </w:r>
    </w:p>
    <w:p>
      <w:pPr/>
      <w:r>
        <w:t>No automatic deletion of blog source, drafts, revisions or trash. Human attribution and protected audit for deletion/restore/purge. No identity or precise address inferred as fact from an IP. No location prompt merely because chat opened. No unapproved history sent to a model. No full form values/transcripts/secrets in generic analytics. No fake business facts, conversion events, statistical winners, provider success or production-readiness claims. No ranking, complete-tracking or zero-maintenance guarantee.</w:t>
      </w:r>
    </w:p>
    <w:p>
      <w:pPr>
        <w:pStyle w:val="Heading1"/>
        <w:pageBreakBefore/>
      </w:pPr>
      <w:bookmarkStart w:id="333" w:name="v12_appI"/>
      <w:r>
        <w:t>Appendix I | Version 1.2 acceptance and evidence register</w:t>
      </w:r>
      <w:bookmarkEnd w:id="333"/>
      <w:bookmarkStart w:id="637" w:name="tocfinal_app_I"/>
      <w:bookmarkEnd w:id="637"/>
    </w:p>
    <w:p>
      <w:pPr/>
      <w:r>
        <w:t>This register adds 192 concrete acceptance scenarios to the inherited tests. It is not a test-execution report. Every row starts Not executed. Apply each row to the selected capability; an inapplicable business module requires an explicit rationale, not a fabricated pass. The evidence record includes environment/build, configuration and provider versions, steps, observed result, safe screenshot/log/receipt reference, executor, date, defect/exception and approver.</w:t>
      </w:r>
    </w:p>
    <w:p>
      <w:pPr/>
      <w:r>
        <w:t>Use ID V12-CC-NN, where CC is the controlling chapter and NN is its case number. Core integrity/privacy cases remain applicable even when optional marketing collection is disabled.</w:t>
      </w:r>
    </w:p>
    <w:p>
      <w:pPr>
        <w:pStyle w:val="Heading2"/>
      </w:pPr>
      <w:r>
        <w:t>I.1 Chapter 42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V12-42-01 — Omitted module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Leave an applicable capability without a scope decision.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Prelaunch validation reports an unresolved requirement and blocks sign-off until an accountable decision exists.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V12-42-02 — Disabled but delivered</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Disable a tested audience connector for an ineligible site.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Implementation and activation statuses stay separate; no audience job or tag runs.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V12-42-03 — Mock-only integration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Attach only a mock response to a real-provider requirement.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requirement remains unverified/Blocked, not Passed.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V12-42-04 — Conflicting preservation rule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Configure a generic cleanup policy that includes source blogs.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Validation rejects the policy; Chapter 38 preservation prevails and the attempt is audited.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V12-42-05 — Unowned requirement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Remove the responsible person from a critical release row.</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release checklist identifies the ownership gap and requires a replacement.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V12-42-06 — New data destination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Add a widget sending data to a new provider.</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Change review creates data, consent, performance and provider-validation tasks before activation.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V12-42-07 — Scope reduction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Remove a selected business module from delivery.</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 recorded owner-approved scope change is required; unfinished work is not silently Not Applicable.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V12-42-08 — Edition traceability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Upgrade a project from v1.1 to v1.2.</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Existing IDs/evidence remain mapped; new requirements are explicitly added and start unexecuted.</w:t>
            </w:r>
          </w:p>
        </w:tc>
      </w:tr>
    </w:tbl>
    <w:p>
      <w:pPr>
        <w:spacing w:after="60"/>
      </w:pPr>
    </w:p>
    <w:p>
      <w:pPr>
        <w:pStyle w:val="Heading2"/>
      </w:pPr>
      <w:r>
        <w:t>I.2 Chapter 43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V12-43-01 — Offer mismatch</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Publish campaign copy with a price different from its approved offer revision.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Preflight detects the mismatch and blocks release until resolved.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V12-43-02 — Expired promotion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Advance the clock beyond an approved offer end.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Advertising/display follows the expiry policy; the source article and history remain retained.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V12-43-03 — Missing proof</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Add a testimonial without a source/permission record.</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claim cannot enter approved public/campaign content.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V12-43-04 — Budget authority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Have an editor attempt to authorize campaign spend.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Permission is denied and recorded; content access does not confer spending authority.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V12-43-05 — Revenue calculation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Report a cohort containing refunds and tax.</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Metrics label gross/net/tax/refund treatment and reconcile to the declared ledger.</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V12-43-06 — Zero denominator</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Request cost-per-qualified-lead with no qualified leads.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report shows not_available with counts, not a misleading zero.</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V12-43-07 — Calendar simulation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Preview a scheduled campaign in draft.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Preview does not publish content, send messages or enable live spend.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V12-43-08 — Capacity review</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Attempt launch without an assigned lead-response team.</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campaign readiness gate identifies the missing operational owner.</w:t>
            </w:r>
          </w:p>
        </w:tc>
      </w:tr>
    </w:tbl>
    <w:p>
      <w:pPr>
        <w:spacing w:after="60"/>
      </w:pPr>
    </w:p>
    <w:p>
      <w:pPr>
        <w:pStyle w:val="Heading2"/>
      </w:pPr>
      <w:r>
        <w:t>I.3 Chapter 44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V12-44-01 — Acknowledged save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Save a draft, receive acknowledgment, then restart the editor.</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exact acknowledged version is recoverable and remains unpublished.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V12-44-02 — Failed autosave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Disconnect during autosave before server commit.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UI shows unsaved/failed; no false saved status appears and local recovery follows policy.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V12-44-03 — Concurrent editors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Submit two changes against the same expected version.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One commits; the stale write receives a conflict with safe resolution options.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V12-44-04 — Schema change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Remove or change a populated collection field.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 versioned impact/migration preview and approval are required; data is not silently lost.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V12-44-05 — Import omission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Import a partial collection that omits existing blogs.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Omitted records are preserved; the import reports only its approved creates/updates.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V12-44-06 — Private relation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Reference a private record from a public collection entry.</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Public rendering/API cannot disclose it; validation or safe fallback applies.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V12-44-07 — Release rollback</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Publish a bundle, partially delay invalidation, then roll back.</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compatible manifest is restored with truthful pending status and complete audit.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V12-44-08 — Shared-device recovery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Log out after editing protected draft content.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Local recovery state follows clearing/expiry rules; another user cannot retrieve the draft.</w:t>
            </w:r>
          </w:p>
        </w:tc>
      </w:tr>
    </w:tbl>
    <w:p>
      <w:pPr>
        <w:spacing w:after="60"/>
      </w:pPr>
    </w:p>
    <w:p>
      <w:pPr>
        <w:pStyle w:val="Heading2"/>
      </w:pPr>
      <w:r>
        <w:t>I.4 Chapter 45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V12-45-01 — Duplicate enrollment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Deliver the same trusted trigger twice.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Only the declared single run is enrolled for that trigger/re-entry scope.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V12-45-02 — Timer recovery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Restart the worker during a multi-day wait.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durable timer resumes without losing the run or duplicating the action.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V12-45-03 — Last-moment withdrawal</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Withdraw marketing permission before dispatch reads eligibility.</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send is suppressed with reason/policy version and no provider call occurs.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V12-45-04 — Uncertain send</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Simulate timeout after possible provider acceptance.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system reconciles supported receipt identifiers or exposes uncertainty; it does not blindly duplicate.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V12-45-05 — Published version change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Publish a revised workflow while a prior run is waiting.</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Existing run retains its pinned version unless an explicit migration is approved.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V12-45-06 — Emergency stop</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Stop a workflow while multiple workers have queued actions.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Dispatch gates prevent new external effects; in-flight/uncertain effects remain visible.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V12-45-07 — Loop and budget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Create a graph with an unbounded loop or excessive fan-out.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Validation blocks publication or enforces declared finite execution limits.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V12-45-08 — Simulation isolation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Run a synthetic workflow with production-looking contact inputs.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Simulation cannot reach production providers or mutate actual customer records.</w:t>
            </w:r>
          </w:p>
        </w:tc>
      </w:tr>
    </w:tbl>
    <w:p>
      <w:pPr>
        <w:spacing w:after="60"/>
      </w:pPr>
    </w:p>
    <w:p>
      <w:pPr>
        <w:pStyle w:val="Heading2"/>
      </w:pPr>
      <w:r>
        <w:t>I.5 Chapter 46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V12-46-01 — Repeated engagement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Emit repeated duplicate clicks and chat messages.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Configured caps/deduplication prevent unbounded score inflation.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V12-46-02 — No tracking permission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Score a valid lead with no optional browsing history.</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Missing telemetry is unknown, not fabricated behavior or automatic disqualification.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V12-46-03 — Qualification separation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Cross a score threshold without a business qualification action.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No lead_qualified event is emitted solely from the score.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V12-46-04 — Rule recalculation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Correct an input and publish a new scoring version.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Recalculation records version/time/explanation and preserves authoritative source facts.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V12-46-05 — Sensitive segment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Attempt a segment using forbidden precise-location or health fields.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Validation denies the field/destination combination and records a safe reason.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V12-46-06 — Override expiry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Apply an authorized temporary score override, then expire it.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UI distinguishes computed/override values; actor/reason/expiry are retained.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V12-46-07 — Membership revocation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Withdraw eligibility after segment calculation but before export.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Dispatch revalidation excludes the contact and queues appropriate removal where needed.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V12-46-08 — Personalization cache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Request personalized pages as two different permitted users.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No private context or per-user response leaks through the shared cache.</w:t>
            </w:r>
          </w:p>
        </w:tc>
      </w:tr>
    </w:tbl>
    <w:p>
      <w:pPr>
        <w:spacing w:after="60"/>
      </w:pPr>
    </w:p>
    <w:p>
      <w:pPr>
        <w:pStyle w:val="Heading2"/>
      </w:pPr>
      <w:r>
        <w:t>I.6 Chapter 47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V12-47-01 — Authentication proof</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Send a real synthetic message through each enabled sender stream.</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Received SPF/DKIM/DMARC/alignment results match the approved configuration.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V12-47-02 — Scanner GET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Fetch an unsubscribe link as a link scanner.</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 GET does not silently perform the RFC one-click subscription action.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V12-47-03 — One-click POST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Submit the valid supported one-click POST twice.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Suppression is idempotent, needs no forced login and returns a safe result.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V12-47-04 — Queued unsubscribe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Unsubscribe while a promotional message is queued.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dispatch eligibility check prevents the now-ineligible send.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V12-47-05 — Import suppression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Reimport an unsubscribed address without new authorization.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contact remains suppressed; no automatic resubscription occurs.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V12-47-06 — Bounce/complaint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Deliver verified duplicate and out-of-order provider feedback.</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State updates are idempotent and suppression follows the approved policy.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V12-47-07 — Template injection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Place markup/script-like text in a permitted template variable.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Output is safely escaped; no arbitrary execution or malformed critical content occurs.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V12-47-08 — Provider migration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Replace sender provider with pending and uncertain messages.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Templates/suppression persist; uncertain prior sends are reconciled before replay.</w:t>
            </w:r>
          </w:p>
        </w:tc>
      </w:tr>
    </w:tbl>
    <w:p>
      <w:pPr>
        <w:spacing w:after="60"/>
      </w:pPr>
    </w:p>
    <w:p>
      <w:pPr>
        <w:pStyle w:val="Heading2"/>
      </w:pPr>
      <w:r>
        <w:t>I.7 Chapter 48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V12-48-01 — Click versus call</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Click a tel: link without completing a call.</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Only contact intent is recorded; no answered-call or qualified-lead claim appears.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V12-48-02 — Number lease race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Assign the last tracking number to concurrent sessions.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declared lease/fallback policy prevents false attribution and pool corruption.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V12-48-03 — Duplicate callback</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Replay a verified call/message delivery webhook.</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One provider receipt/business transition results under the deduplication contract.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V12-48-04 — Forged callback</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an invalid signature or provider secret.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event is rejected without mutating the case; safe security evidence is retained.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V12-48-05 — Channel identity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Type another customer email in an anonymous chat.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No private account or prior conversation is disclosed without proof of control.</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V12-48-06 — Offline QR</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Open a QR campaign then decline optional tracking.</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destination works; no invented identity or unauthorized persistent journey is created.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V12-48-07 — Agent handoff</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Request handoff while no agent is available.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UI distinguishes requested/pending from agent joined and offers the approved fallback.</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V12-48-08 — Transcript access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Have an unassigned unauthorized agent export a recording/transcript.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Access is denied; permitted exports require scope, expiry and audit.</w:t>
            </w:r>
          </w:p>
        </w:tc>
      </w:tr>
    </w:tbl>
    <w:p>
      <w:pPr>
        <w:spacing w:after="60"/>
      </w:pPr>
    </w:p>
    <w:p>
      <w:pPr>
        <w:pStyle w:val="Heading2"/>
      </w:pPr>
      <w:r>
        <w:t>I.8 Chapter 49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V12-49-01 — Intent overlap</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Review two pages targeting the same customer task.</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inventory exposes overlap and requires a human refresh/consolidation decision, not deletion.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V12-49-02 — Unsupported claim</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Publish a case study with an unverified outcome.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Editorial approval blocks the unsupported claim and requests evidence.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V12-49-03 — Fake location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Add a location page without real eligible operations.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location/profile approval fails; no fabricated address is published.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V12-49-04 — Locale completeness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Publish a translated page with missing legal/support copy.</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locale readiness check reports missing reviewed content and prevents false completeness.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V12-49-05 — Search report limits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Compare detailed query rows with aggregate search totals.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report preserves extraction/coverage limitations instead of inventing missing queries.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V12-49-06 — AI draft publication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Have a content generator attempt direct production publication.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Only an approved human-governed publishing workflow can make it live.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V12-49-07 — Rank decline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Simulate a significant ranking/traffic decline.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system creates a review task; blogs/revisions are not automatically purged.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V12-49-08 — Review permission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Remove authorization for a testimonial used in several campaigns.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Dependency review identifies affected uses and applies approved removal while preserving safe audit.</w:t>
            </w:r>
          </w:p>
        </w:tc>
      </w:tr>
    </w:tbl>
    <w:p>
      <w:pPr>
        <w:spacing w:after="60"/>
      </w:pPr>
    </w:p>
    <w:p>
      <w:pPr>
        <w:pStyle w:val="Heading2"/>
      </w:pPr>
      <w:r>
        <w:t>I.9 Chapter 50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V12-50-01 — Status correctness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Request missing, moved, private and valid routes.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Responses follow the route-policy status/authentication rules rather than universal 200.</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V12-50-02 — Noindex blocking</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Review a route both robots-blocked and expected to expose noindex.</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Preflight flags the conflicting strategy for deliberate correction.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V12-50-03 — Facet trap</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Generate malformed and excessive filter combinations.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Bounded routing/crawl policy prevents uncontrolled URL expansion and gives useful error recovery.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V12-50-04 — Pagination discovery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Disable JavaScript and navigate a paginated collection.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Essential results remain reachable through the approved crawlable link strategy.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V12-50-05 — Sitemap integrity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Trash a post and publish a new approved revision elsewhere.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Only intended canonical indexable URLs appear, with truthful dates and no draft leakage.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V12-50-06 — Schema mismatch</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Change visible price while leaving stale structured-data output.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Consistency tests fail; publication/feed diagnostics identify the mismatch.</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V12-50-07 — General indexing misuse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Attempt to send ordinary blog URLs through the restricted Google Indexing API.</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adapter rejects the unsupported use case rather than claim instant indexing.</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V12-50-08 — Migration identifiers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Follow legacy/HTTPS/locale redirects with eligible click IDs.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Approved identifiers reach the final destination without corruption or unrelated-domain leakage.</w:t>
            </w:r>
          </w:p>
        </w:tc>
      </w:tr>
    </w:tbl>
    <w:p>
      <w:pPr>
        <w:spacing w:after="60"/>
      </w:pPr>
    </w:p>
    <w:p>
      <w:pPr>
        <w:pStyle w:val="Heading2"/>
      </w:pPr>
      <w:r>
        <w:t>I.10 Chapter 51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V12-51-01 — Goal duplication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Configure native Ads and GA4-imported copies as duplicate primary lead goals.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Preflight identifies double counting and requires one documented source per business action.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V12-51-02 — Offline path</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Validate a new offline/enhanced-lead connector against current account/API support.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Only a supported credential/ingestion route passes; legacy access assumptions remain Blocked.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V12-51-03 — Native form provenance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Import a genuine provider-native test lead with no website visit.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Lead source is provider form; no fabricated page views or website identity are attached.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V12-51-04 — Automated URL scope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Enable automated URL expansion with excluded/private destinations.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Approved route exclusions and diagnostics prevent unsupported destinations from passing preflight.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V12-51-05 — Bidding value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Send a browser-modified purchase value.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Trusted server/order values prevail; client assertions cannot inflate optimization signals.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V12-51-06 — Denied consent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Complete a valid enquiry while advertising permission is denied.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Business capture succeeds and ineligible ad dispatch is suppressed.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V12-51-07 — Reporting separation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Revoke read-only report access while conversion delivery remains authorized.</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Reporting becomes unavailable/stale without misreporting conversion integration status.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V12-51-08 — Budget write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Attempt a spend-increasing change without spending approval.</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external write is denied; no local success badge implies remote application.</w:t>
            </w:r>
          </w:p>
        </w:tc>
      </w:tr>
    </w:tbl>
    <w:p>
      <w:pPr>
        <w:spacing w:after="60"/>
      </w:pPr>
    </w:p>
    <w:p>
      <w:pPr>
        <w:pStyle w:val="Heading2"/>
      </w:pPr>
      <w:r>
        <w:t>I.11 Chapter 52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V12-52-01 — Asset permissions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Connect an account that lacks native-lead or dataset rights.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Capability matrix reports exact missing permissions; general login is not marked full success.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V12-52-02 — Pixel/CAPI duplicate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Emit permitted browser/server copies of the same committed lead.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Current account diagnostics confirm the agreed matching event identity/name behavior.</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V12-52-03 — Sensitive URL</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Attempt a conversion payload containing a protected intake path or transcript.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Field/URL policy rejects or minimizes the payload before external dispatch.</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V12-52-04 — Provider IP provenance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Use a chat-provider callback as the source of a web conversion.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provider server address is not mislabeled as the visitor IP.</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V12-52-05 — Lead source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Retrieve a synthetic Meta native-form lead twice.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One declared provider lead results and no fictional website journey is created.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V12-52-06 — Unsupported optimization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Select an event not confirmed eligible for the current account goal.</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Activation is Blocked pending verification; event receipt alone is insufficient.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V12-52-07 — In-app browser</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Complete consent, landing, form and return navigation in the selected in-app browser.</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Core journey works and event ownership avoids unintended duplicate page/lead events.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V12-52-08 — Remote pause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Request a campaign stop during provider timeout.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Local intent, remote confirmed state and uncertainty are shown separately with escalation.</w:t>
            </w:r>
          </w:p>
        </w:tc>
      </w:tr>
    </w:tbl>
    <w:p>
      <w:pPr>
        <w:spacing w:after="60"/>
      </w:pPr>
    </w:p>
    <w:p>
      <w:pPr>
        <w:pStyle w:val="Heading2"/>
      </w:pPr>
      <w:r>
        <w:t>I.12 Chapter 53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V12-53-01 — Audience eligibility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Include an opted-out or restricted contact in a candidate segment.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Eligibility filtering suppresses the candidate before matching-data export.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V12-53-02 — Removal race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Withdraw consent during an audience batch.</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Unsent records are excluded and required removals take priority under current policy.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V12-53-03 — Partial batch</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Return mixed provider successes and failures.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Per-record/batch receipts support safe retry without replaying completed actions blindly.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V12-53-04 — Unknown match</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Provider returns only aggregate size/processing state.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UI does not invent person-level matches or instant targeting confirmation.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V12-53-05 — Converter exclusion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Verify a sale after an acquisition audience was calculated.</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defined exclusion/removal workflow uses current business state.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V12-53-06 — Read-only scope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Attempt campaign mutation with a reporting credential.</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Write access is denied before external execution and recorded.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V12-53-07 — Disconnect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Disconnect an audience integration with pending jobs.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Future sends stop; revocation/removal and retained-data obligations are visible.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V12-53-08 — Retired audience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Retire a segment still referenced by a campaign.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Dependency impact is shown; supported remote changes require approval and confirmation.</w:t>
            </w:r>
          </w:p>
        </w:tc>
      </w:tr>
    </w:tbl>
    <w:p>
      <w:pPr>
        <w:spacing w:after="60"/>
      </w:pPr>
    </w:p>
    <w:p>
      <w:pPr>
        <w:pStyle w:val="Heading2"/>
      </w:pPr>
      <w:r>
        <w:t>I.13 Chapter 54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V12-54-01 — Feed price mismatch</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Generate a feed with a stale price/availability relative to the product page.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Validation flags the mismatch; unsafe items are not falsely marked ready.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V12-54-02 — Partial catalogue update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only changed items to a feed adapter.</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Unchanged products are not unintentionally deleted from the full catalogue.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V12-54-03 — Stock concurrency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Two buyers attempt the last inventory unit.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Reservation/payment rules prevent unsupported overselling and provide a clear recovery path.</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V12-54-04 — Fake payment return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Open the thank-you URL without verified payment.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No paid state, access entitlement or Purchase conversion is created.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V12-54-05 — Late webhook</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Receive payment confirmation after reservation expiry.</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declared reconciliation policy handles stock/customer obligations without guessing.</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V12-54-06 — Partial refund</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Refund part of a paid order twice using the same operation key.</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One permitted refund affects ledger/entitlements/metrics under the documented policy.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V12-54-07 — Subscription cancellation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Cancel before a pending renewal/communication action.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Future eligible actions obey current cancellation state and provider confirmation.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V12-54-08 — Recovery suppression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Complete purchase or opt out before abandoned-cart dispatch.</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recovery message is suppressed and the reason is recorded.</w:t>
            </w:r>
          </w:p>
        </w:tc>
      </w:tr>
    </w:tbl>
    <w:p>
      <w:pPr>
        <w:spacing w:after="60"/>
      </w:pPr>
    </w:p>
    <w:p>
      <w:pPr>
        <w:pStyle w:val="Heading2"/>
      </w:pPr>
      <w:r>
        <w:t>I.14 Chapter 55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V12-55-01 — Grain confusion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Join ad totals with overlapping breakdown rows.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Semantic-layer tests prevent double counting and preserve source grain.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V12-55-02 — Late adjustment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Receive a delayed refund/conversion update for a previous report period.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period is restated with revision/freshness evidence and original ledger preserved.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V12-55-03 — Currency/timezone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Combine campaigns in different account currencies/timezones.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report uses an explicit conversion/time policy and preserves source values.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V12-55-04 — Unknown acquisition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 visitor refuses tracking and later submits a lead.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Source is unknown/not collected unless declared; it is not automatically labeled direct.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V12-55-05 — Connector outage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Stop a reporting connector after a successful prior sync.</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Dashboard displays stale/unavailable with last successful extraction time.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V12-55-06 — Warehouse rights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Delete eligible personal records and refresh analytical stores.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Derived tables/exports follow approved propagation and do not recreate deleted identities.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V12-55-07 — Causal claim</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Label an observational before/after chart as incremental lift.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Review rejects the causal label without an approved valid design.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V12-55-08 — Report export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Export a report with unauthorized contacts and formula-like values.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Permissions and output safety prevent disclosure and spreadsheet formula injection.</w:t>
            </w:r>
          </w:p>
        </w:tc>
      </w:tr>
    </w:tbl>
    <w:p>
      <w:pPr>
        <w:spacing w:after="60"/>
      </w:pPr>
    </w:p>
    <w:p>
      <w:pPr>
        <w:pStyle w:val="Heading2"/>
      </w:pPr>
      <w:r>
        <w:t>I.15 Chapter 56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V12-56-01 — Form resume consent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Leave an anonymous form partially typed without choosing Save.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No abandoned field values become a stored lead or marketing audience.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V12-56-02 — Calculator extremes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out-of-range, missing and localized numeric inputs.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Server validation and defined units/rounding produce safe errors or correctly labeled estimates.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V12-56-03 — Widget collision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Open consent preferences, chat and a campaign popup on a narrow screen.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Essential controls remain accessible and overlays follow the declared precedence.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V12-56-04 — Dismissal access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Close a promotional modal using keyboard/screen reader.</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Focus is managed correctly and no hidden interaction trap remains.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V12-56-05 — Experiment conflict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Edit a form revision used in a running experiment.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owner sees the conflict; the pinned test treatment is not silently changed.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V12-56-06 — Sensitive feedback</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a synthetic private marker in survey free text.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It stays in the protected response store, not analytics/replay/ad parameters.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V12-56-07 — Low-volume test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Finish a test without adequate planned evidence.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Results are insufficient/inconclusive, not an automatic winning variant.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V12-56-08 — Promotion rollback</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Roll back a promoted offer after a customer accepted it.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Historical customer terms remain intact while public content changes through audit.</w:t>
            </w:r>
          </w:p>
        </w:tc>
      </w:tr>
    </w:tbl>
    <w:p>
      <w:pPr>
        <w:spacing w:after="60"/>
      </w:pPr>
    </w:p>
    <w:p>
      <w:pPr>
        <w:pStyle w:val="Heading2"/>
      </w:pPr>
      <w:r>
        <w:t>I.16 Chapter 57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V12-57-01 — Ownership audit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Attempt recovery with the original developer unavailable.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Authorized business recovery succeeds using documented independent access.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V12-57-02 — Renewal failure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Simulate a failed domain-renewal payment.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Alerts reach the accountable owner/backup and remain open until renewal is confirmed.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V12-57-03 — DNS change approval</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Change production MX/nameserver records without approval.</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change path denies or flags the unauthorized action with independent audit.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V12-57-04 — Certificate renewal</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Exercise the certificate challenge after proxy/WAF changes.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Renewal validation and expiry monitoring confirm the deployed challenge path works.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V12-57-05 — DNSSEC mismatch</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Test an invalid DS/signing-chain change in a safe environment.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Monitoring detects failure and the documented coordinated rollback restores resolution.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V12-57-06 — Dangling domain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Remove a provider while leaving its domain association.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Offboarding checks flag dangling DNS/resource ownership risk.</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V12-57-07 — Cutover regression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Move hosting and test web, mail, webhooks and ad destinations.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All declared services pass or rollback/escalation occurs; homepage-only testing is insufficient.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V12-57-08 — Staff departure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Remove a privileged staff member from the organization.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Delegated access and relevant recovery/service credentials are reviewed and revoked/rotated.</w:t>
            </w:r>
          </w:p>
        </w:tc>
      </w:tr>
    </w:tbl>
    <w:p>
      <w:pPr>
        <w:spacing w:after="60"/>
      </w:pPr>
    </w:p>
    <w:p>
      <w:pPr>
        <w:pStyle w:val="Heading2"/>
      </w:pPr>
      <w:r>
        <w:t>I.17 Chapter 58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V12-58-01 — Cross-tenant object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Request another site’s lead, export or signed file with a valid own-site session.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Every path denies unauthorized access, including workers and download issuance.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V12-58-02 — Malicious import URL</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Provide a redirecting/internal-network URL to a content importer.</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SSRF controls reject unsupported destinations after redirect resolution.</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V12-58-03 — Third-party tag</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Publish a new script that sends unapproved fields/domains.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Tag governance blocks activation or detects and stops the violation with evidence.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V12-58-04 — Compromised token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Revoke a connector token while jobs are queued.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Dispatch fails safely, secrets remain redacted and no unauthorized retry bypass occurs.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V12-58-05 — Public business assertion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Post a purchase or qualification claim to the browser event collector.</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event cannot mutate authoritative business state or create trusted conversion value.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V12-58-06 — Resource exhaustion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Flood costly search/AI/export requests in an authorized test.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Bounded quotas/rate limits protect business capture and expose safe errors.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V12-58-07 — CI secret isolation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Run an untrusted contribution build.</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Production credentials/data are unavailable and artifacts pass the defined provenance checks.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V12-58-08 — Prompt injection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Insert instructions to reveal data or delete content into a retrieved document.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Tool authorization and projection controls prevent unauthorized actions outside the model.</w:t>
            </w:r>
          </w:p>
        </w:tc>
      </w:tr>
    </w:tbl>
    <w:p>
      <w:pPr>
        <w:spacing w:after="60"/>
      </w:pPr>
    </w:p>
    <w:p>
      <w:pPr>
        <w:pStyle w:val="Heading2"/>
      </w:pPr>
      <w:r>
        <w:t>I.18 Chapter 59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V12-59-01 — Purpose separation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Accept analytics but reject ads and decline location.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Only allowed analytics activates; location/ad processing remains off while services work.</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V12-59-02 — Applicable GPC</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Send a recognized opt-out signal under a covered policy profile.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policy engine applies the approved sale/sharing restriction and records minimal evidence.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V12-59-03 — Rights propagation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Approve a verified deletion across CRM/chat/warehouse/provider stores.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Each target reports completion/exception/pending state; no single-row false completion appears.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V12-59-04 — Legal hold</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Request disposal of records subject to an approved hold.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hold is respected with accountable review and minimal restricted evidence.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V12-59-05 — Minor/sensitive profile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Activate a protected audience/business profile.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Forbidden profiling/ad destinations are disabled by the approved applicability rules.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V12-59-06 — Restore resurrection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Restore a backup predating a valid deletion or unsubscribe.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Independent ledgers are reapplied before reopening access or dispatch.</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V12-59-07 — Log minimization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Inject synthetic tokens, contacts and precise coordinates into error paths.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Generic logs, dataLayer, replay and AI traces contain no prohibited marker values.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V12-59-08 — Unsubscribe friction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Request a simple marketing unsubscribe without an account.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The approved opt-out path works without unnecessary login/identity barriers.</w:t>
            </w:r>
          </w:p>
        </w:tc>
      </w:tr>
    </w:tbl>
    <w:p>
      <w:pPr>
        <w:spacing w:after="60"/>
      </w:pPr>
    </w:p>
    <w:p>
      <w:pPr>
        <w:pStyle w:val="Heading2"/>
      </w:pPr>
      <w:r>
        <w:t>I.19 Chapter 60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V12-60-01 — CRM outage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Disable CRM during a valid lead submission.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lead is durably acknowledged locally and eligible sync is queued, not lost.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V12-60-02 — Queue loss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Restart or replace disposable queue infrastructure.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Eligible work is recoverable from durable state and duplicate effects are controlled.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V12-60-03 — Real restore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Restore base data, logs, assets and required policy ledgers into isolation.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Measured recovery satisfies approved objectives and a new synthetic lead succeeds.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V12-60-04 — Reporting saturation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Run expensive reports alongside expected peak lead traffic.</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Query/resource budgets protect transactional service targets.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V12-60-05 — Native/Docker parity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Execute core acceptance scenarios in both supported simple profiles.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Business, audit and privacy semantics match despite different packaging.</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V12-60-06 — Cache isolation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Mix preview/authenticated/variant responses across multiple instances.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Private data and cookies never enter shared public cache objects.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V12-60-07 — Optional service cap</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Exhaust an approved AI or geo budget.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Useful deterministic/manual fallback appears without breaking core capture.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V12-60-08 — Protected storage pressure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Exceed a content-storage warning threshold.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Alert/scaling review occurs; source blogs/revisions are not automatically deleted.</w:t>
            </w:r>
          </w:p>
        </w:tc>
      </w:tr>
    </w:tbl>
    <w:p>
      <w:pPr>
        <w:spacing w:after="60"/>
      </w:pPr>
    </w:p>
    <w:p>
      <w:pPr>
        <w:pStyle w:val="Heading2"/>
      </w:pPr>
      <w:r>
        <w:t>I.20 Chapter 61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V12-61-01 — Module activation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Enable a business module without its operating owner or acceptance pack.</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Activation is blocked until its full lifecycle responsibilities are approved.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V12-61-02 — Booking collision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Two users reserve the last available appointment.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Transactional capacity rules prevent double booking.</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V12-61-03 — Private enrollment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Request another student’s progress/records.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Relationship and object permissions prevent disclosure.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V12-61-04 — Marketplace reversal</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Refund or dispute a seller transaction.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Approved buyer/seller fees, settlement and access adjustments remain consistent.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V12-61-05 — Moderation integrity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 community moderator removes a post and an author appeals.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Reason/actor/action and appeal state are retained without leaking private reports.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V12-61-06 — Referral abuse</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a self-referral or refunded sale for rewards.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Eligibility/fraud/ledger rules prevent unearned duplicate rewards.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V12-61-07 — Publisher script scope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Load a monetized page with consent denied or sensitive context.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Only eligible ads/scripts load; no protected-data disclosure or obstructed UI occurs.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V12-61-08 — Offline privacy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Use offline mode after logout on a shared device.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Private cache is unavailable and queued work is not falsely shown as server-accepted.</w:t>
            </w:r>
          </w:p>
        </w:tc>
      </w:tr>
    </w:tbl>
    <w:p>
      <w:pPr>
        <w:spacing w:after="60"/>
      </w:pPr>
    </w:p>
    <w:p>
      <w:pPr>
        <w:pStyle w:val="Heading2"/>
      </w:pPr>
      <w:r>
        <w:t>I.21 Chapter 62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V12-62-01 — Domain claiming</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Attempt to attach a domain already owned by another tenant.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Verified control and uniqueness checks prevent takeover or route reassignment.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V12-62-02 — Extension manifest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Enable a plugin with incompatible schema/core versions.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Compatibility validation blocks it before it changes production behavior.</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V12-62-03 — Feature disablement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Disable a module with routes, tags, jobs and retained obligations.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All declared surfaces stop safely; retained data and customer obligations follow policy.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V12-62-04 — API compatibility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Deploy a backend change against generated old/new clients.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Contract tests identify breaking changes and enforce the declared compatibility window.</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V12-62-05 — Webhook destination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Configure an unsafe customer webhook URL.</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Ownership, scope and SSRF checks prevent unauthorized internal access/data export.</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V12-62-06 — Knowledge invalidation</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Unpublish a source still present in a delayed AI index.</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Authoritative access/publication filters prevent retrieval leakage before reindexing completes.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V12-62-07 — Provider exit</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Export and import approved content/workflow data into a replacement adapter.</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Stable IDs, relationships, retained content and relevant suppression survive.</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V12-62-08 — Second-team install</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Deploy from the repository without the original developer machine.</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Documented bootstrap/test/restore processes work without undisclosed secrets or dependencies.</w:t>
            </w:r>
          </w:p>
        </w:tc>
      </w:tr>
    </w:tbl>
    <w:p>
      <w:pPr>
        <w:spacing w:after="60"/>
      </w:pPr>
    </w:p>
    <w:p>
      <w:pPr>
        <w:pStyle w:val="Heading2"/>
      </w:pPr>
      <w:r>
        <w:t>I.22 Chapter 63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V12-63-01 — UI/API completeness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Click each activated owner control in the deployed application.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Every control maps to real authorized behavior, error states and durable records.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V12-63-02 — Schema constraints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Attempt cross-site links and duplicate business-operation keys.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Database/application integrity rejects invalid relationships and duplicates.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V12-63-03 — Outbox atomicity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Crash between business write and external dispatch.</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Committed business state has recoverable audit/outbox; uncommitted actions are not acknowledged.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V12-63-04 — OpenAPI drift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Change a handler without updating its contract/fixtures.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CI detects mismatch and blocks release.</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V12-63-05 — Import side effects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Call the import preview endpoint.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It returns validation/manifest evidence without changing public or source records.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V12-63-06 — Campaign write authority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Call an ad-change endpoint with content-only permission.</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Spending/provider-write authorization is required independently.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V12-63-07 — Event destination map</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Emit an administrative draft_saved event.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It remains an administrative event unless an explicit safe destination mapping exists; not a lead.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V12-63-08 — Module work packet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Submit a completed module with no owner guide or negative tests.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Acceptance remains incomplete until all required artifacts and evidence are present.</w:t>
            </w:r>
          </w:p>
        </w:tc>
      </w:tr>
    </w:tbl>
    <w:p>
      <w:pPr>
        <w:spacing w:after="60"/>
      </w:pPr>
    </w:p>
    <w:p>
      <w:pPr>
        <w:pStyle w:val="Heading2"/>
      </w:pPr>
      <w:r>
        <w:t>I.23 Chapter 64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V12-64-01 — Full positive journey</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Run the declared tagged visitor-to-qualified-outcome demonstration.</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Each permitted milestone reconciles to its authority and duplicate identity.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V12-64-02 — Refusal journey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Repeat the journey with optional tracking refused.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Core service succeeds with no prohibited telemetry, audience or reconstructed history.</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V12-64-03 — Time-travel preservation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Advance beyond one year and run all cleanup jobs.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Active and trashed source blogs/revisions/assets remain under preservation policy.</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V12-64-04 — Evidence authenticity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Attach screenshots from mocks as production-provider proof.</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Review rejects the claim and records the integration as unverified.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V12-64-05 — Staging isolation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Try a production send from a synthetic preview environment.</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Dispatcher/account guards prevent real customer contact and production optimization pollution.</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V12-64-06 — Critical blocker</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Leave a known unauthorized-disclosure defect unresolved.</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Release remains blocked regardless of visual quality or conversion uplift.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V12-64-07 — Owner walkthrough</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Have a second operator complete CMS/campaign/recovery tasks from instructions.</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Tasks succeed without hidden developer operations; failures enter the backlog.</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V12-64-08 — Rollback rehearsal</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Trigger the declared release-stop threshold in a safe test.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Named operators execute the tested stop/rollback and verify business-data integrity.</w:t>
            </w:r>
          </w:p>
        </w:tc>
      </w:tr>
    </w:tbl>
    <w:p>
      <w:pPr>
        <w:spacing w:after="60"/>
      </w:pPr>
    </w:p>
    <w:p>
      <w:pPr>
        <w:pStyle w:val="Heading2"/>
      </w:pPr>
      <w:r>
        <w:t>I.24 Chapter 65 acceptance cases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212"/>
        <w:gridCol w:w="3293"/>
        <w:gridCol w:w="4326"/>
      </w:tblGrid>
      <w:tr>
        <w:trPr>
          <w:cantSplit/>
          <w:tblHeader w:val="true"/>
        </w:trPr>
        <w:tc>
          <w:tcPr>
            <w:tcW w:type="dxa" w:w="2212"/>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ID / scenario</w:t>
            </w:r>
          </w:p>
        </w:tc>
        <w:tc>
          <w:tcPr>
            <w:tcW w:type="dxa" w:w="329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Setup and action</w:t>
            </w:r>
          </w:p>
        </w:tc>
        <w:tc>
          <w:tcPr>
            <w:tcW w:type="dxa" w:w="432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Expected evidence/result</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V12-65-01 — Scope estimate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Price the expanded platform using only the older core schedule.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Planning review requires explicit re-estimation of added modules and approvals.</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V12-65-02 — Cost visibility</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Compute a project budget without messaging, backups or support.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Cost checklist identifies missing recurring categories and assumptions.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V12-65-03 — Urgent update</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Record an exploited dependency or urgent policy change.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Triage is triggered immediately rather than waiting for the monthly review.</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V12-65-04 — Handover access</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End the engagement and remove temporary agency credentials.</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Business-owned accounts remain recoverable and unnecessary access is revoked.</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V12-65-05 — Source verification</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 provider API feature changes or becomes unavailable.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Register identifies affected requirements/tests and assigns a current verification owner.</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V12-65-06 — Annual review</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Run the annual editorial checklist.</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Human review tasks are created; no automatic article/trash deletion occurs.</w:t>
            </w:r>
          </w:p>
        </w:tc>
      </w:tr>
      <w:tr>
        <w:trPr>
          <w:cantSplit/>
        </w:trPr>
        <w:tc>
          <w:tcPr>
            <w:tcW w:type="dxa" w:w="2212"/>
            <w:vAlign w:val="top"/>
            <w:shd w:fill="F1F6F9"/>
            <w:tcMar>
              <w:top w:w="90" w:type="dxa"/>
              <w:bottom w:w="85" w:type="dxa"/>
              <w:left w:w="105" w:type="dxa"/>
              <w:right w:w="105" w:type="dxa"/>
            </w:tcMar>
          </w:tcPr>
          <w:p>
            <w:pPr>
              <w:pStyle w:val="TableText"/>
              <w:keepNext w:val="0"/>
              <w:keepLines w:val="0"/>
            </w:pPr>
            <w:r>
              <w:rPr>
                <w:rFonts w:ascii="Lato" w:hAnsi="Lato"/>
                <w:sz w:val="18"/>
              </w:rPr>
              <w:t>V12-65-07 — Residual risks</w:t>
            </w:r>
          </w:p>
        </w:tc>
        <w:tc>
          <w:tcPr>
            <w:tcW w:type="dxa" w:w="3293"/>
            <w:vAlign w:val="top"/>
            <w:shd w:fill="F1F6F9"/>
            <w:tcMar>
              <w:top w:w="90" w:type="dxa"/>
              <w:bottom w:w="85" w:type="dxa"/>
              <w:left w:w="105" w:type="dxa"/>
              <w:right w:w="105" w:type="dxa"/>
            </w:tcMar>
          </w:tcPr>
          <w:p>
            <w:pPr>
              <w:pStyle w:val="TableText"/>
              <w:keepNext w:val="0"/>
              <w:keepLines w:val="0"/>
            </w:pPr>
            <w:r>
              <w:rPr>
                <w:rFonts w:ascii="Lato" w:hAnsi="Lato"/>
                <w:sz w:val="18"/>
              </w:rPr>
              <w:t>Approve a reduced-availability architecture.</w:t>
            </w:r>
          </w:p>
        </w:tc>
        <w:tc>
          <w:tcPr>
            <w:tcW w:type="dxa" w:w="4326"/>
            <w:vAlign w:val="top"/>
            <w:shd w:fill="F1F6F9"/>
            <w:tcMar>
              <w:top w:w="90" w:type="dxa"/>
              <w:bottom w:w="85" w:type="dxa"/>
              <w:left w:w="105" w:type="dxa"/>
              <w:right w:w="105" w:type="dxa"/>
            </w:tcMar>
          </w:tcPr>
          <w:p>
            <w:pPr>
              <w:pStyle w:val="TableText"/>
              <w:keepNext w:val="0"/>
              <w:keepLines w:val="0"/>
            </w:pPr>
            <w:r>
              <w:rPr>
                <w:rFonts w:ascii="Lato" w:hAnsi="Lato"/>
                <w:sz w:val="18"/>
              </w:rPr>
              <w:t>The tradeoff, owner, review date and tested recovery evidence are disclosed.</w:t>
            </w:r>
          </w:p>
        </w:tc>
      </w:tr>
      <w:tr>
        <w:trPr>
          <w:cantSplit/>
        </w:trPr>
        <w:tc>
          <w:tcPr>
            <w:tcW w:type="dxa" w:w="2212"/>
            <w:vAlign w:val="top"/>
            <w:shd w:fill="FFFFFF"/>
            <w:tcMar>
              <w:top w:w="90" w:type="dxa"/>
              <w:bottom w:w="85" w:type="dxa"/>
              <w:left w:w="105" w:type="dxa"/>
              <w:right w:w="105" w:type="dxa"/>
            </w:tcMar>
          </w:tcPr>
          <w:p>
            <w:pPr>
              <w:pStyle w:val="TableText"/>
              <w:keepNext w:val="0"/>
              <w:keepLines w:val="0"/>
            </w:pPr>
            <w:r>
              <w:rPr>
                <w:rFonts w:ascii="Lato" w:hAnsi="Lato"/>
                <w:sz w:val="18"/>
              </w:rPr>
              <w:t>V12-65-08 — Future requirement</w:t>
            </w:r>
          </w:p>
        </w:tc>
        <w:tc>
          <w:tcPr>
            <w:tcW w:type="dxa" w:w="3293"/>
            <w:vAlign w:val="top"/>
            <w:shd w:fill="FFFFFF"/>
            <w:tcMar>
              <w:top w:w="90" w:type="dxa"/>
              <w:bottom w:w="85" w:type="dxa"/>
              <w:left w:w="105" w:type="dxa"/>
              <w:right w:w="105" w:type="dxa"/>
            </w:tcMar>
          </w:tcPr>
          <w:p>
            <w:pPr>
              <w:pStyle w:val="TableText"/>
              <w:keepNext w:val="0"/>
              <w:keepLines w:val="0"/>
            </w:pPr>
            <w:r>
              <w:rPr>
                <w:rFonts w:ascii="Lato" w:hAnsi="Lato"/>
                <w:sz w:val="18"/>
              </w:rPr>
              <w:t>Introduce a new business feature after launch.</w:t>
            </w:r>
          </w:p>
        </w:tc>
        <w:tc>
          <w:tcPr>
            <w:tcW w:type="dxa" w:w="4326"/>
            <w:vAlign w:val="top"/>
            <w:shd w:fill="FFFFFF"/>
            <w:tcMar>
              <w:top w:w="90" w:type="dxa"/>
              <w:bottom w:w="85" w:type="dxa"/>
              <w:left w:w="105" w:type="dxa"/>
              <w:right w:w="105" w:type="dxa"/>
            </w:tcMar>
          </w:tcPr>
          <w:p>
            <w:pPr>
              <w:pStyle w:val="TableText"/>
              <w:keepNext w:val="0"/>
              <w:keepLines w:val="0"/>
            </w:pPr>
            <w:r>
              <w:rPr>
                <w:rFonts w:ascii="Lato" w:hAnsi="Lato"/>
                <w:sz w:val="18"/>
              </w:rPr>
              <w:t>A versioned scope/data/security/test change is approved before activation, without silently weakening prior controls.</w:t>
            </w:r>
          </w:p>
        </w:tc>
      </w:tr>
    </w:tbl>
    <w:p>
      <w:pPr>
        <w:spacing w:after="60"/>
      </w:pPr>
    </w:p>
    <w:p>
      <w:pPr>
        <w:pStyle w:val="Heading2"/>
      </w:pPr>
      <w:r>
        <w:t>I.25 Execution and sign-off</w:t>
      </w:r>
    </w:p>
    <w:p>
      <w:pPr/>
      <w:r>
        <w:t>Record Passed, Failed, Blocked, Not Implemented, Not Applicable or Not executed. Passed requires actual evidence. Blocked records the missing access/input and the person responsible. Not Applicable records the approved activation decision. Repeat relevant cases after provider, schema, content-template, tag or infrastructure changes. Grouped scenario rows must be expanded into executable detailed cases in the repository; no claim of exhaustive security testing follows from their count.</w:t>
      </w:r>
    </w:p>
    <w:p>
      <w:pPr>
        <w:pStyle w:val="Heading1"/>
        <w:pageBreakBefore/>
      </w:pPr>
      <w:bookmarkStart w:id="334" w:name="v12_appJ"/>
      <w:r>
        <w:t>Appendix J | Implementation contracts and worked examples</w:t>
      </w:r>
      <w:bookmarkEnd w:id="334"/>
      <w:bookmarkStart w:id="638" w:name="tocfinal_app_J"/>
      <w:bookmarkEnd w:id="638"/>
    </w:p>
    <w:p>
      <w:pPr>
        <w:pStyle w:val="Heading2"/>
      </w:pPr>
      <w:r>
        <w:t>J.1 Contract status and common envelope</w:t>
      </w:r>
    </w:p>
    <w:p>
      <w:pPr/>
      <w:r>
        <w:t>These examples define design responsibilities and representative shapes. They are not a complete deployable codebase or a substitute for current provider documentation. Implement runtime validation, authorization, migrations, error handling and tests in the selected stack. IDs and addresses below are synthetic. The application resolves site and actor from trusted context; a supplied identifier is never proof of permission.</w:t>
      </w:r>
    </w:p>
    <w:p>
      <w:pPr/>
      <w:r>
        <w:t>A business command carries schema_version, operation_id/idempotency key, expected_version where relevant and approved input. The server records request_id, actor, site, policy_version and occurrence time. A response distinguishes committed, queued, rejected, conflicted and uncertain external status. Do not return reusable secrets or full internal records merely to simplify the frontend.</w:t>
      </w:r>
    </w:p>
    <w:p>
      <w:pPr>
        <w:pStyle w:val="Heading2"/>
      </w:pPr>
      <w:r>
        <w:t>J.2 Draft save and conflict contract</w:t>
      </w:r>
    </w:p>
    <w:p>
      <w:pPr>
        <w:pStyle w:val="CodeBlock"/>
        <w:keepNext/>
        <w:keepLines/>
      </w:pPr>
      <w:r>
        <w:t>{</w:t>
      </w:r>
    </w:p>
    <w:p>
      <w:pPr>
        <w:pStyle w:val="CodeBlock"/>
        <w:keepNext/>
        <w:keepLines/>
      </w:pPr>
      <w:r>
        <w:t xml:space="preserve">  "schema_version": 1,</w:t>
      </w:r>
    </w:p>
    <w:p>
      <w:pPr>
        <w:pStyle w:val="CodeBlock"/>
        <w:keepNext/>
        <w:keepLines/>
      </w:pPr>
      <w:r>
        <w:t xml:space="preserve">  "expected_version": 17,</w:t>
      </w:r>
    </w:p>
    <w:p>
      <w:pPr>
        <w:pStyle w:val="CodeBlock"/>
        <w:keepNext/>
        <w:keepLines/>
      </w:pPr>
      <w:r>
        <w:t xml:space="preserve">  "collection_schema_version": "events_schema_03",</w:t>
      </w:r>
    </w:p>
    <w:p>
      <w:pPr>
        <w:pStyle w:val="CodeBlock"/>
        <w:keepNext/>
        <w:keepLines/>
      </w:pPr>
      <w:r>
        <w:t xml:space="preserve">  "fields": {</w:t>
      </w:r>
    </w:p>
    <w:p>
      <w:pPr>
        <w:pStyle w:val="CodeBlock"/>
        <w:keepNext/>
        <w:keepLines/>
      </w:pPr>
      <w:r>
        <w:t xml:space="preserve">    "title": "Example open day",</w:t>
      </w:r>
    </w:p>
    <w:p>
      <w:pPr>
        <w:pStyle w:val="CodeBlock"/>
        <w:keepNext/>
        <w:keepLines/>
      </w:pPr>
      <w:r>
        <w:t xml:space="preserve">    "summary": "Approved informational draft."</w:t>
      </w:r>
    </w:p>
    <w:p>
      <w:pPr>
        <w:pStyle w:val="CodeBlock"/>
        <w:keepNext/>
        <w:keepLines/>
      </w:pPr>
      <w:r>
        <w:t xml:space="preserve">  }</w:t>
      </w:r>
    </w:p>
    <w:p>
      <w:pPr>
        <w:pStyle w:val="CodeBlock"/>
        <w:keepNext w:val="0"/>
        <w:keepLines/>
      </w:pPr>
      <w:r>
        <w:t>}</w:t>
      </w:r>
    </w:p>
    <w:p>
      <w:pPr>
        <w:spacing w:after="80"/>
      </w:pPr>
    </w:p>
    <w:p>
      <w:pPr/>
      <w:r>
        <w:t>The client sends this to the authorized draft endpoint with an idempotency key. After a successful database commit, the response contains draft_revision_id, version=18, saved_at and status=saved_draft. The editor may now show Saved. A stale version returns a safe conflict with the current version and authorized comparison reference. It does not merge or publish silently. Retries with the same key and same request return the same result; a different request with the same key conflicts.</w:t>
      </w:r>
    </w:p>
    <w:p>
      <w:pPr/>
      <w:r>
        <w:t>Draft editing, autosave, preview, release approval and public publication are distinct transitions. A renderer binds fields to an approved template; it cannot execute a custom JavaScript field. Historical schema versions remain interpretable under reviewed migration rules.</w:t>
      </w:r>
    </w:p>
    <w:p>
      <w:pPr>
        <w:pStyle w:val="Heading2"/>
      </w:pPr>
      <w:r>
        <w:t>J.3 Example workflow definition</w:t>
      </w:r>
    </w:p>
    <w:p>
      <w:pPr>
        <w:pStyle w:val="CodeBlock"/>
        <w:keepNext/>
        <w:keepLines/>
      </w:pPr>
      <w:r>
        <w:t>{</w:t>
      </w:r>
    </w:p>
    <w:p>
      <w:pPr>
        <w:pStyle w:val="CodeBlock"/>
        <w:keepNext/>
        <w:keepLines/>
      </w:pPr>
      <w:r>
        <w:t xml:space="preserve">  "workflow_id": "wf_lead_followup",</w:t>
      </w:r>
    </w:p>
    <w:p>
      <w:pPr>
        <w:pStyle w:val="CodeBlock"/>
        <w:keepNext/>
        <w:keepLines/>
      </w:pPr>
      <w:r>
        <w:t xml:space="preserve">  "version": 3,</w:t>
      </w:r>
    </w:p>
    <w:p>
      <w:pPr>
        <w:pStyle w:val="CodeBlock"/>
        <w:keepNext/>
        <w:keepLines/>
      </w:pPr>
      <w:r>
        <w:t xml:space="preserve">  "site_ref": "site_example",</w:t>
      </w:r>
    </w:p>
    <w:p>
      <w:pPr>
        <w:pStyle w:val="CodeBlock"/>
        <w:keepNext/>
        <w:keepLines/>
      </w:pPr>
      <w:r>
        <w:t xml:space="preserve">  "subject_type": "lead",</w:t>
      </w:r>
    </w:p>
    <w:p>
      <w:pPr>
        <w:pStyle w:val="CodeBlock"/>
        <w:keepNext/>
        <w:keepLines/>
      </w:pPr>
      <w:r>
        <w:t xml:space="preserve">  "trigger": "lead_accepted",</w:t>
      </w:r>
    </w:p>
    <w:p>
      <w:pPr>
        <w:pStyle w:val="CodeBlock"/>
        <w:keepNext/>
        <w:keepLines/>
      </w:pPr>
      <w:r>
        <w:t xml:space="preserve">  "purpose": "service_enquiry_response",</w:t>
      </w:r>
    </w:p>
    <w:p>
      <w:pPr>
        <w:pStyle w:val="CodeBlock"/>
        <w:keepNext/>
        <w:keepLines/>
      </w:pPr>
      <w:r>
        <w:t xml:space="preserve">  "reentry": "one_per_trigger_event",</w:t>
      </w:r>
    </w:p>
    <w:p>
      <w:pPr>
        <w:pStyle w:val="CodeBlock"/>
        <w:keepNext/>
        <w:keepLines/>
      </w:pPr>
      <w:r>
        <w:t xml:space="preserve">  "nodes": [</w:t>
      </w:r>
    </w:p>
    <w:p>
      <w:pPr>
        <w:pStyle w:val="CodeBlock"/>
        <w:keepNext/>
        <w:keepLines/>
      </w:pPr>
      <w:r>
        <w:t xml:space="preserve">    {"id": "assign", "type": "action", "action": "assign_team"},</w:t>
      </w:r>
    </w:p>
    <w:p>
      <w:pPr>
        <w:pStyle w:val="CodeBlock"/>
        <w:keepNext/>
        <w:keepLines/>
      </w:pPr>
      <w:r>
        <w:t xml:space="preserve">    {"id": "ack", "type": "action", "action": "send_acknowledgment"},</w:t>
      </w:r>
    </w:p>
    <w:p>
      <w:pPr>
        <w:pStyle w:val="CodeBlock"/>
        <w:keepNext/>
        <w:keepLines/>
      </w:pPr>
      <w:r>
        <w:t xml:space="preserve">    {"id": "wait", "type": "delay", "duration_policy": "response_sla"},</w:t>
      </w:r>
    </w:p>
    <w:p>
      <w:pPr>
        <w:pStyle w:val="CodeBlock"/>
        <w:keepNext/>
        <w:keepLines/>
      </w:pPr>
      <w:r>
        <w:t xml:space="preserve">    {"id": "check", "type": "condition", "field": "lead.contacted"},</w:t>
      </w:r>
    </w:p>
    <w:p>
      <w:pPr>
        <w:pStyle w:val="CodeBlock"/>
        <w:keepNext/>
        <w:keepLines/>
      </w:pPr>
      <w:r>
        <w:t xml:space="preserve">    {"id": "escalate", "type": "action", "action": "create_staff_task"},</w:t>
      </w:r>
    </w:p>
    <w:p>
      <w:pPr>
        <w:pStyle w:val="CodeBlock"/>
        <w:keepNext/>
        <w:keepLines/>
      </w:pPr>
      <w:r>
        <w:t xml:space="preserve">    {"id": "done", "type": "exit"}</w:t>
      </w:r>
    </w:p>
    <w:p>
      <w:pPr>
        <w:pStyle w:val="CodeBlock"/>
        <w:keepNext/>
        <w:keepLines/>
      </w:pPr>
      <w:r>
        <w:t xml:space="preserve">  ],</w:t>
      </w:r>
    </w:p>
    <w:p>
      <w:pPr>
        <w:pStyle w:val="CodeBlock"/>
        <w:keepNext/>
        <w:keepLines/>
      </w:pPr>
      <w:r>
        <w:t xml:space="preserve">  "edges": [</w:t>
      </w:r>
    </w:p>
    <w:p>
      <w:pPr>
        <w:pStyle w:val="CodeBlock"/>
        <w:keepNext/>
        <w:keepLines/>
      </w:pPr>
      <w:r>
        <w:t xml:space="preserve">    ["assign", "ack"], ["ack", "wait"], ["wait", "check"],</w:t>
      </w:r>
    </w:p>
    <w:p>
      <w:pPr>
        <w:pStyle w:val="CodeBlock"/>
        <w:keepNext/>
        <w:keepLines/>
      </w:pPr>
      <w:r>
        <w:t xml:space="preserve">    ["check", "done", "true"], ["check", "escalate", "false"],</w:t>
      </w:r>
    </w:p>
    <w:p>
      <w:pPr>
        <w:pStyle w:val="CodeBlock"/>
        <w:keepNext/>
        <w:keepLines/>
      </w:pPr>
      <w:r>
        <w:t xml:space="preserve">    ["escalate", "done"]</w:t>
      </w:r>
    </w:p>
    <w:p>
      <w:pPr>
        <w:pStyle w:val="CodeBlock"/>
        <w:keepNext/>
        <w:keepLines/>
      </w:pPr>
      <w:r>
        <w:t xml:space="preserve">  ],</w:t>
      </w:r>
    </w:p>
    <w:p>
      <w:pPr>
        <w:pStyle w:val="CodeBlock"/>
        <w:keepNext/>
        <w:keepLines/>
      </w:pPr>
      <w:r>
        <w:t xml:space="preserve">  "limits": {"max_actions": 8, "max_duration_days": 14},</w:t>
      </w:r>
    </w:p>
    <w:p>
      <w:pPr>
        <w:pStyle w:val="CodeBlock"/>
        <w:keepNext/>
        <w:keepLines/>
      </w:pPr>
      <w:r>
        <w:t xml:space="preserve">  "marketing_branch": "not_enabled"</w:t>
      </w:r>
    </w:p>
    <w:p>
      <w:pPr>
        <w:pStyle w:val="CodeBlock"/>
        <w:keepNext w:val="0"/>
        <w:keepLines/>
      </w:pPr>
      <w:r>
        <w:t>}</w:t>
      </w:r>
    </w:p>
    <w:p>
      <w:pPr>
        <w:spacing w:after="80"/>
      </w:pPr>
    </w:p>
    <w:p>
      <w:pPr/>
      <w:r>
        <w:t>The durations are illustrative policy inputs, not guaranteed response commitments. A promotional branch requires a separately approved purpose and channel eligibility; the service acknowledgment above cannot be used as blanket authorization for marketing. Graph validation checks known node types, edges, conditions, reachable exit, supported actions and bounded work. A simulation must use a separate dispatcher that cannot send live messages.</w:t>
      </w:r>
    </w:p>
    <w:p>
      <w:pPr>
        <w:pStyle w:val="Heading2"/>
      </w:pPr>
      <w:r>
        <w:t>J.4 Dispatch decision and race boundaries</w:t>
      </w:r>
    </w:p>
    <w:p>
      <w:pPr/>
      <w:r>
        <w:t>A robust implementation has a durable action intent and an external-effect state machine. The following is algorithmic pseudocode, not a claim that holding a database lock can atomically control a remote provider.</w:t>
      </w:r>
    </w:p>
    <w:p>
      <w:pPr>
        <w:pStyle w:val="CodeBlock"/>
        <w:keepNext/>
        <w:keepLines/>
      </w:pPr>
      <w:r>
        <w:t>claim due action using a lease; keep its stable operation ID</w:t>
      </w:r>
    </w:p>
    <w:p>
      <w:pPr>
        <w:pStyle w:val="CodeBlock"/>
        <w:keepNext/>
        <w:keepLines/>
      </w:pPr>
      <w:r>
        <w:t>load current run, subject, channel and provider configuration</w:t>
      </w:r>
    </w:p>
    <w:p>
      <w:pPr>
        <w:pStyle w:val="CodeBlock"/>
        <w:keepNext/>
        <w:keepLines/>
      </w:pPr>
      <w:r>
        <w:t>reject expired/stopped/unauthorized actions</w:t>
      </w:r>
    </w:p>
    <w:p>
      <w:pPr>
        <w:pStyle w:val="CodeBlock"/>
        <w:keepNext/>
        <w:keepLines/>
      </w:pPr>
      <w:r>
        <w:t>re-evaluate current purpose, consent and suppression</w:t>
      </w:r>
    </w:p>
    <w:p>
      <w:pPr>
        <w:pStyle w:val="CodeBlock"/>
        <w:keepNext/>
        <w:keepLines/>
      </w:pPr>
      <w:r>
        <w:t>recheck business state, template approval and recipient binding</w:t>
      </w:r>
    </w:p>
    <w:p>
      <w:pPr>
        <w:pStyle w:val="CodeBlock"/>
        <w:keepNext/>
        <w:keepLines/>
      </w:pPr>
      <w:r>
        <w:t>reserve allowed rate/frequency/cost capacity transactionally</w:t>
      </w:r>
    </w:p>
    <w:p>
      <w:pPr>
        <w:pStyle w:val="CodeBlock"/>
        <w:keepNext/>
        <w:keepLines/>
      </w:pPr>
      <w:r>
        <w:t>record dispatch decision and policy version durably</w:t>
      </w:r>
    </w:p>
    <w:p>
      <w:pPr>
        <w:pStyle w:val="CodeBlock"/>
        <w:keepNext/>
        <w:keepLines/>
      </w:pPr>
      <w:r>
        <w:t>send via the approved adapter using supported idempotency</w:t>
      </w:r>
    </w:p>
    <w:p>
      <w:pPr>
        <w:pStyle w:val="CodeBlock"/>
        <w:keepNext/>
        <w:keepLines/>
      </w:pPr>
      <w:r>
        <w:t>record accepted/rejected/uncertain result without exposing payloads</w:t>
      </w:r>
    </w:p>
    <w:p>
      <w:pPr>
        <w:pStyle w:val="CodeBlock"/>
        <w:keepNext/>
        <w:keepLines/>
      </w:pPr>
      <w:r>
        <w:t>reconcile uncertain remote effects before an unsafe retry</w:t>
      </w:r>
    </w:p>
    <w:p>
      <w:pPr>
        <w:pStyle w:val="CodeBlock"/>
        <w:keepNext w:val="0"/>
        <w:keepLines/>
      </w:pPr>
      <w:r>
        <w:t>release/settle reservations under the declared result policy</w:t>
      </w:r>
    </w:p>
    <w:p>
      <w:pPr>
        <w:spacing w:after="80"/>
      </w:pPr>
    </w:p>
    <w:p>
      <w:pPr/>
      <w:r>
        <w:t>A withdrawal arriving after a provider has already accepted a message cannot retract history automatically. Stop future effects and use the provider's supported cancellation/removal where available. The system must identify the policy check time and in-flight boundary instead of promise impossible cross-system atomicity. Suppressed actions retain minimal reason evidence, not copied contact details.</w:t>
      </w:r>
    </w:p>
    <w:p>
      <w:pPr>
        <w:pStyle w:val="Heading2"/>
      </w:pPr>
      <w:r>
        <w:t>J.5 Relational keys and action-state requirements</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Entity</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keys/fields</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Integrity rule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workflow_versions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site_id, workflow_id, version, schema, state, approved_by, hash</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Published version immutable; scoped unique version.</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workflow_runs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site_id, run_id, workflow_version, subject_ref, trigger_event_id, status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Enrollment key unique under declared re-entry scope.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node_executions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site_id, run_id, node_id, iteration, operation_id, status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One logical execution key; retries retain identity.</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workflow_timers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run/node reference, due_at, lease_until, attempts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Durable scheduling; expired leases recover safely.</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message_intents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site, recipient_ref, purpose, template_version, operation_id</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Dispatch uses current eligibility, not only enrollment-time consent.</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provider_receipts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account, operation_id, provider_id, status, received_at</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Scope and supported unique receipt prevent duplicate processing.</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audience_actions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segment_version, destination, subject_ref, action, policy_version</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Suppression/removal can override pending additions.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report_sync_runs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account, source_grain, cursor, window, extracted_at, status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Backfill and recent-period restatement are resumable.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release_manifests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site, manifest_id, item/version hashes, approval, status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Exact approved revision set; expected versions prevent substitution.</w:t>
            </w:r>
          </w:p>
        </w:tc>
      </w:tr>
    </w:tbl>
    <w:p>
      <w:pPr>
        <w:spacing w:after="60"/>
      </w:pPr>
    </w:p>
    <w:p>
      <w:pPr/>
      <w:r>
        <w:t>Illustrative PostgreSQL invariants, adapted to the implemented schema:</w:t>
      </w:r>
    </w:p>
    <w:p>
      <w:pPr>
        <w:pStyle w:val="CodeBlock"/>
        <w:keepNext/>
        <w:keepLines/>
      </w:pPr>
      <w:r>
        <w:t>-- Examples: migrations must bind to actual scoped parent tables.</w:t>
      </w:r>
    </w:p>
    <w:p>
      <w:pPr>
        <w:pStyle w:val="CodeBlock"/>
        <w:keepNext/>
        <w:keepLines/>
      </w:pPr>
      <w:r>
        <w:t>CREATE UNIQUE INDEX workflow_enrollment_once</w:t>
      </w:r>
    </w:p>
    <w:p>
      <w:pPr>
        <w:pStyle w:val="CodeBlock"/>
        <w:keepNext/>
        <w:keepLines/>
      </w:pPr>
      <w:r>
        <w:t xml:space="preserve">  ON workflow_runs</w:t>
      </w:r>
    </w:p>
    <w:p>
      <w:pPr>
        <w:pStyle w:val="CodeBlock"/>
        <w:keepNext/>
        <w:keepLines/>
      </w:pPr>
      <w:r>
        <w:t xml:space="preserve">  (site_id, workflow_version_id, subject_id, trigger_event_id);</w:t>
      </w:r>
    </w:p>
    <w:p>
      <w:pPr>
        <w:pStyle w:val="CodeBlock"/>
        <w:keepNext/>
        <w:keepLines/>
      </w:pPr>
    </w:p>
    <w:p>
      <w:pPr>
        <w:pStyle w:val="CodeBlock"/>
        <w:keepNext/>
        <w:keepLines/>
      </w:pPr>
      <w:r>
        <w:t>CREATE UNIQUE INDEX workflow_action_once</w:t>
      </w:r>
    </w:p>
    <w:p>
      <w:pPr>
        <w:pStyle w:val="CodeBlock"/>
        <w:keepNext/>
        <w:keepLines/>
      </w:pPr>
      <w:r>
        <w:t xml:space="preserve">  ON node_executions (site_id, run_id, node_id, iteration);</w:t>
      </w:r>
    </w:p>
    <w:p>
      <w:pPr>
        <w:pStyle w:val="CodeBlock"/>
        <w:keepNext/>
        <w:keepLines/>
      </w:pPr>
    </w:p>
    <w:p>
      <w:pPr>
        <w:pStyle w:val="CodeBlock"/>
        <w:keepNext/>
        <w:keepLines/>
      </w:pPr>
      <w:r>
        <w:t>CREATE UNIQUE INDEX provider_receipt_once</w:t>
      </w:r>
    </w:p>
    <w:p>
      <w:pPr>
        <w:pStyle w:val="CodeBlock"/>
        <w:keepNext/>
        <w:keepLines/>
      </w:pPr>
      <w:r>
        <w:t xml:space="preserve">  ON provider_receipts (site_id, provider_account_id, provider_event_id);</w:t>
      </w:r>
    </w:p>
    <w:p>
      <w:pPr>
        <w:pStyle w:val="CodeBlock"/>
        <w:keepNext/>
        <w:keepLines/>
      </w:pPr>
    </w:p>
    <w:p>
      <w:pPr>
        <w:pStyle w:val="CodeBlock"/>
        <w:keepNext/>
        <w:keepLines/>
      </w:pPr>
      <w:r>
        <w:t>CREATE INDEX due_workflow_timers</w:t>
      </w:r>
    </w:p>
    <w:p>
      <w:pPr>
        <w:pStyle w:val="CodeBlock"/>
        <w:keepNext/>
        <w:keepLines/>
      </w:pPr>
      <w:r>
        <w:t xml:space="preserve">  ON workflow_timers (due_at)</w:t>
      </w:r>
    </w:p>
    <w:p>
      <w:pPr>
        <w:pStyle w:val="CodeBlock"/>
        <w:keepNext w:val="0"/>
        <w:keepLines/>
      </w:pPr>
      <w:r>
        <w:t xml:space="preserve">  WHERE status = 'waiting';</w:t>
      </w:r>
    </w:p>
    <w:p>
      <w:pPr>
        <w:spacing w:after="80"/>
      </w:pPr>
    </w:p>
    <w:p>
      <w:pPr/>
      <w:r>
        <w:t>A nullable provider_event_id needs a declared strategy; an internal operation ID may be necessary when the provider supplies none. Uniqueness alone does not establish authorization, truthful provenance or end-to-end exactly-once delivery. Add foreign keys, expected-version transitions, restricted roles and retention rules. Never grant a workflow worker unrestricted DELETE/TRUNCATE over protected blog source.</w:t>
      </w:r>
    </w:p>
    <w:p>
      <w:pPr>
        <w:pStyle w:val="Heading2"/>
      </w:pPr>
      <w:r>
        <w:t>J.6 Segment definition and safe evaluation</w:t>
      </w:r>
    </w:p>
    <w:p>
      <w:pPr>
        <w:pStyle w:val="CodeBlock"/>
        <w:keepNext/>
        <w:keepLines/>
      </w:pPr>
      <w:r>
        <w:t>{</w:t>
      </w:r>
    </w:p>
    <w:p>
      <w:pPr>
        <w:pStyle w:val="CodeBlock"/>
        <w:keepNext/>
        <w:keepLines/>
      </w:pPr>
      <w:r>
        <w:t xml:space="preserve">  "segment_id": "seg_consultation_pending",</w:t>
      </w:r>
    </w:p>
    <w:p>
      <w:pPr>
        <w:pStyle w:val="CodeBlock"/>
        <w:keepNext/>
        <w:keepLines/>
      </w:pPr>
      <w:r>
        <w:t xml:space="preserve">  "version": 2,</w:t>
      </w:r>
    </w:p>
    <w:p>
      <w:pPr>
        <w:pStyle w:val="CodeBlock"/>
        <w:keepNext/>
        <w:keepLines/>
      </w:pPr>
      <w:r>
        <w:t xml:space="preserve">  "subject_type": "lead",</w:t>
      </w:r>
    </w:p>
    <w:p>
      <w:pPr>
        <w:pStyle w:val="CodeBlock"/>
        <w:keepNext/>
        <w:keepLines/>
      </w:pPr>
      <w:r>
        <w:t xml:space="preserve">  "purpose": "approved_service_followup",</w:t>
      </w:r>
    </w:p>
    <w:p>
      <w:pPr>
        <w:pStyle w:val="CodeBlock"/>
        <w:keepNext/>
        <w:keepLines/>
      </w:pPr>
      <w:r>
        <w:t xml:space="preserve">  "include": {</w:t>
      </w:r>
    </w:p>
    <w:p>
      <w:pPr>
        <w:pStyle w:val="CodeBlock"/>
        <w:keepNext/>
        <w:keepLines/>
      </w:pPr>
      <w:r>
        <w:t xml:space="preserve">    "all": [</w:t>
      </w:r>
    </w:p>
    <w:p>
      <w:pPr>
        <w:pStyle w:val="CodeBlock"/>
        <w:keepNext/>
        <w:keepLines/>
      </w:pPr>
      <w:r>
        <w:t xml:space="preserve">      {"field": "interest", "op": "eq", "value": "consultation"},</w:t>
      </w:r>
    </w:p>
    <w:p>
      <w:pPr>
        <w:pStyle w:val="CodeBlock"/>
        <w:keepNext/>
        <w:keepLines/>
      </w:pPr>
      <w:r>
        <w:t xml:space="preserve">      {"field": "stage", "op": "in", "value": ["new", "assigned"]}</w:t>
      </w:r>
    </w:p>
    <w:p>
      <w:pPr>
        <w:pStyle w:val="CodeBlock"/>
        <w:keepNext/>
        <w:keepLines/>
      </w:pPr>
      <w:r>
        <w:t xml:space="preserve">    ]</w:t>
      </w:r>
    </w:p>
    <w:p>
      <w:pPr>
        <w:pStyle w:val="CodeBlock"/>
        <w:keepNext/>
        <w:keepLines/>
      </w:pPr>
      <w:r>
        <w:t xml:space="preserve">  },</w:t>
      </w:r>
    </w:p>
    <w:p>
      <w:pPr>
        <w:pStyle w:val="CodeBlock"/>
        <w:keepNext/>
        <w:keepLines/>
      </w:pPr>
      <w:r>
        <w:t xml:space="preserve">  "exclude": {"any": [</w:t>
      </w:r>
    </w:p>
    <w:p>
      <w:pPr>
        <w:pStyle w:val="CodeBlock"/>
        <w:keepNext/>
        <w:keepLines/>
      </w:pPr>
      <w:r>
        <w:t xml:space="preserve">    {"field": "suppressed", "op": "eq", "value": true},</w:t>
      </w:r>
    </w:p>
    <w:p>
      <w:pPr>
        <w:pStyle w:val="CodeBlock"/>
        <w:keepNext/>
        <w:keepLines/>
      </w:pPr>
      <w:r>
        <w:t xml:space="preserve">    {"field": "test_record", "op": "eq", "value": true}</w:t>
      </w:r>
    </w:p>
    <w:p>
      <w:pPr>
        <w:pStyle w:val="CodeBlock"/>
        <w:keepNext/>
        <w:keepLines/>
      </w:pPr>
      <w:r>
        <w:t xml:space="preserve">  ]},</w:t>
      </w:r>
    </w:p>
    <w:p>
      <w:pPr>
        <w:pStyle w:val="CodeBlock"/>
        <w:keepNext/>
        <w:keepLines/>
      </w:pPr>
      <w:r>
        <w:t xml:space="preserve">  "destinations": ["internal_staff_queue"]</w:t>
      </w:r>
    </w:p>
    <w:p>
      <w:pPr>
        <w:pStyle w:val="CodeBlock"/>
        <w:keepNext w:val="0"/>
        <w:keepLines/>
      </w:pPr>
      <w:r>
        <w:t>}</w:t>
      </w:r>
    </w:p>
    <w:p>
      <w:pPr>
        <w:spacing w:after="80"/>
      </w:pPr>
    </w:p>
    <w:p>
      <w:pPr/>
      <w:r>
        <w:t>The service compiles only allowed fields/operators into parameterized queries. It applies tenant/role/purpose restrictions and query limits independently of this structure. Advertising export requires its own approved destination and permission; internal follow-up eligibility does not imply Customer Match eligibility. The preview shows count, as_of, excluded counts and unknown coverage without disclosing unauthorized contacts.</w:t>
      </w:r>
    </w:p>
    <w:p>
      <w:pPr>
        <w:pStyle w:val="Heading2"/>
      </w:pPr>
      <w:r>
        <w:t>J.7 Safe context and field-destination matrix</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1966"/>
        <w:gridCol w:w="1966"/>
        <w:gridCol w:w="1966"/>
        <w:gridCol w:w="1966"/>
        <w:gridCol w:w="1966"/>
      </w:tblGrid>
      <w:tr>
        <w:trPr>
          <w:cantSplit/>
          <w:tblHeader w:val="true"/>
        </w:trPr>
        <w:tc>
          <w:tcPr>
            <w:tcW w:type="dxa" w:w="196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Field/data class</w:t>
            </w:r>
          </w:p>
        </w:tc>
        <w:tc>
          <w:tcPr>
            <w:tcW w:type="dxa" w:w="196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Business service</w:t>
            </w:r>
          </w:p>
        </w:tc>
        <w:tc>
          <w:tcPr>
            <w:tcW w:type="dxa" w:w="196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Analytics</w:t>
            </w:r>
          </w:p>
        </w:tc>
        <w:tc>
          <w:tcPr>
            <w:tcW w:type="dxa" w:w="196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Advertising adapter</w:t>
            </w:r>
          </w:p>
        </w:tc>
        <w:tc>
          <w:tcPr>
            <w:tcW w:type="dxa" w:w="1966"/>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AI response context</w:t>
            </w:r>
          </w:p>
        </w:tc>
      </w:tr>
      <w:tr>
        <w:trPr>
          <w:cantSplit/>
        </w:trPr>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Safe page/action IDs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Allowed for the task</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Purpose-permitted</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Approved mapping only</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Relevant approved page/topic only.</w:t>
            </w:r>
          </w:p>
        </w:tc>
      </w:tr>
      <w:tr>
        <w:trPr>
          <w:cantSplit/>
        </w:trPr>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UTM/campaign IDs</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Eligible attribution reference</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Sanitized permitted mapping</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Supported mapping</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Usually excluded; no need for raw click identifiers.</w:t>
            </w:r>
          </w:p>
        </w:tc>
      </w:tr>
      <w:tr>
        <w:trPr>
          <w:cantSplit/>
        </w:trPr>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Contact details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Explicit capture, protected access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No direct identifying values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Only eligible supported matching transformation</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Exclude unless the specific task requires a minimized projection.</w:t>
            </w:r>
          </w:p>
        </w:tc>
      </w:tr>
      <w:tr>
        <w:trPr>
          <w:cantSplit/>
        </w:trPr>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Raw IP/user-agent</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Restricted approved operational/matching use</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No generic raw-IP profile</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Only under current contract and approved purpose</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Excluded.</w:t>
            </w:r>
          </w:p>
        </w:tc>
      </w:tr>
      <w:tr>
        <w:trPr>
          <w:cantSplit/>
        </w:trPr>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Browser coordinates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Explicit location task, limited retention</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No precise coordinates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Excluded by default</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Derived service-area answer rather than coordinates.</w:t>
            </w:r>
          </w:p>
        </w:tc>
      </w:tr>
      <w:tr>
        <w:trPr>
          <w:cantSplit/>
        </w:trPr>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Chat/form text</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Protected case store</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No raw text</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No transcript/answers</w:t>
            </w:r>
          </w:p>
        </w:tc>
        <w:tc>
          <w:tcPr>
            <w:tcW w:type="dxa" w:w="1966"/>
            <w:vAlign w:val="top"/>
            <w:shd w:fill="FFFFFF"/>
            <w:tcMar>
              <w:top w:w="90" w:type="dxa"/>
              <w:bottom w:w="85" w:type="dxa"/>
              <w:left w:w="105" w:type="dxa"/>
              <w:right w:w="105" w:type="dxa"/>
            </w:tcMar>
          </w:tcPr>
          <w:p>
            <w:pPr>
              <w:pStyle w:val="TableText"/>
              <w:keepNext w:val="0"/>
              <w:keepLines w:val="0"/>
            </w:pPr>
            <w:r>
              <w:rPr>
                <w:rFonts w:ascii="Lato" w:hAnsi="Lato"/>
                <w:sz w:val="18"/>
              </w:rPr>
              <w:t>Necessary conversation turns after filtering and scope checks.</w:t>
            </w:r>
          </w:p>
        </w:tc>
      </w:tr>
      <w:tr>
        <w:trPr>
          <w:cantSplit/>
        </w:trPr>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Payment secrets/tokens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Only approved payment/secret systems</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Never</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Never</w:t>
            </w:r>
          </w:p>
        </w:tc>
        <w:tc>
          <w:tcPr>
            <w:tcW w:type="dxa" w:w="1966"/>
            <w:vAlign w:val="top"/>
            <w:shd w:fill="F1F6F9"/>
            <w:tcMar>
              <w:top w:w="90" w:type="dxa"/>
              <w:bottom w:w="85" w:type="dxa"/>
              <w:left w:w="105" w:type="dxa"/>
              <w:right w:w="105" w:type="dxa"/>
            </w:tcMar>
          </w:tcPr>
          <w:p>
            <w:pPr>
              <w:pStyle w:val="TableText"/>
              <w:keepNext w:val="0"/>
              <w:keepLines w:val="0"/>
            </w:pPr>
            <w:r>
              <w:rPr>
                <w:rFonts w:ascii="Lato" w:hAnsi="Lato"/>
                <w:sz w:val="18"/>
              </w:rPr>
              <w:t>Never.</w:t>
            </w:r>
          </w:p>
        </w:tc>
      </w:tr>
    </w:tbl>
    <w:p>
      <w:pPr>
        <w:spacing w:after="60"/>
      </w:pPr>
    </w:p>
    <w:p>
      <w:pPr/>
      <w:r>
        <w:t>This matrix strengthens the inherited context contracts. A field being available in the backend is not permission to copy it to every consumer. Field provenance, expiry, scope and access/reveal audit accompany sensitive service records.</w:t>
      </w:r>
    </w:p>
    <w:p>
      <w:pPr>
        <w:pStyle w:val="Heading2"/>
      </w:pPr>
      <w:r>
        <w:t>J.8 Feed and report contracts</w:t>
      </w:r>
    </w:p>
    <w:p>
      <w:pPr/>
      <w:r>
        <w:t>Feed item snapshots reference source product/variant, source revision, destination/account, safe URL, current price/currency, availability, validated attributes, generated_at and destination status. Each feed run records its exact manifest and mode: incremental patch versus full replacement. Unsupported or absent attributes remain invalid/unknown, not invented values. Item deletion requires explicit source/eligibility evidence.</w:t>
      </w:r>
    </w:p>
    <w:p>
      <w:pPr/>
      <w:r>
        <w:t>A metric response includes metric_id, definition_version, grain, value, numerator/denominator where relevant, period, timezone, currency, attribution_rule, coverage, freshness, source_runs and warnings. A report may show platform-attributed purchases alongside internal paid orders, but cannot add them as separate sales. User-level drilldown is separately permissioned.</w:t>
      </w:r>
    </w:p>
    <w:p>
      <w:pPr>
        <w:pStyle w:val="Heading2"/>
      </w:pPr>
      <w:r>
        <w:t>J.9 Configuration invariants</w:t>
      </w:r>
    </w:p>
    <w:p>
      <w:pPr>
        <w:pStyle w:val="CodeBlock"/>
        <w:keepNext/>
        <w:keepLines/>
      </w:pPr>
      <w:r>
        <w:t>BLOG_AUTO_DELETE_ENABLED = false        # enforced invariant</w:t>
      </w:r>
    </w:p>
    <w:p>
      <w:pPr>
        <w:pStyle w:val="CodeBlock"/>
        <w:keepNext/>
        <w:keepLines/>
      </w:pPr>
      <w:r>
        <w:t>PUBLIC_ANALYTICS_INITIAL_STATE = denied # baseline until eligible</w:t>
      </w:r>
    </w:p>
    <w:p>
      <w:pPr>
        <w:pStyle w:val="CodeBlock"/>
        <w:keepNext/>
        <w:keepLines/>
      </w:pPr>
      <w:r>
        <w:t>AD_DESTINATION_DEFAULT = denied</w:t>
      </w:r>
    </w:p>
    <w:p>
      <w:pPr>
        <w:pStyle w:val="CodeBlock"/>
        <w:keepNext/>
        <w:keepLines/>
      </w:pPr>
      <w:r>
        <w:t>PRECISE_LOCATION_MODE = explicit_task</w:t>
      </w:r>
    </w:p>
    <w:p>
      <w:pPr>
        <w:pStyle w:val="CodeBlock"/>
        <w:keepNext/>
        <w:keepLines/>
      </w:pPr>
      <w:r>
        <w:t>CHAT_CONTEXT_PROJECTION = task_limited</w:t>
      </w:r>
    </w:p>
    <w:p>
      <w:pPr>
        <w:pStyle w:val="CodeBlock"/>
        <w:keepNext/>
        <w:keepLines/>
      </w:pPr>
      <w:r>
        <w:t>AUDIT_CRITICAL_MUTATIONS = required</w:t>
      </w:r>
    </w:p>
    <w:p>
      <w:pPr>
        <w:pStyle w:val="CodeBlock"/>
        <w:keepNext/>
        <w:keepLines/>
      </w:pPr>
      <w:r>
        <w:t>CAMPAIGN_WRITE_MODE = disabled_until_approved</w:t>
      </w:r>
    </w:p>
    <w:p>
      <w:pPr>
        <w:pStyle w:val="CodeBlock"/>
        <w:keepNext/>
        <w:keepLines/>
      </w:pPr>
      <w:r>
        <w:t>AUTOMATION_SIMULATION_EXTERNAL_SENDS = forbidden</w:t>
      </w:r>
    </w:p>
    <w:p>
      <w:pPr>
        <w:pStyle w:val="CodeBlock"/>
        <w:keepNext w:val="0"/>
        <w:keepLines/>
      </w:pPr>
      <w:r>
        <w:t>PRODUCTION_DEMO_SEED = forbidden</w:t>
      </w:r>
    </w:p>
    <w:p>
      <w:pPr>
        <w:spacing w:after="80"/>
      </w:pPr>
    </w:p>
    <w:p>
      <w:pPr/>
      <w:r>
        <w:t>Actual environment names may differ. The production configuration validator must reject unsafe combinations, missing secrets, placeholder accounts and incompatible provider versions. Do not expose server-only fields with frontend-public environment prefixes. Separate capability existence from enabled data collection and from provider spending authority.</w:t>
      </w:r>
    </w:p>
    <w:p>
      <w:pPr>
        <w:pStyle w:val="Heading1"/>
        <w:pageBreakBefore/>
      </w:pPr>
      <w:bookmarkStart w:id="335" w:name="v12_appK"/>
      <w:r>
        <w:t>Appendix K | Operating templates and reusable decision records</w:t>
      </w:r>
      <w:bookmarkEnd w:id="335"/>
      <w:bookmarkStart w:id="639" w:name="tocfinal_app_K"/>
      <w:bookmarkEnd w:id="639"/>
    </w:p>
    <w:p>
      <w:pPr>
        <w:pStyle w:val="Heading2"/>
      </w:pPr>
      <w:r>
        <w:t>K.1 Project-specific completion sheet</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field</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To be completed before build/activation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Identity and business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Site/legal entity, accountable owner, business model, real offers and operating locations.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Audience and service</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Countries, languages, age/sensitivity considerations, accessibility needs, support hours and capacity.</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Outcomes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Primary conversion, qualification rules, value/currency, source of truth and correction policy.</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Content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Sitemap/templates, author/reviewer ownership, approved claims/media and manual preservation rules.</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Platform scope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Universal/growth/conditional modules, build-versus-buy decisions, deployment profile and tenant model.</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Data</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Field/purpose map, region/processors, notice/consent, retention/holds/rights and sensitive-route exclusions.</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Accounts</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Domain/DNS/hosting/repository/CMS/CRM/analytics/ads/mail/payment owners and secure recovery references.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Targets</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Traffic/peak workload, performance/accessibility, availability, RPO/RTO, latency and freshness.</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Delivery</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Team responsibilities, budget scenarios, provider approval dependencies, milestones and acceptance owner.</w:t>
            </w:r>
          </w:p>
        </w:tc>
      </w:tr>
    </w:tbl>
    <w:p>
      <w:pPr>
        <w:spacing w:after="60"/>
      </w:pPr>
    </w:p>
    <w:p>
      <w:pPr>
        <w:pStyle w:val="Heading2"/>
      </w:pPr>
      <w:r>
        <w:t>K.2 Campaign launch record</w:t>
      </w:r>
    </w:p>
    <w:p>
      <w:pPr/>
      <w:r>
        <w:t>Record campaign_id, offer/version, customer intent, channel/account, objective, primary and secondary goals, audience/region/category, exclusions, approved budget, currency/timezone, schedule, creative IDs/rights, destination revisions, UTM/click-ID rules, provider settings, consent eligibility, human response SLA, measurement test and rollback/stop owner.</w:t>
      </w:r>
    </w:p>
    <w:p>
      <w:pPr/>
      <w:r>
        <w:t>Approval evidence includes truthful claims, working mobile/in-app destination, correct price/terms, accessible form or native-lead handling, synthetic lead/CRM outcome, eligible conversion diagnostics, reporting access, budget authority and policy review. Final status must distinguish draft, approved, submitted to provider, remote active, rejected, paused and uncertain. Never launch from an unresolved macro or placeholder URL.</w:t>
      </w:r>
    </w:p>
    <w:p>
      <w:pPr>
        <w:pStyle w:val="Heading2"/>
      </w:pPr>
      <w:r>
        <w:t>K.3 Editorial and collection brief</w:t>
      </w:r>
    </w:p>
    <w:p>
      <w:pPr/>
      <w:r>
        <w:t>Record page/collection ID, purpose, reader task, target intent, locale, owner/reviewer, unique contribution, source evidence, rights, approved template/schema, route/canonical/index policy, related pages, primary CTA, event hooks, media accessibility and next review trigger. Identify changes affecting active campaigns, offers, chatbot knowledge, translations and downloads.</w:t>
      </w:r>
    </w:p>
    <w:p>
      <w:pPr/>
      <w:r>
        <w:t>Completion requires saved/recoverable draft, factual/rights review, preview, link/SEO/accessibility checks and an approved publication manifest. Review_due_at creates a task, not a deletion timer. Collection-schema changes include migration impact and historical revision compatibility.</w:t>
      </w:r>
    </w:p>
    <w:p>
      <w:pPr>
        <w:pStyle w:val="Heading2"/>
      </w:pPr>
      <w:r>
        <w:t>K.4 Data and processor decision record</w:t>
      </w:r>
    </w:p>
    <w:p>
      <w:pPr/>
      <w:r>
        <w:t>For each field: name/class, source, task/purpose, required/optional, lawful-processing assessment, notice version, permission trigger, retention, access roles, export/reveal rule, destinations, geographic processing, deletion/hold behavior and test. For each provider: service/account, data categories, contract, subprocessor/region/training settings, supported deletion/export, security review, cost and exit plan.</w:t>
      </w:r>
    </w:p>
    <w:p>
      <w:pPr/>
      <w:r>
        <w:t>Do not place actual customer records or credentials in this decision template. Use references to restricted evidence. The legal reviewer signs applicability and exceptions; engineering signs implemented controls. A legal decision still requires technical proof that tags/queues/widgets behave as described.</w:t>
      </w:r>
    </w:p>
    <w:p>
      <w:pPr>
        <w:pStyle w:val="Heading2"/>
      </w:pPr>
      <w:r>
        <w:t>K.5 Sender and DNS evidence record</w:t>
      </w:r>
    </w:p>
    <w:p>
      <w:pPr/>
      <w:r>
        <w:t>Sender: From/Reply-To/return path, message purpose, provider/account, estimated volume, SPF record reference, DKIM selector/rotation, DMARC policy/alignment, received-header evidence, complaint/bounce handling, visible and one-click unsubscribe tests, monitored replies and suppression/export process.</w:t>
      </w:r>
    </w:p>
    <w:p>
      <w:pPr/>
      <w:r>
        <w:t>Domain/DNS: registrar owner, billing/renewal, recovery outside the affected domain, delegated admins, record inventory, DNSSEC/DS where enabled, TLS/CAA/challenge path, expiry monitoring, change approval, zone export, cutover checks and rollback. Values containing credentials remain in the secret manager, not this document.</w:t>
      </w:r>
    </w:p>
    <w:p>
      <w:pPr>
        <w:pStyle w:val="Heading2"/>
      </w:pPr>
      <w:r>
        <w:t>K.6 Workflow, scoring and audience approval</w:t>
      </w:r>
    </w:p>
    <w:p>
      <w:pPr/>
      <w:r>
        <w:t>Workflow: trigger authority, subject/re-entry, graph/version, purpose, conditions, timers/timezone, allowed actions, caps, exit/suppression rules, simulation fixtures, uncertainty handling, pause/stop and operator owner. Scoring: allowed inputs, weights/caps/decay, unknowns, explanations, overrides, version/recalculation and qualification separation. Audience: purpose, provider eligibility, source segment, included/excluded fields, membership window, removal priority, provider evidence and retirement.</w:t>
      </w:r>
    </w:p>
    <w:p>
      <w:pPr/>
      <w:r>
        <w:t>Approval requires synthetic simulation and policy-negative cases. Any new sensitive input or destination reopens review. A score is a derived recommendation; a provider-matched audience is not a verified identity list or a guarantee of targeting reach.</w:t>
      </w:r>
    </w:p>
    <w:p>
      <w:pPr>
        <w:pStyle w:val="Heading2"/>
      </w:pPr>
      <w:r>
        <w:t>K.7 Change, incident and exception templates</w:t>
      </w:r>
    </w:p>
    <w:p>
      <w:pPr/>
      <w:r>
        <w:t>Change request: ID, reason, requirements affected, before/after configuration, UI/API/schema/provider impact, personal-data impact, SEO/ads/financial effects, tests, migration, rollback, approval and post-release check. Include content and tag changes, not only code.</w:t>
      </w:r>
    </w:p>
    <w:p>
      <w:pPr/>
      <w:r>
        <w:t>Incident record: detection, severity, affected journeys/data, timeline, owner/backup, containment, customer/provider/legal communications, evidence, recovery, residual exposure, root cause, corrective actions and regression tests. Preserve sensitive evidence with restricted access. Do not copy credentials or customer messages into public incident notes.</w:t>
      </w:r>
    </w:p>
    <w:p>
      <w:pPr/>
      <w:r>
        <w:t>Exception record: requirement, reason, risk, compensating controls, owner, approval, expiry/review and monitoring. Exceptions do not authorize unlawful collection or unsupported provider behavior. An unavailable provider test remains Blocked, not an exception that magically makes it Passed.</w:t>
      </w:r>
    </w:p>
    <w:p>
      <w:pPr>
        <w:pStyle w:val="Heading2"/>
      </w:pPr>
      <w:r>
        <w:t>K.8 Release packet and owner handover</w:t>
      </w:r>
    </w:p>
    <w:p>
      <w:pPr/>
      <w:r>
        <w:t>Release: code/build, schema/migrations, content/offer/release manifest, policy/tag/workflow versions, provider accounts/API versions, activation matrix, tests/evidence, known defects, approved risks, restore report, access review, cost model, training and support. Retain evidence for safe rollback and investigation.</w:t>
      </w:r>
    </w:p>
    <w:p>
      <w:pPr/>
      <w:r>
        <w:t>Owner sign-off: independently create/edit/publish/recover content; inspect campaign attribution; simulate and stop a workflow; receive and route a form/chat lead; review delivery/audience/feed diagnostics where active; manually trash/restore a blog; identify deletion actor; export permitted data; recover accounts; reach support. A second technical operator installs and restores the platform from documented artifacts.</w:t>
      </w:r>
    </w:p>
    <w:p>
      <w:pPr>
        <w:pStyle w:val="Heading1"/>
        <w:pageBreakBefore/>
      </w:pPr>
      <w:bookmarkStart w:id="336" w:name="v12_appL"/>
      <w:r>
        <w:t>Appendix L | Verification, policy refresh and expanded glossary</w:t>
      </w:r>
      <w:bookmarkEnd w:id="336"/>
      <w:bookmarkStart w:id="640" w:name="tocfinal_app_L"/>
      <w:bookmarkEnd w:id="640"/>
    </w:p>
    <w:p>
      <w:pPr>
        <w:pStyle w:val="Heading2"/>
      </w:pPr>
      <w:r>
        <w:t>L.1 Evidence classes used in this edition</w:t>
      </w:r>
    </w:p>
    <w:p>
      <w:pPr/>
      <w:r>
        <w:t>Inherited baseline: R01–R61 are retained from the uploaded v1.1 standard. The original verification caveats remain. Selected high-impact topics were rechecked during the v1.2 expansion; this is not a claim that every historical paragraph or legal provision was revalidated worldwide.</w:t>
      </w:r>
    </w:p>
    <w:p>
      <w:pPr/>
      <w:r>
        <w:t>Consulted primary guidance: the added reference register records official documentation used during preparation dated 7 October 2026. It supports external facts and standards. The lifecycle designs, permission defaults, proposed targets, schema examples and tests are this document's engineering specifications.</w:t>
      </w:r>
    </w:p>
    <w:p>
      <w:pPr/>
      <w:r>
        <w:t>Account-level verification required: live account eligibility, permissions, supported advertising objectives/fields/limits, external campaign writes, provider diagnostics and specific integration behavior require authorized account access and tests. The preparation of a document did not access or modify the user's actual ad/CRM/payment accounts.</w:t>
      </w:r>
    </w:p>
    <w:p>
      <w:pPr>
        <w:pStyle w:val="Heading2"/>
      </w:pPr>
      <w:r>
        <w:t>L.2 High-impact verification register</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2359"/>
        <w:gridCol w:w="3441"/>
        <w:gridCol w:w="4031"/>
      </w:tblGrid>
      <w:tr>
        <w:trPr>
          <w:cantSplit/>
          <w:tblHeader w:val="true"/>
        </w:trPr>
        <w:tc>
          <w:tcPr>
            <w:tcW w:type="dxa" w:w="2359"/>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Topic</w:t>
            </w:r>
          </w:p>
        </w:tc>
        <w:tc>
          <w:tcPr>
            <w:tcW w:type="dxa" w:w="344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Current edition treatment</w:t>
            </w:r>
          </w:p>
        </w:tc>
        <w:tc>
          <w:tcPr>
            <w:tcW w:type="dxa" w:w="4031"/>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Required implementation evidence</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Google offline/enhanced-lead ingestion</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Data Manager guidance and legacy upload restrictions checked; use the currently supported access model.</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Account/API authorization, payload fixtures, real diagnostics and correction rules.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Google campaign/bidding/AI features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Capabilities described with account/type-dependent controls; no permanent numerical limits promised.</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Current UI/API contract, supported configuration and controlled experiment.</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Meta objectives/policies/audiences/native leads</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Several detailed pages were login-gated or failed public retrieval. References are explicit verification links.</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Authorized current official documentation, asset/scopes, policy review and real end-to-end tests.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Meta Pixel/CAPI</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Inherited deduplication invariant retained; exact parameters/windows are release checks.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Same-action browser/server diagnostics, timestamps, policy and retry tests.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Search features and structured data</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Current support differs from the full Schema.org vocabulary; no rich-result guarantee.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Live supported-type register, visible-data consistency and crawl/render evidence.</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Merchant/retail feeds</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Current Merchant API migration/product specification consulted.</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Destination account eligibility, field validation and item diagnostics.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Email</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Gmail sender rules and RFC one-click mechanism consulted.</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Actual sender volume/type rules, received headers, unsubscribe and suppression tests.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Privacy/sector/children</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Framework plus inherited India phased-commencement caveat; no blanket worldwide legal opinion.</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Jurisdiction and sector decision signed by qualified reviewer with implementation tests.</w:t>
            </w:r>
          </w:p>
        </w:tc>
      </w:tr>
      <w:tr>
        <w:trPr>
          <w:cantSplit/>
        </w:trPr>
        <w:tc>
          <w:tcPr>
            <w:tcW w:type="dxa" w:w="2359"/>
            <w:vAlign w:val="top"/>
            <w:shd w:fill="F1F6F9"/>
            <w:tcMar>
              <w:top w:w="90" w:type="dxa"/>
              <w:bottom w:w="85" w:type="dxa"/>
              <w:left w:w="105" w:type="dxa"/>
              <w:right w:w="105" w:type="dxa"/>
            </w:tcMar>
          </w:tcPr>
          <w:p>
            <w:pPr>
              <w:pStyle w:val="TableText"/>
              <w:keepNext w:val="0"/>
              <w:keepLines w:val="0"/>
            </w:pPr>
            <w:r>
              <w:rPr>
                <w:rFonts w:ascii="Lato" w:hAnsi="Lato"/>
                <w:sz w:val="18"/>
              </w:rPr>
              <w:t>Runtime/framework/database</w:t>
            </w:r>
          </w:p>
        </w:tc>
        <w:tc>
          <w:tcPr>
            <w:tcW w:type="dxa" w:w="3441"/>
            <w:vAlign w:val="top"/>
            <w:shd w:fill="F1F6F9"/>
            <w:tcMar>
              <w:top w:w="90" w:type="dxa"/>
              <w:bottom w:w="85" w:type="dxa"/>
              <w:left w:w="105" w:type="dxa"/>
              <w:right w:w="105" w:type="dxa"/>
            </w:tcMar>
          </w:tcPr>
          <w:p>
            <w:pPr>
              <w:pStyle w:val="TableText"/>
              <w:keepNext w:val="0"/>
              <w:keepLines w:val="0"/>
            </w:pPr>
            <w:r>
              <w:rPr>
                <w:rFonts w:ascii="Lato" w:hAnsi="Lato"/>
                <w:sz w:val="18"/>
              </w:rPr>
              <w:t>Architectural roles retained; versions must be supported and pinned at build time.</w:t>
            </w:r>
          </w:p>
        </w:tc>
        <w:tc>
          <w:tcPr>
            <w:tcW w:type="dxa" w:w="4031"/>
            <w:vAlign w:val="top"/>
            <w:shd w:fill="F1F6F9"/>
            <w:tcMar>
              <w:top w:w="90" w:type="dxa"/>
              <w:bottom w:w="85" w:type="dxa"/>
              <w:left w:w="105" w:type="dxa"/>
              <w:right w:w="105" w:type="dxa"/>
            </w:tcMar>
          </w:tcPr>
          <w:p>
            <w:pPr>
              <w:pStyle w:val="TableText"/>
              <w:keepNext w:val="0"/>
              <w:keepLines w:val="0"/>
            </w:pPr>
            <w:r>
              <w:rPr>
                <w:rFonts w:ascii="Lato" w:hAnsi="Lato"/>
                <w:sz w:val="18"/>
              </w:rPr>
              <w:t>Compatibility/security/support matrix and upgrade/restore tests.</w:t>
            </w:r>
          </w:p>
        </w:tc>
      </w:tr>
      <w:tr>
        <w:trPr>
          <w:cantSplit/>
        </w:trPr>
        <w:tc>
          <w:tcPr>
            <w:tcW w:type="dxa" w:w="2359"/>
            <w:vAlign w:val="top"/>
            <w:shd w:fill="FFFFFF"/>
            <w:tcMar>
              <w:top w:w="90" w:type="dxa"/>
              <w:bottom w:w="85" w:type="dxa"/>
              <w:left w:w="105" w:type="dxa"/>
              <w:right w:w="105" w:type="dxa"/>
            </w:tcMar>
          </w:tcPr>
          <w:p>
            <w:pPr>
              <w:pStyle w:val="TableText"/>
              <w:keepNext w:val="0"/>
              <w:keepLines w:val="0"/>
            </w:pPr>
            <w:r>
              <w:rPr>
                <w:rFonts w:ascii="Lato" w:hAnsi="Lato"/>
                <w:sz w:val="18"/>
              </w:rPr>
              <w:t>Hosting/cost</w:t>
            </w:r>
          </w:p>
        </w:tc>
        <w:tc>
          <w:tcPr>
            <w:tcW w:type="dxa" w:w="3441"/>
            <w:vAlign w:val="top"/>
            <w:shd w:fill="FFFFFF"/>
            <w:tcMar>
              <w:top w:w="90" w:type="dxa"/>
              <w:bottom w:w="85" w:type="dxa"/>
              <w:left w:w="105" w:type="dxa"/>
              <w:right w:w="105" w:type="dxa"/>
            </w:tcMar>
          </w:tcPr>
          <w:p>
            <w:pPr>
              <w:pStyle w:val="TableText"/>
              <w:keepNext w:val="0"/>
              <w:keepLines w:val="0"/>
            </w:pPr>
            <w:r>
              <w:rPr>
                <w:rFonts w:ascii="Lato" w:hAnsi="Lato"/>
                <w:sz w:val="18"/>
              </w:rPr>
              <w:t>Categories and formulas, not permanent vendor prices.</w:t>
            </w:r>
          </w:p>
        </w:tc>
        <w:tc>
          <w:tcPr>
            <w:tcW w:type="dxa" w:w="4031"/>
            <w:vAlign w:val="top"/>
            <w:shd w:fill="FFFFFF"/>
            <w:tcMar>
              <w:top w:w="90" w:type="dxa"/>
              <w:bottom w:w="85" w:type="dxa"/>
              <w:left w:w="105" w:type="dxa"/>
              <w:right w:w="105" w:type="dxa"/>
            </w:tcMar>
          </w:tcPr>
          <w:p>
            <w:pPr>
              <w:pStyle w:val="TableText"/>
              <w:keepNext w:val="0"/>
              <w:keepLines w:val="0"/>
            </w:pPr>
            <w:r>
              <w:rPr>
                <w:rFonts w:ascii="Lato" w:hAnsi="Lato"/>
                <w:sz w:val="18"/>
              </w:rPr>
              <w:t>Dated quotations, load assumptions, quotas, billing alerts and support staffing.</w:t>
            </w:r>
          </w:p>
        </w:tc>
      </w:tr>
    </w:tbl>
    <w:p>
      <w:pPr>
        <w:spacing w:after="60"/>
      </w:pPr>
    </w:p>
    <w:p>
      <w:pPr>
        <w:pStyle w:val="Heading2"/>
      </w:pPr>
      <w:r>
        <w:t>L.3 Provider review template</w:t>
      </w:r>
    </w:p>
    <w:p>
      <w:pPr/>
      <w:r>
        <w:t>Record provider/topic; authoritative source URL; reviewed_at; reviewer; account/region; API/runtime/version; affected features; exact settings/limits; credentials/scopes by reference; data restrictions; deprecation dates; regression tests; next review date/trigger; unresolved issue; owner and status. A blog post or an old tutorial must not override a current official specification. When official pages disagree or are account-gated, record uncertainty and verify before activation.</w:t>
      </w:r>
    </w:p>
    <w:p>
      <w:pPr/>
      <w:r>
        <w:t>Review after provider notices, major releases, account restriction, changed data purposes, new regions/audiences, new campaign types or incidents. A scheduled quarterly review does not replace urgent handling of deprecations or security advisories. Use a human-approved change to update this standard and project contracts; never silently change the expected behavior of a running workflow or experiment.</w:t>
      </w:r>
    </w:p>
    <w:p>
      <w:pPr>
        <w:pStyle w:val="Heading2"/>
      </w:pPr>
      <w:r>
        <w:t>L.4 Additional glossary</w:t>
      </w:r>
    </w:p>
    <w:tbl>
      <w:tblPr>
        <w:tblW w:type="dxa" w:w="9831"/>
        <w:jc w:val="center"/>
        <w:tblLayout w:type="fixed"/>
        <w:tblLook w:firstColumn="1" w:firstRow="1" w:lastColumn="0" w:lastRow="0" w:noHBand="0" w:noVBand="1" w:val="04A0"/>
        <w:tblBorders>
          <w:top w:val="single" w:sz="4" w:color="D7E2E7"/>
          <w:left w:val="single" w:sz="4" w:color="D7E2E7"/>
          <w:bottom w:val="single" w:sz="4" w:color="D7E2E7"/>
          <w:right w:val="single" w:sz="4" w:color="D7E2E7"/>
          <w:insideH w:val="single" w:sz="4" w:color="D7E2E7"/>
          <w:insideV w:val="single" w:sz="4" w:color="D7E2E7"/>
        </w:tblBorders>
      </w:tblPr>
      <w:tblGrid>
        <w:gridCol w:w="3048"/>
        <w:gridCol w:w="6783"/>
      </w:tblGrid>
      <w:tr>
        <w:trPr>
          <w:cantSplit/>
          <w:tblHeader w:val="true"/>
        </w:trPr>
        <w:tc>
          <w:tcPr>
            <w:tcW w:type="dxa" w:w="3048"/>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Term</w:t>
            </w:r>
          </w:p>
        </w:tc>
        <w:tc>
          <w:tcPr>
            <w:tcW w:type="dxa" w:w="6783"/>
            <w:vAlign w:val="top"/>
            <w:shd w:fill="163349"/>
            <w:tcMar>
              <w:top w:w="90" w:type="dxa"/>
              <w:bottom w:w="85" w:type="dxa"/>
              <w:left w:w="105" w:type="dxa"/>
              <w:right w:w="105" w:type="dxa"/>
            </w:tcMar>
          </w:tcPr>
          <w:p>
            <w:pPr>
              <w:pStyle w:val="TableText"/>
              <w:keepNext w:val="0"/>
              <w:keepLines w:val="0"/>
            </w:pPr>
            <w:r>
              <w:rPr>
                <w:rFonts w:ascii="Lato" w:hAnsi="Lato"/>
                <w:b/>
                <w:color w:val="FFFFFF"/>
                <w:sz w:val="18"/>
              </w:rPr>
              <w:t>Meaning in this standard</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Capability versus activation</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The system may implement a feature while leaving real collection/sending/spending disabled pending approval.</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Draft acknowledgment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The server committed a version; it is not a claim the content is public.</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Collection schema</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Approved definition of content fields and relationships, not arbitrary executable application logic.</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Release manifest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 pinned, approved set of content/configuration revisions with impact and rollback evidence.</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Workflow version/run</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An immutable automation definition and one subject's execution of that version.</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Dispatch gate</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Final current eligibility check before an external effect, distinct from earlier enrollment.</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Suppression</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 controlled rule preventing future eligible processing/sends; not always the same as deleting a business record.</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Score contribution</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An explainable input/rule effect in a derived score, not verified qualification.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Segment/audience</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An internal rule-defined population versus a provider-specific targeting/matching product.</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Remote uncertainty</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 request may have reached a provider but its effect is not yet confirmed; blind retry may be unsafe.</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Feed snapshot</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 versioned destination projection of authoritative catalogue data with validation and status.</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Metric grain</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What one row/count represents, such as event, session, lead, order or campaign-day.</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Attribution</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 declared rule assigning credit to observed eligible touches; not necessarily causation.</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Incrementality</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Estimated change caused by an intervention under an appropriate comparison design.</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SPF/DKIM/DMARC</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Email sender authentication/signature/alignment policy mechanisms that require configuration and verification.</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GPC</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A browser/user opt-out signal honored where the applicable legal/policy profile requires it.</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PITR</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Point-in-time recovery using an appropriate backup/log strategy, validated through restoration.</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SBOM</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Software bill of materials supporting dependency, license and vulnerability management.</w:t>
            </w:r>
          </w:p>
        </w:tc>
      </w:tr>
      <w:tr>
        <w:trPr>
          <w:cantSplit/>
        </w:trPr>
        <w:tc>
          <w:tcPr>
            <w:tcW w:type="dxa" w:w="3048"/>
            <w:vAlign w:val="top"/>
            <w:shd w:fill="F1F6F9"/>
            <w:tcMar>
              <w:top w:w="90" w:type="dxa"/>
              <w:bottom w:w="85" w:type="dxa"/>
              <w:left w:w="105" w:type="dxa"/>
              <w:right w:w="105" w:type="dxa"/>
            </w:tcMar>
          </w:tcPr>
          <w:p>
            <w:pPr>
              <w:pStyle w:val="TableText"/>
              <w:keepNext w:val="0"/>
              <w:keepLines w:val="0"/>
            </w:pPr>
            <w:r>
              <w:rPr>
                <w:rFonts w:ascii="Lato" w:hAnsi="Lato"/>
                <w:sz w:val="18"/>
              </w:rPr>
              <w:t>Conditional sector pack</w:t>
            </w:r>
          </w:p>
        </w:tc>
        <w:tc>
          <w:tcPr>
            <w:tcW w:type="dxa" w:w="6783"/>
            <w:vAlign w:val="top"/>
            <w:shd w:fill="F1F6F9"/>
            <w:tcMar>
              <w:top w:w="90" w:type="dxa"/>
              <w:bottom w:w="85" w:type="dxa"/>
              <w:left w:w="105" w:type="dxa"/>
              <w:right w:w="105" w:type="dxa"/>
            </w:tcMar>
          </w:tcPr>
          <w:p>
            <w:pPr>
              <w:pStyle w:val="TableText"/>
              <w:keepNext w:val="0"/>
              <w:keepLines w:val="0"/>
            </w:pPr>
            <w:r>
              <w:rPr>
                <w:rFonts w:ascii="Lato" w:hAnsi="Lato"/>
                <w:sz w:val="18"/>
              </w:rPr>
              <w:t>A site-specific business/legal/data/operational specification for an activated specialized industry workflow.</w:t>
            </w:r>
          </w:p>
        </w:tc>
      </w:tr>
      <w:tr>
        <w:trPr>
          <w:cantSplit/>
        </w:trPr>
        <w:tc>
          <w:tcPr>
            <w:tcW w:type="dxa" w:w="3048"/>
            <w:vAlign w:val="top"/>
            <w:shd w:fill="FFFFFF"/>
            <w:tcMar>
              <w:top w:w="90" w:type="dxa"/>
              <w:bottom w:w="85" w:type="dxa"/>
              <w:left w:w="105" w:type="dxa"/>
              <w:right w:w="105" w:type="dxa"/>
            </w:tcMar>
          </w:tcPr>
          <w:p>
            <w:pPr>
              <w:pStyle w:val="TableText"/>
              <w:keepNext w:val="0"/>
              <w:keepLines w:val="0"/>
            </w:pPr>
            <w:r>
              <w:rPr>
                <w:rFonts w:ascii="Lato" w:hAnsi="Lato"/>
                <w:sz w:val="18"/>
              </w:rPr>
              <w:t>Evidence packet</w:t>
            </w:r>
          </w:p>
        </w:tc>
        <w:tc>
          <w:tcPr>
            <w:tcW w:type="dxa" w:w="6783"/>
            <w:vAlign w:val="top"/>
            <w:shd w:fill="FFFFFF"/>
            <w:tcMar>
              <w:top w:w="90" w:type="dxa"/>
              <w:bottom w:w="85" w:type="dxa"/>
              <w:left w:w="105" w:type="dxa"/>
              <w:right w:w="105" w:type="dxa"/>
            </w:tcMar>
          </w:tcPr>
          <w:p>
            <w:pPr>
              <w:pStyle w:val="TableText"/>
              <w:keepNext w:val="0"/>
              <w:keepLines w:val="0"/>
            </w:pPr>
            <w:r>
              <w:rPr>
                <w:rFonts w:ascii="Lato" w:hAnsi="Lato"/>
                <w:sz w:val="18"/>
              </w:rPr>
              <w:t>The actual observations, versions, tests, approvals and residual risks supporting a release decision.</w:t>
            </w:r>
          </w:p>
        </w:tc>
      </w:tr>
    </w:tbl>
    <w:p>
      <w:pPr>
        <w:spacing w:after="60"/>
      </w:pPr>
    </w:p>
    <w:p>
      <w:pPr>
        <w:pStyle w:val="Heading2"/>
      </w:pPr>
      <w:r>
        <w:t>L.5 Final no-silent-gap rule</w:t>
      </w:r>
    </w:p>
    <w:p>
      <w:pPr/>
      <w:r>
        <w:t>No applicable requirement may disappear between design, implementation, deployment and handover. Each must be implemented and tested, explicitly blocked, or deliberately excluded through an approved scope decision. The standard preserves owner autonomy and portability while keeping security, privacy, content preservation and truthful measurement non-negotiable. Future unknown requirements are handled through this recorded extension process rather than a false promise that one static edition can predict everything.</w:t>
      </w:r>
    </w:p>
    <w:p>
      <w:pPr>
        <w:pStyle w:val="Heading1"/>
        <w:keepNext/>
      </w:pPr>
      <w:r>
        <w:t>Appendix M | Source merge, changes and evidence of preservation</w:t>
      </w:r>
      <w:bookmarkStart w:id="523" w:name="final_Appendix_M___Source_merge__chan"/>
      <w:bookmarkEnd w:id="523"/>
      <w:bookmarkStart w:id="641" w:name="tocfinal_app_M"/>
      <w:bookmarkEnd w:id="641"/>
    </w:p>
    <w:p>
      <w:pPr>
        <w:pStyle w:val="Heading2"/>
        <w:keepNext/>
      </w:pPr>
      <w:r>
        <w:t>M.1 Merge method and controlling source</w:t>
      </w:r>
    </w:p>
    <w:p>
      <w:r>
        <w:t>The source of the consolidated body is the uploaded Website_Master_Blueprint_v1_2_Comprehensive(1).docx. The v1.1 and v1.0 uploads were compared against it from the first actual chapter heading through the source register, including paragraph text inside tables. Covers, headers, footers and contents-page repetitions were excluded from that comparison. Whitespace was normalized; exact matching is a text-preservation check, not a semantic certification or an executed software test.</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2405"/>
        <w:gridCol w:w="2405"/>
        <w:gridCol w:w="2717"/>
      </w:tblGrid>
      <w:tr>
        <w:trPr>
          <w:cantSplit/>
          <w:tblHeader/>
        </w:trPr>
        <w:tc>
          <w:tcPr>
            <w:tcW w:type="dxa" w:w="2304"/>
            <w:shd w:fill="163349"/>
          </w:tcPr>
          <w:p>
            <w:pPr>
              <w:pStyle w:val="TableText"/>
              <w:keepNext/>
            </w:pPr>
            <w:r>
              <w:rPr>
                <w:rFonts w:ascii="Lato" w:hAnsi="Lato"/>
                <w:b/>
                <w:color w:val="FFFFFF"/>
                <w:sz w:val="18"/>
              </w:rPr>
              <w:t>Supplied source</w:t>
            </w:r>
          </w:p>
        </w:tc>
        <w:tc>
          <w:tcPr>
            <w:tcW w:type="dxa" w:w="2405"/>
            <w:shd w:fill="163349"/>
          </w:tcPr>
          <w:p>
            <w:pPr>
              <w:pStyle w:val="TableText"/>
              <w:keepNext/>
            </w:pPr>
            <w:r>
              <w:rPr>
                <w:rFonts w:ascii="Lato" w:hAnsi="Lato"/>
                <w:b/>
                <w:color w:val="FFFFFF"/>
                <w:sz w:val="18"/>
              </w:rPr>
              <w:t>Normalized nonempty text units</w:t>
            </w:r>
          </w:p>
        </w:tc>
        <w:tc>
          <w:tcPr>
            <w:tcW w:type="dxa" w:w="2405"/>
            <w:shd w:fill="163349"/>
          </w:tcPr>
          <w:p>
            <w:pPr>
              <w:pStyle w:val="TableText"/>
              <w:keepNext/>
            </w:pPr>
            <w:r>
              <w:rPr>
                <w:rFonts w:ascii="Lato" w:hAnsi="Lato"/>
                <w:b/>
                <w:color w:val="FFFFFF"/>
                <w:sz w:val="18"/>
              </w:rPr>
              <w:t>Exact units already in v1.2</w:t>
            </w:r>
          </w:p>
        </w:tc>
        <w:tc>
          <w:tcPr>
            <w:tcW w:type="dxa" w:w="2717"/>
            <w:shd w:fill="163349"/>
          </w:tcPr>
          <w:p>
            <w:pPr>
              <w:pStyle w:val="TableText"/>
              <w:keepNext/>
            </w:pPr>
            <w:r>
              <w:rPr>
                <w:rFonts w:ascii="Lato" w:hAnsi="Lato"/>
                <w:b/>
                <w:color w:val="FFFFFF"/>
                <w:sz w:val="18"/>
              </w:rPr>
              <w:t>Differing units reviewed</w:t>
            </w:r>
          </w:p>
        </w:tc>
      </w:tr>
      <w:tr>
        <w:trPr>
          <w:cantSplit/>
        </w:trPr>
        <w:tc>
          <w:tcPr>
            <w:tcW w:type="dxa" w:w="2304"/>
            <w:shd w:fill="F2F7FA"/>
          </w:tcPr>
          <w:p>
            <w:pPr>
              <w:pStyle w:val="TableText"/>
              <w:keepNext w:val="0"/>
            </w:pPr>
            <w:r>
              <w:rPr>
                <w:rFonts w:ascii="Lato" w:hAnsi="Lato"/>
                <w:b/>
                <w:color w:val="163349"/>
                <w:sz w:val="18"/>
              </w:rPr>
              <w:t>Website_Master_Blueprint(4).docx — v1.0</w:t>
            </w:r>
          </w:p>
        </w:tc>
        <w:tc>
          <w:tcPr>
            <w:tcW w:type="dxa" w:w="2405"/>
            <w:shd w:fill="F2F7FA"/>
          </w:tcPr>
          <w:p>
            <w:pPr>
              <w:pStyle w:val="TableText"/>
              <w:keepNext w:val="0"/>
            </w:pPr>
            <w:r>
              <w:rPr>
                <w:rFonts w:ascii="Lato" w:hAnsi="Lato"/>
                <w:sz w:val="18"/>
              </w:rPr>
              <w:t>1,734</w:t>
            </w:r>
          </w:p>
        </w:tc>
        <w:tc>
          <w:tcPr>
            <w:tcW w:type="dxa" w:w="2405"/>
            <w:shd w:fill="F2F7FA"/>
          </w:tcPr>
          <w:p>
            <w:pPr>
              <w:pStyle w:val="TableText"/>
              <w:keepNext w:val="0"/>
            </w:pPr>
            <w:r>
              <w:rPr>
                <w:rFonts w:ascii="Lato" w:hAnsi="Lato"/>
                <w:sz w:val="18"/>
              </w:rPr>
              <w:t>1,725</w:t>
            </w:r>
          </w:p>
        </w:tc>
        <w:tc>
          <w:tcPr>
            <w:tcW w:type="dxa" w:w="2717"/>
            <w:shd w:fill="F2F7FA"/>
          </w:tcPr>
          <w:p>
            <w:pPr>
              <w:pStyle w:val="TableText"/>
              <w:keepNext w:val="0"/>
            </w:pPr>
            <w:r>
              <w:rPr>
                <w:rFonts w:ascii="Lato" w:hAnsi="Lato"/>
                <w:sz w:val="18"/>
              </w:rPr>
              <w:t>9</w:t>
            </w:r>
          </w:p>
        </w:tc>
      </w:tr>
      <w:tr>
        <w:trPr>
          <w:cantSplit/>
        </w:trPr>
        <w:tc>
          <w:tcPr>
            <w:tcW w:type="dxa" w:w="2304"/>
            <w:shd w:fill="FFFFFF"/>
          </w:tcPr>
          <w:p>
            <w:pPr>
              <w:pStyle w:val="TableText"/>
              <w:keepNext w:val="0"/>
            </w:pPr>
            <w:r>
              <w:rPr>
                <w:rFonts w:ascii="Lato" w:hAnsi="Lato"/>
                <w:b/>
                <w:color w:val="163349"/>
                <w:sz w:val="18"/>
              </w:rPr>
              <w:t>Website_Master_Blueprint_v1_1_Updated(2).docx — v1.1</w:t>
            </w:r>
          </w:p>
        </w:tc>
        <w:tc>
          <w:tcPr>
            <w:tcW w:type="dxa" w:w="2405"/>
            <w:shd w:fill="FFFFFF"/>
          </w:tcPr>
          <w:p>
            <w:pPr>
              <w:pStyle w:val="TableText"/>
              <w:keepNext w:val="0"/>
            </w:pPr>
            <w:r>
              <w:rPr>
                <w:rFonts w:ascii="Lato" w:hAnsi="Lato"/>
                <w:sz w:val="18"/>
              </w:rPr>
              <w:t>2,576</w:t>
            </w:r>
          </w:p>
        </w:tc>
        <w:tc>
          <w:tcPr>
            <w:tcW w:type="dxa" w:w="2405"/>
            <w:shd w:fill="FFFFFF"/>
          </w:tcPr>
          <w:p>
            <w:pPr>
              <w:pStyle w:val="TableText"/>
              <w:keepNext w:val="0"/>
            </w:pPr>
            <w:r>
              <w:rPr>
                <w:rFonts w:ascii="Lato" w:hAnsi="Lato"/>
                <w:sz w:val="18"/>
              </w:rPr>
              <w:t>2,572</w:t>
            </w:r>
          </w:p>
        </w:tc>
        <w:tc>
          <w:tcPr>
            <w:tcW w:type="dxa" w:w="2717"/>
            <w:shd w:fill="FFFFFF"/>
          </w:tcPr>
          <w:p>
            <w:pPr>
              <w:pStyle w:val="TableText"/>
              <w:keepNext w:val="0"/>
            </w:pPr>
            <w:r>
              <w:rPr>
                <w:rFonts w:ascii="Lato" w:hAnsi="Lato"/>
                <w:sz w:val="18"/>
              </w:rPr>
              <w:t>4</w:t>
            </w:r>
          </w:p>
        </w:tc>
      </w:tr>
    </w:tbl>
    <w:p>
      <w:pPr>
        <w:spacing w:after="40"/>
      </w:pPr>
      <w:r/>
    </w:p>
    <w:p>
      <w:r>
        <w:t>The reviewed differences concern version/research notes, two expanded headings, capability-activation descriptions and strengthened acceptance/evidence language. No substantive older feature was identified as lost through those differences. The final edition uses the v1.2 wording where it expands the earlier requirement; it does not repeat the full older document as a conflicting appendix.</w:t>
      </w:r>
    </w:p>
    <w:p>
      <w:pPr>
        <w:pStyle w:val="Heading2"/>
        <w:keepNext/>
      </w:pPr>
      <w:r>
        <w:t>M.2 Source identity</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152"/>
        <w:gridCol w:w="8679"/>
      </w:tblGrid>
      <w:tr>
        <w:trPr>
          <w:cantSplit/>
          <w:tblHeader/>
        </w:trPr>
        <w:tc>
          <w:tcPr>
            <w:tcW w:type="dxa" w:w="1152"/>
            <w:shd w:fill="163349"/>
          </w:tcPr>
          <w:p>
            <w:pPr>
              <w:pStyle w:val="TableText"/>
              <w:keepNext/>
            </w:pPr>
            <w:r>
              <w:rPr>
                <w:rFonts w:ascii="Lato" w:hAnsi="Lato"/>
                <w:b/>
                <w:color w:val="FFFFFF"/>
                <w:sz w:val="18"/>
              </w:rPr>
              <w:t>Source</w:t>
            </w:r>
          </w:p>
        </w:tc>
        <w:tc>
          <w:tcPr>
            <w:tcW w:type="dxa" w:w="8679"/>
            <w:shd w:fill="163349"/>
          </w:tcPr>
          <w:p>
            <w:pPr>
              <w:pStyle w:val="TableText"/>
              <w:keepNext/>
            </w:pPr>
            <w:r>
              <w:rPr>
                <w:rFonts w:ascii="Lato" w:hAnsi="Lato"/>
                <w:b/>
                <w:color w:val="FFFFFF"/>
                <w:sz w:val="18"/>
              </w:rPr>
              <w:t>SHA-256 of supplied bytes</w:t>
            </w:r>
          </w:p>
        </w:tc>
      </w:tr>
      <w:tr>
        <w:trPr>
          <w:cantSplit/>
        </w:trPr>
        <w:tc>
          <w:tcPr>
            <w:tcW w:type="dxa" w:w="1152"/>
            <w:shd w:fill="F2F7FA"/>
          </w:tcPr>
          <w:p>
            <w:pPr>
              <w:pStyle w:val="TableText"/>
              <w:keepNext w:val="0"/>
            </w:pPr>
            <w:r>
              <w:rPr>
                <w:rFonts w:ascii="Lato" w:hAnsi="Lato"/>
                <w:b/>
                <w:color w:val="163349"/>
                <w:sz w:val="18"/>
              </w:rPr>
              <w:t>v1.0</w:t>
            </w:r>
          </w:p>
        </w:tc>
        <w:tc>
          <w:tcPr>
            <w:tcW w:type="dxa" w:w="8679"/>
            <w:shd w:fill="F2F7FA"/>
          </w:tcPr>
          <w:p>
            <w:pPr>
              <w:pStyle w:val="TableText"/>
              <w:keepNext w:val="0"/>
            </w:pPr>
            <w:r>
              <w:rPr>
                <w:rFonts w:ascii="Lato" w:hAnsi="Lato"/>
                <w:sz w:val="18"/>
              </w:rPr>
              <w:t>c2b24d098f640a2f8e52319905a9386128ca0b5cbef7c76ac2a37e56db139f33</w:t>
            </w:r>
          </w:p>
        </w:tc>
      </w:tr>
      <w:tr>
        <w:trPr>
          <w:cantSplit/>
        </w:trPr>
        <w:tc>
          <w:tcPr>
            <w:tcW w:type="dxa" w:w="1152"/>
            <w:shd w:fill="FFFFFF"/>
          </w:tcPr>
          <w:p>
            <w:pPr>
              <w:pStyle w:val="TableText"/>
              <w:keepNext w:val="0"/>
            </w:pPr>
            <w:r>
              <w:rPr>
                <w:rFonts w:ascii="Lato" w:hAnsi="Lato"/>
                <w:b/>
                <w:color w:val="163349"/>
                <w:sz w:val="18"/>
              </w:rPr>
              <w:t>v1.1</w:t>
            </w:r>
          </w:p>
        </w:tc>
        <w:tc>
          <w:tcPr>
            <w:tcW w:type="dxa" w:w="8679"/>
            <w:shd w:fill="FFFFFF"/>
          </w:tcPr>
          <w:p>
            <w:pPr>
              <w:pStyle w:val="TableText"/>
              <w:keepNext w:val="0"/>
            </w:pPr>
            <w:r>
              <w:rPr>
                <w:rFonts w:ascii="Lato" w:hAnsi="Lato"/>
                <w:sz w:val="18"/>
              </w:rPr>
              <w:t>f39b9e6b5ecf1cd2bd806d15e82c6caa8799f98ae4a5f419371b8ccab1e819a6</w:t>
            </w:r>
          </w:p>
        </w:tc>
      </w:tr>
      <w:tr>
        <w:trPr>
          <w:cantSplit/>
        </w:trPr>
        <w:tc>
          <w:tcPr>
            <w:tcW w:type="dxa" w:w="1152"/>
            <w:shd w:fill="F2F7FA"/>
          </w:tcPr>
          <w:p>
            <w:pPr>
              <w:pStyle w:val="TableText"/>
              <w:keepNext w:val="0"/>
            </w:pPr>
            <w:r>
              <w:rPr>
                <w:rFonts w:ascii="Lato" w:hAnsi="Lato"/>
                <w:b/>
                <w:color w:val="163349"/>
                <w:sz w:val="18"/>
              </w:rPr>
              <w:t>v1.2</w:t>
            </w:r>
          </w:p>
        </w:tc>
        <w:tc>
          <w:tcPr>
            <w:tcW w:type="dxa" w:w="8679"/>
            <w:shd w:fill="F2F7FA"/>
          </w:tcPr>
          <w:p>
            <w:pPr>
              <w:pStyle w:val="TableText"/>
              <w:keepNext w:val="0"/>
            </w:pPr>
            <w:r>
              <w:rPr>
                <w:rFonts w:ascii="Lato" w:hAnsi="Lato"/>
                <w:sz w:val="18"/>
              </w:rPr>
              <w:t>afd50d3df2e2d3d72080162dbd126a9c7a5d35392858359eaea471e1afb4bbfb</w:t>
            </w:r>
          </w:p>
        </w:tc>
      </w:tr>
    </w:tbl>
    <w:p>
      <w:pPr>
        <w:spacing w:after="40"/>
      </w:pPr>
      <w:r/>
    </w:p>
    <w:p>
      <w:r>
        <w:t>Hashes identify the supplied versions; they do not certify their accuracy. The output is a new document and does not overwrite the originals. The source chapters, requirements, worked examples and R01–R106 reference register remain the inherited basis. New R107–R128 entries support the final expansion or record an explicit retrieval limitation.</w:t>
      </w:r>
    </w:p>
    <w:p>
      <w:pPr>
        <w:pStyle w:val="Heading2"/>
        <w:keepNext/>
      </w:pPr>
      <w:r>
        <w:t>M.3 Reviewed historical differences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Source area</w:t>
            </w:r>
          </w:p>
        </w:tc>
        <w:tc>
          <w:tcPr>
            <w:tcW w:type="dxa" w:w="3528"/>
            <w:shd w:fill="163349"/>
          </w:tcPr>
          <w:p>
            <w:pPr>
              <w:pStyle w:val="TableText"/>
              <w:keepNext/>
            </w:pPr>
            <w:r>
              <w:rPr>
                <w:rFonts w:ascii="Lato" w:hAnsi="Lato"/>
                <w:b/>
                <w:color w:val="FFFFFF"/>
                <w:sz w:val="18"/>
              </w:rPr>
              <w:t>Difference</w:t>
            </w:r>
          </w:p>
        </w:tc>
        <w:tc>
          <w:tcPr>
            <w:tcW w:type="dxa" w:w="3999"/>
            <w:shd w:fill="163349"/>
          </w:tcPr>
          <w:p>
            <w:pPr>
              <w:pStyle w:val="TableText"/>
              <w:keepNext/>
            </w:pPr>
            <w:r>
              <w:rPr>
                <w:rFonts w:ascii="Lato" w:hAnsi="Lato"/>
                <w:b/>
                <w:color w:val="FFFFFF"/>
                <w:sz w:val="18"/>
              </w:rPr>
              <w:t>Consolidation decision</w:t>
            </w:r>
          </w:p>
        </w:tc>
      </w:tr>
      <w:tr>
        <w:trPr>
          <w:cantSplit/>
        </w:trPr>
        <w:tc>
          <w:tcPr>
            <w:tcW w:type="dxa" w:w="2304"/>
            <w:shd w:fill="F2F7FA"/>
          </w:tcPr>
          <w:p>
            <w:pPr>
              <w:pStyle w:val="TableText"/>
              <w:keepNext w:val="0"/>
            </w:pPr>
            <w:r>
              <w:rPr>
                <w:rFonts w:ascii="Lato" w:hAnsi="Lato"/>
                <w:b/>
                <w:color w:val="163349"/>
                <w:sz w:val="18"/>
              </w:rPr>
              <w:t>v1.0 Chapter 01</w:t>
            </w:r>
          </w:p>
        </w:tc>
        <w:tc>
          <w:tcPr>
            <w:tcW w:type="dxa" w:w="3528"/>
            <w:shd w:fill="F2F7FA"/>
          </w:tcPr>
          <w:p>
            <w:pPr>
              <w:pStyle w:val="TableText"/>
              <w:keepNext w:val="0"/>
            </w:pPr>
            <w:r>
              <w:rPr>
                <w:rFonts w:ascii="Lato" w:hAnsi="Lato"/>
                <w:sz w:val="18"/>
              </w:rPr>
              <w:t>Original version and review-date paragraph</w:t>
            </w:r>
          </w:p>
        </w:tc>
        <w:tc>
          <w:tcPr>
            <w:tcW w:type="dxa" w:w="3999"/>
            <w:shd w:fill="F2F7FA"/>
          </w:tcPr>
          <w:p>
            <w:pPr>
              <w:pStyle w:val="TableText"/>
              <w:keepNext w:val="0"/>
            </w:pPr>
            <w:r>
              <w:rPr>
                <w:rFonts w:ascii="Lato" w:hAnsi="Lato"/>
                <w:sz w:val="18"/>
              </w:rPr>
              <w:t>Keep current edition history and the same launch/policy review obligation.</w:t>
            </w:r>
          </w:p>
        </w:tc>
      </w:tr>
      <w:tr>
        <w:trPr>
          <w:cantSplit/>
        </w:trPr>
        <w:tc>
          <w:tcPr>
            <w:tcW w:type="dxa" w:w="2304"/>
            <w:shd w:fill="FFFFFF"/>
          </w:tcPr>
          <w:p>
            <w:pPr>
              <w:pStyle w:val="TableText"/>
              <w:keepNext w:val="0"/>
            </w:pPr>
            <w:r>
              <w:rPr>
                <w:rFonts w:ascii="Lato" w:hAnsi="Lato"/>
                <w:b/>
                <w:color w:val="163349"/>
                <w:sz w:val="18"/>
              </w:rPr>
              <w:t>v1.0 Chapter 18</w:t>
            </w:r>
          </w:p>
        </w:tc>
        <w:tc>
          <w:tcPr>
            <w:tcW w:type="dxa" w:w="3528"/>
            <w:shd w:fill="FFFFFF"/>
          </w:tcPr>
          <w:p>
            <w:pPr>
              <w:pStyle w:val="TableText"/>
              <w:keepNext w:val="0"/>
            </w:pPr>
            <w:r>
              <w:rPr>
                <w:rFonts w:ascii="Lato" w:hAnsi="Lato"/>
                <w:sz w:val="18"/>
              </w:rPr>
              <w:t>Attribution heading later names UTM parameters explicitly</w:t>
            </w:r>
          </w:p>
        </w:tc>
        <w:tc>
          <w:tcPr>
            <w:tcW w:type="dxa" w:w="3999"/>
            <w:shd w:fill="FFFFFF"/>
          </w:tcPr>
          <w:p>
            <w:pPr>
              <w:pStyle w:val="TableText"/>
              <w:keepNext w:val="0"/>
            </w:pPr>
            <w:r>
              <w:rPr>
                <w:rFonts w:ascii="Lato" w:hAnsi="Lato"/>
                <w:sz w:val="18"/>
              </w:rPr>
              <w:t>Use the expanded heading and Chapters 35/69/72 contracts.</w:t>
            </w:r>
          </w:p>
        </w:tc>
      </w:tr>
      <w:tr>
        <w:trPr>
          <w:cantSplit/>
        </w:trPr>
        <w:tc>
          <w:tcPr>
            <w:tcW w:type="dxa" w:w="2304"/>
            <w:shd w:fill="F2F7FA"/>
          </w:tcPr>
          <w:p>
            <w:pPr>
              <w:pStyle w:val="TableText"/>
              <w:keepNext w:val="0"/>
            </w:pPr>
            <w:r>
              <w:rPr>
                <w:rFonts w:ascii="Lato" w:hAnsi="Lato"/>
                <w:b/>
                <w:color w:val="163349"/>
                <w:sz w:val="18"/>
              </w:rPr>
              <w:t>v1.0 Chapter 19</w:t>
            </w:r>
          </w:p>
        </w:tc>
        <w:tc>
          <w:tcPr>
            <w:tcW w:type="dxa" w:w="3528"/>
            <w:shd w:fill="F2F7FA"/>
          </w:tcPr>
          <w:p>
            <w:pPr>
              <w:pStyle w:val="TableText"/>
              <w:keepNext w:val="0"/>
            </w:pPr>
            <w:r>
              <w:rPr>
                <w:rFonts w:ascii="Lato" w:hAnsi="Lato"/>
                <w:sz w:val="18"/>
              </w:rPr>
              <w:t>Experimentation heading expanded to A/B testing</w:t>
            </w:r>
          </w:p>
        </w:tc>
        <w:tc>
          <w:tcPr>
            <w:tcW w:type="dxa" w:w="3999"/>
            <w:shd w:fill="F2F7FA"/>
          </w:tcPr>
          <w:p>
            <w:pPr>
              <w:pStyle w:val="TableText"/>
              <w:keepNext w:val="0"/>
            </w:pPr>
            <w:r>
              <w:rPr>
                <w:rFonts w:ascii="Lato" w:hAnsi="Lato"/>
                <w:sz w:val="18"/>
              </w:rPr>
              <w:t>Preserve detailed Chapter 34 and its tests.</w:t>
            </w:r>
          </w:p>
        </w:tc>
      </w:tr>
      <w:tr>
        <w:trPr>
          <w:cantSplit/>
        </w:trPr>
        <w:tc>
          <w:tcPr>
            <w:tcW w:type="dxa" w:w="2304"/>
            <w:shd w:fill="FFFFFF"/>
          </w:tcPr>
          <w:p>
            <w:pPr>
              <w:pStyle w:val="TableText"/>
              <w:keepNext w:val="0"/>
            </w:pPr>
            <w:r>
              <w:rPr>
                <w:rFonts w:ascii="Lato" w:hAnsi="Lato"/>
                <w:b/>
                <w:color w:val="163349"/>
                <w:sz w:val="18"/>
              </w:rPr>
              <w:t>v1.0 Appendix A</w:t>
            </w:r>
          </w:p>
        </w:tc>
        <w:tc>
          <w:tcPr>
            <w:tcW w:type="dxa" w:w="3528"/>
            <w:shd w:fill="FFFFFF"/>
          </w:tcPr>
          <w:p>
            <w:pPr>
              <w:pStyle w:val="TableText"/>
              <w:keepNext w:val="0"/>
            </w:pPr>
            <w:r>
              <w:rPr>
                <w:rFonts w:ascii="Lato" w:hAnsi="Lato"/>
                <w:sz w:val="18"/>
              </w:rPr>
              <w:t>Analytics/replay/experiments grouped in one row</w:t>
            </w:r>
          </w:p>
        </w:tc>
        <w:tc>
          <w:tcPr>
            <w:tcW w:type="dxa" w:w="3999"/>
            <w:shd w:fill="FFFFFF"/>
          </w:tcPr>
          <w:p>
            <w:pPr>
              <w:pStyle w:val="TableText"/>
              <w:keepNext w:val="0"/>
            </w:pPr>
            <w:r>
              <w:rPr>
                <w:rFonts w:ascii="Lato" w:hAnsi="Lato"/>
                <w:sz w:val="18"/>
              </w:rPr>
              <w:t>Experiments are delivered as a growth capability; replay remains separately activated.</w:t>
            </w:r>
          </w:p>
        </w:tc>
      </w:tr>
      <w:tr>
        <w:trPr>
          <w:cantSplit/>
        </w:trPr>
        <w:tc>
          <w:tcPr>
            <w:tcW w:type="dxa" w:w="2304"/>
            <w:shd w:fill="F2F7FA"/>
          </w:tcPr>
          <w:p>
            <w:pPr>
              <w:pStyle w:val="TableText"/>
              <w:keepNext w:val="0"/>
            </w:pPr>
            <w:r>
              <w:rPr>
                <w:rFonts w:ascii="Lato" w:hAnsi="Lato"/>
                <w:b/>
                <w:color w:val="163349"/>
                <w:sz w:val="18"/>
              </w:rPr>
              <w:t>v1.0 Appendix A</w:t>
            </w:r>
          </w:p>
        </w:tc>
        <w:tc>
          <w:tcPr>
            <w:tcW w:type="dxa" w:w="3528"/>
            <w:shd w:fill="F2F7FA"/>
          </w:tcPr>
          <w:p>
            <w:pPr>
              <w:pStyle w:val="TableText"/>
              <w:keepNext w:val="0"/>
            </w:pPr>
            <w:r>
              <w:rPr>
                <w:rFonts w:ascii="Lato" w:hAnsi="Lato"/>
                <w:sz w:val="18"/>
              </w:rPr>
              <w:t>Generic experiment review wording</w:t>
            </w:r>
          </w:p>
        </w:tc>
        <w:tc>
          <w:tcPr>
            <w:tcW w:type="dxa" w:w="3999"/>
            <w:shd w:fill="F2F7FA"/>
          </w:tcPr>
          <w:p>
            <w:pPr>
              <w:pStyle w:val="TableText"/>
              <w:keepNext w:val="0"/>
            </w:pPr>
            <w:r>
              <w:rPr>
                <w:rFonts w:ascii="Lato" w:hAnsi="Lato"/>
                <w:sz w:val="18"/>
              </w:rPr>
              <w:t>Keep privacy/traffic/statistical decisions through the expanded acceptance pack.</w:t>
            </w:r>
          </w:p>
        </w:tc>
      </w:tr>
      <w:tr>
        <w:trPr>
          <w:cantSplit/>
        </w:trPr>
        <w:tc>
          <w:tcPr>
            <w:tcW w:type="dxa" w:w="2304"/>
            <w:shd w:fill="FFFFFF"/>
          </w:tcPr>
          <w:p>
            <w:pPr>
              <w:pStyle w:val="TableText"/>
              <w:keepNext w:val="0"/>
            </w:pPr>
            <w:r>
              <w:rPr>
                <w:rFonts w:ascii="Lato" w:hAnsi="Lato"/>
                <w:b/>
                <w:color w:val="163349"/>
                <w:sz w:val="18"/>
              </w:rPr>
              <w:t>v1.0 Appendix A</w:t>
            </w:r>
          </w:p>
        </w:tc>
        <w:tc>
          <w:tcPr>
            <w:tcW w:type="dxa" w:w="3528"/>
            <w:shd w:fill="FFFFFF"/>
          </w:tcPr>
          <w:p>
            <w:pPr>
              <w:pStyle w:val="TableText"/>
              <w:keepNext w:val="0"/>
            </w:pPr>
            <w:r>
              <w:rPr>
                <w:rFonts w:ascii="Lato" w:hAnsi="Lato"/>
                <w:sz w:val="18"/>
              </w:rPr>
              <w:t>Locale/support module guidance expanded</w:t>
            </w:r>
          </w:p>
        </w:tc>
        <w:tc>
          <w:tcPr>
            <w:tcW w:type="dxa" w:w="3999"/>
            <w:shd w:fill="FFFFFF"/>
          </w:tcPr>
          <w:p>
            <w:pPr>
              <w:pStyle w:val="TableText"/>
              <w:keepNext w:val="0"/>
            </w:pPr>
            <w:r>
              <w:rPr>
                <w:rFonts w:ascii="Lato" w:hAnsi="Lato"/>
                <w:sz w:val="18"/>
              </w:rPr>
              <w:t>Preserve locale ownership and the required contextual-chat capability.</w:t>
            </w:r>
          </w:p>
        </w:tc>
      </w:tr>
      <w:tr>
        <w:trPr>
          <w:cantSplit/>
        </w:trPr>
        <w:tc>
          <w:tcPr>
            <w:tcW w:type="dxa" w:w="2304"/>
            <w:shd w:fill="F2F7FA"/>
          </w:tcPr>
          <w:p>
            <w:pPr>
              <w:pStyle w:val="TableText"/>
              <w:keepNext w:val="0"/>
            </w:pPr>
            <w:r>
              <w:rPr>
                <w:rFonts w:ascii="Lato" w:hAnsi="Lato"/>
                <w:b/>
                <w:color w:val="163349"/>
                <w:sz w:val="18"/>
              </w:rPr>
              <w:t>v1.0 Appendix B</w:t>
            </w:r>
          </w:p>
        </w:tc>
        <w:tc>
          <w:tcPr>
            <w:tcW w:type="dxa" w:w="3528"/>
            <w:shd w:fill="F2F7FA"/>
          </w:tcPr>
          <w:p>
            <w:pPr>
              <w:pStyle w:val="TableText"/>
              <w:keepNext w:val="0"/>
            </w:pPr>
            <w:r>
              <w:rPr>
                <w:rFonts w:ascii="Lato" w:hAnsi="Lato"/>
                <w:sz w:val="18"/>
              </w:rPr>
              <w:t>Original baseline acceptance introduction</w:t>
            </w:r>
          </w:p>
        </w:tc>
        <w:tc>
          <w:tcPr>
            <w:tcW w:type="dxa" w:w="3999"/>
            <w:shd w:fill="F2F7FA"/>
          </w:tcPr>
          <w:p>
            <w:pPr>
              <w:pStyle w:val="TableText"/>
              <w:keepNext w:val="0"/>
            </w:pPr>
            <w:r>
              <w:rPr>
                <w:rFonts w:ascii="Lato" w:hAnsi="Lato"/>
                <w:sz w:val="18"/>
              </w:rPr>
              <w:t>Retain baseline requirements and require later extension tests too.</w:t>
            </w:r>
          </w:p>
        </w:tc>
      </w:tr>
      <w:tr>
        <w:trPr>
          <w:cantSplit/>
        </w:trPr>
        <w:tc>
          <w:tcPr>
            <w:tcW w:type="dxa" w:w="2304"/>
            <w:shd w:fill="FFFFFF"/>
          </w:tcPr>
          <w:p>
            <w:pPr>
              <w:pStyle w:val="TableText"/>
              <w:keepNext w:val="0"/>
            </w:pPr>
            <w:r>
              <w:rPr>
                <w:rFonts w:ascii="Lato" w:hAnsi="Lato"/>
                <w:b/>
                <w:color w:val="163349"/>
                <w:sz w:val="18"/>
              </w:rPr>
              <w:t>v1.0 Appendix D</w:t>
            </w:r>
          </w:p>
        </w:tc>
        <w:tc>
          <w:tcPr>
            <w:tcW w:type="dxa" w:w="3528"/>
            <w:shd w:fill="FFFFFF"/>
          </w:tcPr>
          <w:p>
            <w:pPr>
              <w:pStyle w:val="TableText"/>
              <w:keepNext w:val="0"/>
            </w:pPr>
            <w:r>
              <w:rPr>
                <w:rFonts w:ascii="Lato" w:hAnsi="Lato"/>
                <w:sz w:val="18"/>
              </w:rPr>
              <w:t>Short release-evidence packet</w:t>
            </w:r>
          </w:p>
        </w:tc>
        <w:tc>
          <w:tcPr>
            <w:tcW w:type="dxa" w:w="3999"/>
            <w:shd w:fill="FFFFFF"/>
          </w:tcPr>
          <w:p>
            <w:pPr>
              <w:pStyle w:val="TableText"/>
              <w:keepNext w:val="0"/>
            </w:pPr>
            <w:r>
              <w:rPr>
                <w:rFonts w:ascii="Lato" w:hAnsi="Lato"/>
                <w:sz w:val="18"/>
              </w:rPr>
              <w:t>Preserve and expand the evidence manifest; do not replace tests with a checkbox.</w:t>
            </w:r>
          </w:p>
        </w:tc>
      </w:tr>
      <w:tr>
        <w:trPr>
          <w:cantSplit/>
        </w:trPr>
        <w:tc>
          <w:tcPr>
            <w:tcW w:type="dxa" w:w="2304"/>
            <w:shd w:fill="F2F7FA"/>
          </w:tcPr>
          <w:p>
            <w:pPr>
              <w:pStyle w:val="TableText"/>
              <w:keepNext w:val="0"/>
            </w:pPr>
            <w:r>
              <w:rPr>
                <w:rFonts w:ascii="Lato" w:hAnsi="Lato"/>
                <w:b/>
                <w:color w:val="163349"/>
                <w:sz w:val="18"/>
              </w:rPr>
              <w:t>v1.0 Sources</w:t>
            </w:r>
          </w:p>
        </w:tc>
        <w:tc>
          <w:tcPr>
            <w:tcW w:type="dxa" w:w="3528"/>
            <w:shd w:fill="F2F7FA"/>
          </w:tcPr>
          <w:p>
            <w:pPr>
              <w:pStyle w:val="TableText"/>
              <w:keepNext w:val="0"/>
            </w:pPr>
            <w:r>
              <w:rPr>
                <w:rFonts w:ascii="Lato" w:hAnsi="Lato"/>
                <w:sz w:val="18"/>
              </w:rPr>
              <w:t>Original source-review date paragraph</w:t>
            </w:r>
          </w:p>
        </w:tc>
        <w:tc>
          <w:tcPr>
            <w:tcW w:type="dxa" w:w="3999"/>
            <w:shd w:fill="F2F7FA"/>
          </w:tcPr>
          <w:p>
            <w:pPr>
              <w:pStyle w:val="TableText"/>
              <w:keepNext w:val="0"/>
            </w:pPr>
            <w:r>
              <w:rPr>
                <w:rFonts w:ascii="Lato" w:hAnsi="Lato"/>
                <w:sz w:val="18"/>
              </w:rPr>
              <w:t>Retain inherited references with honest dates and new verification notes.</w:t>
            </w:r>
          </w:p>
        </w:tc>
      </w:tr>
      <w:tr>
        <w:trPr>
          <w:cantSplit/>
        </w:trPr>
        <w:tc>
          <w:tcPr>
            <w:tcW w:type="dxa" w:w="2304"/>
            <w:shd w:fill="FFFFFF"/>
          </w:tcPr>
          <w:p>
            <w:pPr>
              <w:pStyle w:val="TableText"/>
              <w:keepNext w:val="0"/>
            </w:pPr>
            <w:r>
              <w:rPr>
                <w:rFonts w:ascii="Lato" w:hAnsi="Lato"/>
                <w:b/>
                <w:color w:val="163349"/>
                <w:sz w:val="18"/>
              </w:rPr>
              <w:t>v1.1 Chapter 01</w:t>
            </w:r>
          </w:p>
        </w:tc>
        <w:tc>
          <w:tcPr>
            <w:tcW w:type="dxa" w:w="3528"/>
            <w:shd w:fill="FFFFFF"/>
          </w:tcPr>
          <w:p>
            <w:pPr>
              <w:pStyle w:val="TableText"/>
              <w:keepNext w:val="0"/>
            </w:pPr>
            <w:r>
              <w:rPr>
                <w:rFonts w:ascii="Lato" w:hAnsi="Lato"/>
                <w:sz w:val="18"/>
              </w:rPr>
              <w:t>Original v1.1 version paragraph</w:t>
            </w:r>
          </w:p>
        </w:tc>
        <w:tc>
          <w:tcPr>
            <w:tcW w:type="dxa" w:w="3999"/>
            <w:shd w:fill="FFFFFF"/>
          </w:tcPr>
          <w:p>
            <w:pPr>
              <w:pStyle w:val="TableText"/>
              <w:keepNext w:val="0"/>
            </w:pPr>
            <w:r>
              <w:rPr>
                <w:rFonts w:ascii="Lato" w:hAnsi="Lato"/>
                <w:sz w:val="18"/>
              </w:rPr>
              <w:t>Keep v1.1 preservation/tracking/audit obligations in the consolidated history.</w:t>
            </w:r>
          </w:p>
        </w:tc>
      </w:tr>
      <w:tr>
        <w:trPr>
          <w:cantSplit/>
        </w:trPr>
        <w:tc>
          <w:tcPr>
            <w:tcW w:type="dxa" w:w="2304"/>
            <w:shd w:fill="F2F7FA"/>
          </w:tcPr>
          <w:p>
            <w:pPr>
              <w:pStyle w:val="TableText"/>
              <w:keepNext w:val="0"/>
            </w:pPr>
            <w:r>
              <w:rPr>
                <w:rFonts w:ascii="Lato" w:hAnsi="Lato"/>
                <w:b/>
                <w:color w:val="163349"/>
                <w:sz w:val="18"/>
              </w:rPr>
              <w:t>v1.1 Appendix G</w:t>
            </w:r>
          </w:p>
        </w:tc>
        <w:tc>
          <w:tcPr>
            <w:tcW w:type="dxa" w:w="3528"/>
            <w:shd w:fill="F2F7FA"/>
          </w:tcPr>
          <w:p>
            <w:pPr>
              <w:pStyle w:val="TableText"/>
              <w:keepNext w:val="0"/>
            </w:pPr>
            <w:r>
              <w:rPr>
                <w:rFonts w:ascii="Lato" w:hAnsi="Lato"/>
                <w:sz w:val="18"/>
              </w:rPr>
              <w:t>Sign-off says version 1.1</w:t>
            </w:r>
          </w:p>
        </w:tc>
        <w:tc>
          <w:tcPr>
            <w:tcW w:type="dxa" w:w="3999"/>
            <w:shd w:fill="F2F7FA"/>
          </w:tcPr>
          <w:p>
            <w:pPr>
              <w:pStyle w:val="TableText"/>
              <w:keepNext w:val="0"/>
            </w:pPr>
            <w:r>
              <w:rPr>
                <w:rFonts w:ascii="Lato" w:hAnsi="Lato"/>
                <w:sz w:val="18"/>
              </w:rPr>
              <w:t>Final project sign-off uses the governing edition; historical tests retain IDs.</w:t>
            </w:r>
          </w:p>
        </w:tc>
      </w:tr>
      <w:tr>
        <w:trPr>
          <w:cantSplit/>
        </w:trPr>
        <w:tc>
          <w:tcPr>
            <w:tcW w:type="dxa" w:w="2304"/>
            <w:shd w:fill="FFFFFF"/>
          </w:tcPr>
          <w:p>
            <w:pPr>
              <w:pStyle w:val="TableText"/>
              <w:keepNext w:val="0"/>
            </w:pPr>
            <w:r>
              <w:rPr>
                <w:rFonts w:ascii="Lato" w:hAnsi="Lato"/>
                <w:b/>
                <w:color w:val="163349"/>
                <w:sz w:val="18"/>
              </w:rPr>
              <w:t>v1.1 Sources</w:t>
            </w:r>
          </w:p>
        </w:tc>
        <w:tc>
          <w:tcPr>
            <w:tcW w:type="dxa" w:w="3528"/>
            <w:shd w:fill="FFFFFF"/>
          </w:tcPr>
          <w:p>
            <w:pPr>
              <w:pStyle w:val="TableText"/>
              <w:keepNext w:val="0"/>
            </w:pPr>
            <w:r>
              <w:rPr>
                <w:rFonts w:ascii="Lato" w:hAnsi="Lato"/>
                <w:sz w:val="18"/>
              </w:rPr>
              <w:t>Original new-reference research note</w:t>
            </w:r>
          </w:p>
        </w:tc>
        <w:tc>
          <w:tcPr>
            <w:tcW w:type="dxa" w:w="3999"/>
            <w:shd w:fill="FFFFFF"/>
          </w:tcPr>
          <w:p>
            <w:pPr>
              <w:pStyle w:val="TableText"/>
              <w:keepNext w:val="0"/>
            </w:pPr>
            <w:r>
              <w:rPr>
                <w:rFonts w:ascii="Lato" w:hAnsi="Lato"/>
                <w:sz w:val="18"/>
              </w:rPr>
              <w:t>Preserve provenance; R47–R61 remain inherited, not falsely newly researched.</w:t>
            </w:r>
          </w:p>
        </w:tc>
      </w:tr>
      <w:tr>
        <w:trPr>
          <w:cantSplit/>
        </w:trPr>
        <w:tc>
          <w:tcPr>
            <w:tcW w:type="dxa" w:w="2304"/>
            <w:shd w:fill="F2F7FA"/>
          </w:tcPr>
          <w:p>
            <w:pPr>
              <w:pStyle w:val="TableText"/>
              <w:keepNext w:val="0"/>
            </w:pPr>
            <w:r>
              <w:rPr>
                <w:rFonts w:ascii="Lato" w:hAnsi="Lato"/>
                <w:b/>
                <w:color w:val="163349"/>
                <w:sz w:val="18"/>
              </w:rPr>
              <w:t>v1.1 Sources</w:t>
            </w:r>
          </w:p>
        </w:tc>
        <w:tc>
          <w:tcPr>
            <w:tcW w:type="dxa" w:w="3528"/>
            <w:shd w:fill="F2F7FA"/>
          </w:tcPr>
          <w:p>
            <w:pPr>
              <w:pStyle w:val="TableText"/>
              <w:keepNext w:val="0"/>
            </w:pPr>
            <w:r>
              <w:rPr>
                <w:rFonts w:ascii="Lato" w:hAnsi="Lato"/>
                <w:sz w:val="18"/>
              </w:rPr>
              <w:t>Original general reference-date paragraph</w:t>
            </w:r>
          </w:p>
        </w:tc>
        <w:tc>
          <w:tcPr>
            <w:tcW w:type="dxa" w:w="3999"/>
            <w:shd w:fill="F2F7FA"/>
          </w:tcPr>
          <w:p>
            <w:pPr>
              <w:pStyle w:val="TableText"/>
              <w:keepNext w:val="0"/>
            </w:pPr>
            <w:r>
              <w:rPr>
                <w:rFonts w:ascii="Lato" w:hAnsi="Lato"/>
                <w:sz w:val="18"/>
              </w:rPr>
              <w:t>State current and inherited evidence separately.</w:t>
            </w:r>
          </w:p>
        </w:tc>
      </w:tr>
    </w:tbl>
    <w:p>
      <w:pPr>
        <w:spacing w:after="40"/>
      </w:pPr>
      <w:r/>
    </w:p>
    <w:p>
      <w:pPr>
        <w:pStyle w:val="Heading2"/>
        <w:keepNext/>
      </w:pPr>
      <w:r>
        <w:t>M.4 Final clarification register</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Clarification</w:t>
            </w:r>
          </w:p>
        </w:tc>
        <w:tc>
          <w:tcPr>
            <w:tcW w:type="dxa" w:w="3528"/>
            <w:shd w:fill="163349"/>
          </w:tcPr>
          <w:p>
            <w:pPr>
              <w:pStyle w:val="TableText"/>
              <w:keepNext/>
            </w:pPr>
            <w:r>
              <w:rPr>
                <w:rFonts w:ascii="Lato" w:hAnsi="Lato"/>
                <w:b/>
                <w:color w:val="FFFFFF"/>
                <w:sz w:val="18"/>
              </w:rPr>
              <w:t>Governing locations</w:t>
            </w:r>
          </w:p>
        </w:tc>
        <w:tc>
          <w:tcPr>
            <w:tcW w:type="dxa" w:w="3999"/>
            <w:shd w:fill="163349"/>
          </w:tcPr>
          <w:p>
            <w:pPr>
              <w:pStyle w:val="TableText"/>
              <w:keepNext/>
            </w:pPr>
            <w:r>
              <w:rPr>
                <w:rFonts w:ascii="Lato" w:hAnsi="Lato"/>
                <w:b/>
                <w:color w:val="FFFFFF"/>
                <w:sz w:val="18"/>
              </w:rPr>
              <w:t>Reason</w:t>
            </w:r>
          </w:p>
        </w:tc>
      </w:tr>
      <w:tr>
        <w:trPr>
          <w:cantSplit/>
        </w:trPr>
        <w:tc>
          <w:tcPr>
            <w:tcW w:type="dxa" w:w="2304"/>
            <w:shd w:fill="F2F7FA"/>
          </w:tcPr>
          <w:p>
            <w:pPr>
              <w:pStyle w:val="TableText"/>
              <w:keepNext w:val="0"/>
            </w:pPr>
            <w:r>
              <w:rPr>
                <w:rFonts w:ascii="Lato" w:hAnsi="Lato"/>
                <w:b/>
                <w:color w:val="163349"/>
                <w:sz w:val="18"/>
              </w:rPr>
              <w:t>Unified inbox delivery versus channel activation</w:t>
            </w:r>
          </w:p>
        </w:tc>
        <w:tc>
          <w:tcPr>
            <w:tcW w:type="dxa" w:w="3528"/>
            <w:shd w:fill="F2F7FA"/>
          </w:tcPr>
          <w:p>
            <w:pPr>
              <w:pStyle w:val="TableText"/>
              <w:keepNext w:val="0"/>
            </w:pPr>
            <w:r>
              <w:rPr>
                <w:rFonts w:ascii="Lato" w:hAnsi="Lato"/>
                <w:sz w:val="18"/>
              </w:rPr>
              <w:t>42, 48, 76, 78</w:t>
            </w:r>
          </w:p>
        </w:tc>
        <w:tc>
          <w:tcPr>
            <w:tcW w:type="dxa" w:w="3999"/>
            <w:shd w:fill="F2F7FA"/>
          </w:tcPr>
          <w:p>
            <w:pPr>
              <w:pStyle w:val="TableText"/>
              <w:keepNext w:val="0"/>
            </w:pPr>
            <w:r>
              <w:rPr>
                <w:rFonts w:ascii="Lato" w:hAnsi="Lato"/>
                <w:sz w:val="18"/>
              </w:rPr>
              <w:t>The comprehensive platform capability is required; each external channel remains explicitly activated.</w:t>
            </w:r>
          </w:p>
        </w:tc>
      </w:tr>
      <w:tr>
        <w:trPr>
          <w:cantSplit/>
        </w:trPr>
        <w:tc>
          <w:tcPr>
            <w:tcW w:type="dxa" w:w="2304"/>
            <w:shd w:fill="FFFFFF"/>
          </w:tcPr>
          <w:p>
            <w:pPr>
              <w:pStyle w:val="TableText"/>
              <w:keepNext w:val="0"/>
            </w:pPr>
            <w:r>
              <w:rPr>
                <w:rFonts w:ascii="Lato" w:hAnsi="Lato"/>
                <w:b/>
                <w:color w:val="163349"/>
                <w:sz w:val="18"/>
              </w:rPr>
              <w:t>Raw IP sharing boundary</w:t>
            </w:r>
          </w:p>
        </w:tc>
        <w:tc>
          <w:tcPr>
            <w:tcW w:type="dxa" w:w="3528"/>
            <w:shd w:fill="FFFFFF"/>
          </w:tcPr>
          <w:p>
            <w:pPr>
              <w:pStyle w:val="TableText"/>
              <w:keepNext w:val="0"/>
            </w:pPr>
            <w:r>
              <w:rPr>
                <w:rFonts w:ascii="Lato" w:hAnsi="Lato"/>
                <w:sz w:val="18"/>
              </w:rPr>
              <w:t>36, 41, 52, 69, 78</w:t>
            </w:r>
          </w:p>
        </w:tc>
        <w:tc>
          <w:tcPr>
            <w:tcW w:type="dxa" w:w="3999"/>
            <w:shd w:fill="FFFFFF"/>
          </w:tcPr>
          <w:p>
            <w:pPr>
              <w:pStyle w:val="TableText"/>
              <w:keepNext w:val="0"/>
            </w:pPr>
            <w:r>
              <w:rPr>
                <w:rFonts w:ascii="Lato" w:hAnsi="Lato"/>
                <w:sz w:val="18"/>
              </w:rPr>
              <w:t>Generic analytics/model sharing is prohibited; a narrowly approved destination adapter is different.</w:t>
            </w:r>
          </w:p>
        </w:tc>
      </w:tr>
      <w:tr>
        <w:trPr>
          <w:cantSplit/>
        </w:trPr>
        <w:tc>
          <w:tcPr>
            <w:tcW w:type="dxa" w:w="2304"/>
            <w:shd w:fill="F2F7FA"/>
          </w:tcPr>
          <w:p>
            <w:pPr>
              <w:pStyle w:val="TableText"/>
              <w:keepNext w:val="0"/>
            </w:pPr>
            <w:r>
              <w:rPr>
                <w:rFonts w:ascii="Lato" w:hAnsi="Lato"/>
                <w:b/>
                <w:color w:val="163349"/>
                <w:sz w:val="18"/>
              </w:rPr>
              <w:t>Primary/secondary custom-goal exception</w:t>
            </w:r>
          </w:p>
        </w:tc>
        <w:tc>
          <w:tcPr>
            <w:tcW w:type="dxa" w:w="3528"/>
            <w:shd w:fill="F2F7FA"/>
          </w:tcPr>
          <w:p>
            <w:pPr>
              <w:pStyle w:val="TableText"/>
              <w:keepNext w:val="0"/>
            </w:pPr>
            <w:r>
              <w:rPr>
                <w:rFonts w:ascii="Lato" w:hAnsi="Lato"/>
                <w:sz w:val="18"/>
              </w:rPr>
              <w:t>12, 51, 67</w:t>
            </w:r>
          </w:p>
        </w:tc>
        <w:tc>
          <w:tcPr>
            <w:tcW w:type="dxa" w:w="3999"/>
            <w:shd w:fill="F2F7FA"/>
          </w:tcPr>
          <w:p>
            <w:pPr>
              <w:pStyle w:val="TableText"/>
              <w:keepNext w:val="0"/>
            </w:pPr>
            <w:r>
              <w:rPr>
                <w:rFonts w:ascii="Lato" w:hAnsi="Lato"/>
                <w:sz w:val="18"/>
              </w:rPr>
              <w:t>Effective bidding can include a secondary action in a custom goal.</w:t>
            </w:r>
          </w:p>
        </w:tc>
      </w:tr>
      <w:tr>
        <w:trPr>
          <w:cantSplit/>
        </w:trPr>
        <w:tc>
          <w:tcPr>
            <w:tcW w:type="dxa" w:w="2304"/>
            <w:shd w:fill="FFFFFF"/>
          </w:tcPr>
          <w:p>
            <w:pPr>
              <w:pStyle w:val="TableText"/>
              <w:keepNext w:val="0"/>
            </w:pPr>
            <w:r>
              <w:rPr>
                <w:rFonts w:ascii="Lato" w:hAnsi="Lato"/>
                <w:b/>
                <w:color w:val="163349"/>
                <w:sz w:val="18"/>
              </w:rPr>
              <w:t>Google ingestion and credentials</w:t>
            </w:r>
          </w:p>
        </w:tc>
        <w:tc>
          <w:tcPr>
            <w:tcW w:type="dxa" w:w="3528"/>
            <w:shd w:fill="FFFFFF"/>
          </w:tcPr>
          <w:p>
            <w:pPr>
              <w:pStyle w:val="TableText"/>
              <w:keepNext w:val="0"/>
            </w:pPr>
            <w:r>
              <w:rPr>
                <w:rFonts w:ascii="Lato" w:hAnsi="Lato"/>
                <w:sz w:val="18"/>
              </w:rPr>
              <w:t>16, 51, 69</w:t>
            </w:r>
          </w:p>
        </w:tc>
        <w:tc>
          <w:tcPr>
            <w:tcW w:type="dxa" w:w="3999"/>
            <w:shd w:fill="FFFFFF"/>
          </w:tcPr>
          <w:p>
            <w:pPr>
              <w:pStyle w:val="TableText"/>
              <w:keepNext w:val="0"/>
            </w:pPr>
            <w:r>
              <w:rPr>
                <w:rFonts w:ascii="Lato" w:hAnsi="Lato"/>
                <w:sz w:val="18"/>
              </w:rPr>
              <w:t>Capture current Data Manager paths and the legacy authorization transition; avoid old tutorial assumptions.</w:t>
            </w:r>
          </w:p>
        </w:tc>
      </w:tr>
      <w:tr>
        <w:trPr>
          <w:cantSplit/>
        </w:trPr>
        <w:tc>
          <w:tcPr>
            <w:tcW w:type="dxa" w:w="2304"/>
            <w:shd w:fill="F2F7FA"/>
          </w:tcPr>
          <w:p>
            <w:pPr>
              <w:pStyle w:val="TableText"/>
              <w:keepNext w:val="0"/>
            </w:pPr>
            <w:r>
              <w:rPr>
                <w:rFonts w:ascii="Lato" w:hAnsi="Lato"/>
                <w:b/>
                <w:color w:val="163349"/>
                <w:sz w:val="18"/>
              </w:rPr>
              <w:t>Search AI activation/reporting</w:t>
            </w:r>
          </w:p>
        </w:tc>
        <w:tc>
          <w:tcPr>
            <w:tcW w:type="dxa" w:w="3528"/>
            <w:shd w:fill="F2F7FA"/>
          </w:tcPr>
          <w:p>
            <w:pPr>
              <w:pStyle w:val="TableText"/>
              <w:keepNext w:val="0"/>
            </w:pPr>
            <w:r>
              <w:rPr>
                <w:rFonts w:ascii="Lato" w:hAnsi="Lato"/>
                <w:sz w:val="18"/>
              </w:rPr>
              <w:t>11, 49, 66</w:t>
            </w:r>
          </w:p>
        </w:tc>
        <w:tc>
          <w:tcPr>
            <w:tcW w:type="dxa" w:w="3999"/>
            <w:shd w:fill="F2F7FA"/>
          </w:tcPr>
          <w:p>
            <w:pPr>
              <w:pStyle w:val="TableText"/>
              <w:keepNext w:val="0"/>
            </w:pPr>
            <w:r>
              <w:rPr>
                <w:rFonts w:ascii="Lato" w:hAnsi="Lato"/>
                <w:sz w:val="18"/>
              </w:rPr>
              <w:t>Include actual account settings and newly documented aggregate reports.</w:t>
            </w:r>
          </w:p>
        </w:tc>
      </w:tr>
      <w:tr>
        <w:trPr>
          <w:cantSplit/>
        </w:trPr>
        <w:tc>
          <w:tcPr>
            <w:tcW w:type="dxa" w:w="2304"/>
            <w:shd w:fill="FFFFFF"/>
          </w:tcPr>
          <w:p>
            <w:pPr>
              <w:pStyle w:val="TableText"/>
              <w:keepNext w:val="0"/>
            </w:pPr>
            <w:r>
              <w:rPr>
                <w:rFonts w:ascii="Lato" w:hAnsi="Lato"/>
                <w:b/>
                <w:color w:val="163349"/>
                <w:sz w:val="18"/>
              </w:rPr>
              <w:t>Metadata stripping versus provenance</w:t>
            </w:r>
          </w:p>
        </w:tc>
        <w:tc>
          <w:tcPr>
            <w:tcW w:type="dxa" w:w="3528"/>
            <w:shd w:fill="FFFFFF"/>
          </w:tcPr>
          <w:p>
            <w:pPr>
              <w:pStyle w:val="TableText"/>
              <w:keepNext w:val="0"/>
            </w:pPr>
            <w:r>
              <w:rPr>
                <w:rFonts w:ascii="Lato" w:hAnsi="Lato"/>
                <w:sz w:val="18"/>
              </w:rPr>
              <w:t>08, 44, 54, 66</w:t>
            </w:r>
          </w:p>
        </w:tc>
        <w:tc>
          <w:tcPr>
            <w:tcW w:type="dxa" w:w="3999"/>
            <w:shd w:fill="FFFFFF"/>
          </w:tcPr>
          <w:p>
            <w:pPr>
              <w:pStyle w:val="TableText"/>
              <w:keepNext w:val="0"/>
            </w:pPr>
            <w:r>
              <w:rPr>
                <w:rFonts w:ascii="Lato" w:hAnsi="Lato"/>
                <w:sz w:val="18"/>
              </w:rPr>
              <w:t>Preserve destination-required AI/rights metadata while removing unnecessary private data.</w:t>
            </w:r>
          </w:p>
        </w:tc>
      </w:tr>
      <w:tr>
        <w:trPr>
          <w:cantSplit/>
        </w:trPr>
        <w:tc>
          <w:tcPr>
            <w:tcW w:type="dxa" w:w="2304"/>
            <w:shd w:fill="F2F7FA"/>
          </w:tcPr>
          <w:p>
            <w:pPr>
              <w:pStyle w:val="TableText"/>
              <w:keepNext w:val="0"/>
            </w:pPr>
            <w:r>
              <w:rPr>
                <w:rFonts w:ascii="Lato" w:hAnsi="Lato"/>
                <w:b/>
                <w:color w:val="163349"/>
                <w:sz w:val="18"/>
              </w:rPr>
              <w:t>SDK automatic enrichment</w:t>
            </w:r>
          </w:p>
        </w:tc>
        <w:tc>
          <w:tcPr>
            <w:tcW w:type="dxa" w:w="3528"/>
            <w:shd w:fill="F2F7FA"/>
          </w:tcPr>
          <w:p>
            <w:pPr>
              <w:pStyle w:val="TableText"/>
              <w:keepNext w:val="0"/>
            </w:pPr>
            <w:r>
              <w:rPr>
                <w:rFonts w:ascii="Lato" w:hAnsi="Lato"/>
                <w:sz w:val="18"/>
              </w:rPr>
              <w:t>13, 16, 52, 69</w:t>
            </w:r>
          </w:p>
        </w:tc>
        <w:tc>
          <w:tcPr>
            <w:tcW w:type="dxa" w:w="3999"/>
            <w:shd w:fill="F2F7FA"/>
          </w:tcPr>
          <w:p>
            <w:pPr>
              <w:pStyle w:val="TableText"/>
              <w:keepNext w:val="0"/>
            </w:pPr>
            <w:r>
              <w:rPr>
                <w:rFonts w:ascii="Lato" w:hAnsi="Lato"/>
                <w:sz w:val="18"/>
              </w:rPr>
              <w:t>Validate the transmitted serialized payload, not only the pre-SDK object.</w:t>
            </w:r>
          </w:p>
        </w:tc>
      </w:tr>
      <w:tr>
        <w:trPr>
          <w:cantSplit/>
        </w:trPr>
        <w:tc>
          <w:tcPr>
            <w:tcW w:type="dxa" w:w="2304"/>
            <w:shd w:fill="FFFFFF"/>
          </w:tcPr>
          <w:p>
            <w:pPr>
              <w:pStyle w:val="TableText"/>
              <w:keepNext w:val="0"/>
            </w:pPr>
            <w:r>
              <w:rPr>
                <w:rFonts w:ascii="Lato" w:hAnsi="Lato"/>
                <w:b/>
                <w:color w:val="163349"/>
                <w:sz w:val="18"/>
              </w:rPr>
              <w:t>Browser lifecycle</w:t>
            </w:r>
          </w:p>
        </w:tc>
        <w:tc>
          <w:tcPr>
            <w:tcW w:type="dxa" w:w="3528"/>
            <w:shd w:fill="FFFFFF"/>
          </w:tcPr>
          <w:p>
            <w:pPr>
              <w:pStyle w:val="TableText"/>
              <w:keepNext w:val="0"/>
            </w:pPr>
            <w:r>
              <w:rPr>
                <w:rFonts w:ascii="Lato" w:hAnsi="Lato"/>
                <w:sz w:val="18"/>
              </w:rPr>
              <w:t>06, 15, 34, 72</w:t>
            </w:r>
          </w:p>
        </w:tc>
        <w:tc>
          <w:tcPr>
            <w:tcW w:type="dxa" w:w="3999"/>
            <w:shd w:fill="FFFFFF"/>
          </w:tcPr>
          <w:p>
            <w:pPr>
              <w:pStyle w:val="TableText"/>
              <w:keepNext w:val="0"/>
            </w:pPr>
            <w:r>
              <w:rPr>
                <w:rFonts w:ascii="Lato" w:hAnsi="Lato"/>
                <w:sz w:val="18"/>
              </w:rPr>
              <w:t>Restored/prerendered/hidden pages require explicit measurement and privacy behavior.</w:t>
            </w:r>
          </w:p>
        </w:tc>
      </w:tr>
      <w:tr>
        <w:trPr>
          <w:cantSplit/>
        </w:trPr>
        <w:tc>
          <w:tcPr>
            <w:tcW w:type="dxa" w:w="2304"/>
            <w:shd w:fill="F2F7FA"/>
          </w:tcPr>
          <w:p>
            <w:pPr>
              <w:pStyle w:val="TableText"/>
              <w:keepNext w:val="0"/>
            </w:pPr>
            <w:r>
              <w:rPr>
                <w:rFonts w:ascii="Lato" w:hAnsi="Lato"/>
                <w:b/>
                <w:color w:val="163349"/>
                <w:sz w:val="18"/>
              </w:rPr>
              <w:t>Authoritative final acceptance</w:t>
            </w:r>
          </w:p>
        </w:tc>
        <w:tc>
          <w:tcPr>
            <w:tcW w:type="dxa" w:w="3528"/>
            <w:shd w:fill="F2F7FA"/>
          </w:tcPr>
          <w:p>
            <w:pPr>
              <w:pStyle w:val="TableText"/>
              <w:keepNext w:val="0"/>
            </w:pPr>
            <w:r>
              <w:rPr>
                <w:rFonts w:ascii="Lato" w:hAnsi="Lato"/>
                <w:sz w:val="18"/>
              </w:rPr>
              <w:t>30, 64, 78, Appendix P</w:t>
            </w:r>
          </w:p>
        </w:tc>
        <w:tc>
          <w:tcPr>
            <w:tcW w:type="dxa" w:w="3999"/>
            <w:shd w:fill="F2F7FA"/>
          </w:tcPr>
          <w:p>
            <w:pPr>
              <w:pStyle w:val="TableText"/>
              <w:keepNext w:val="0"/>
            </w:pPr>
            <w:r>
              <w:rPr>
                <w:rFonts w:ascii="Lato" w:hAnsi="Lato"/>
                <w:sz w:val="18"/>
              </w:rPr>
              <w:t>Separate specification, implementation, activation and evidence; no blank requirement passes.</w:t>
            </w:r>
          </w:p>
        </w:tc>
      </w:tr>
    </w:tbl>
    <w:p>
      <w:pPr>
        <w:spacing w:after="40"/>
      </w:pPr>
      <w:r/>
    </w:p>
    <w:p>
      <w:pPr>
        <w:pStyle w:val="Heading2"/>
        <w:keepNext/>
      </w:pPr>
      <w:r>
        <w:t>M.5 Research and implementation boundaries</w:t>
      </w:r>
    </w:p>
    <w:p>
      <w:r>
        <w:t>The new engineering workflows, defaults, schemas and test scenarios are proposed requirements for implementation. They are not statements that a website, customer account, legal jurisdiction or external provider was tested. Official public documentation was consulted for the final high-impact search, Google Ads, SDK, browser and standard changes. The Meta SDK source is an implementation reference from a mutable branch; actual projects must pin and test the chosen released version. Public Meta auction help was visible through search material, while full account-specific documentation remained restricted; record authenticated verification before activation.</w:t>
      </w:r>
    </w:p>
    <w:p>
      <w:r>
        <w:t>The inherited references were preserved, not all revalidated line by line worldwide. Qualified legal review and actual account-level diagnostics remain project work. These are clearly assigned evidence tasks, not hidden omissions or permission to fabricate a completed integration.</w:t>
      </w:r>
    </w:p>
    <w:p>
      <w:pPr>
        <w:pStyle w:val="Heading1"/>
        <w:keepNext/>
      </w:pPr>
      <w:r>
        <w:t>Appendix N | Final cross-system acceptance scenarios</w:t>
      </w:r>
      <w:bookmarkStart w:id="524" w:name="final_Appendix_N___Final_cross_system"/>
      <w:bookmarkEnd w:id="524"/>
      <w:bookmarkStart w:id="642" w:name="tocfinal_app_N"/>
      <w:bookmarkEnd w:id="642"/>
    </w:p>
    <w:p>
      <w:pPr>
        <w:pStyle w:val="Heading2"/>
        <w:keepNext/>
      </w:pPr>
      <w:r>
        <w:t>N.1 Execution contract</w:t>
      </w:r>
    </w:p>
    <w:p>
      <w:r>
        <w:t>Execute these 104 additional scenarios alongside the inherited Chapter 30 and Appendices B, G and I cases. Each row specifies a setup/action and expected evidence. Record environment, site/account, build/configuration, test owner, execution date, result and restricted evidence link. Default result is NOT EXECUTED. A scenario becomes Not Applicable only through a reasoned scope decision; required growth capability cannot be omitted merely because implementation is difficult.</w:t>
      </w:r>
    </w:p>
    <w:p>
      <w:r>
        <w:t>Use synthetic identities and isolated recipients/destinations. The following register is a specification, not a report of tests already performed. Security-sensitive traces must remain access-controlled. Provider acceptance, matching, attribution and business success are tested separately.</w:t>
      </w:r>
    </w:p>
    <w:p>
      <w:pPr>
        <w:pStyle w:val="Heading2"/>
        <w:keepNext/>
      </w:pPr>
      <w:r>
        <w:t>N.1 66 — Search surfaces and media provenance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FIN-66-01</w:t>
            </w:r>
          </w:p>
        </w:tc>
        <w:tc>
          <w:tcPr>
            <w:tcW w:type="dxa" w:w="3960"/>
            <w:shd w:fill="F2F7FA"/>
          </w:tcPr>
          <w:p>
            <w:pPr>
              <w:pStyle w:val="TableText"/>
              <w:keepNext w:val="0"/>
            </w:pPr>
            <w:r>
              <w:rPr>
                <w:rFonts w:ascii="Lato" w:hAnsi="Lato"/>
                <w:sz w:val="18"/>
              </w:rPr>
              <w:t>Enable the relevant generative-search setting in an authorized test property, then change it.</w:t>
            </w:r>
          </w:p>
        </w:tc>
        <w:tc>
          <w:tcPr>
            <w:tcW w:type="dxa" w:w="4647"/>
            <w:shd w:fill="F2F7FA"/>
          </w:tcPr>
          <w:p>
            <w:pPr>
              <w:pStyle w:val="TableText"/>
              <w:keepNext w:val="0"/>
            </w:pPr>
            <w:r>
              <w:rPr>
                <w:rFonts w:ascii="Lato" w:hAnsi="Lato"/>
                <w:sz w:val="18"/>
              </w:rPr>
              <w:t>Settings revision, owner and eligibility check update; ordinary page accessibility remains independent.</w:t>
            </w:r>
          </w:p>
        </w:tc>
      </w:tr>
      <w:tr>
        <w:trPr>
          <w:cantSplit/>
        </w:trPr>
        <w:tc>
          <w:tcPr>
            <w:tcW w:type="dxa" w:w="1224"/>
            <w:shd w:fill="FFFFFF"/>
          </w:tcPr>
          <w:p>
            <w:pPr>
              <w:pStyle w:val="TableText"/>
              <w:keepNext w:val="0"/>
            </w:pPr>
            <w:r>
              <w:rPr>
                <w:rFonts w:ascii="Lato" w:hAnsi="Lato"/>
                <w:b/>
                <w:color w:val="163349"/>
                <w:sz w:val="18"/>
              </w:rPr>
              <w:t>FIN-66-02</w:t>
            </w:r>
          </w:p>
        </w:tc>
        <w:tc>
          <w:tcPr>
            <w:tcW w:type="dxa" w:w="3960"/>
            <w:shd w:fill="FFFFFF"/>
          </w:tcPr>
          <w:p>
            <w:pPr>
              <w:pStyle w:val="TableText"/>
              <w:keepNext w:val="0"/>
            </w:pPr>
            <w:r>
              <w:rPr>
                <w:rFonts w:ascii="Lato" w:hAnsi="Lato"/>
                <w:sz w:val="18"/>
              </w:rPr>
              <w:t>Open a property with insufficient generative-report data.</w:t>
            </w:r>
          </w:p>
        </w:tc>
        <w:tc>
          <w:tcPr>
            <w:tcW w:type="dxa" w:w="4647"/>
            <w:shd w:fill="FFFFFF"/>
          </w:tcPr>
          <w:p>
            <w:pPr>
              <w:pStyle w:val="TableText"/>
              <w:keepNext w:val="0"/>
            </w:pPr>
            <w:r>
              <w:rPr>
                <w:rFonts w:ascii="Lato" w:hAnsi="Lato"/>
                <w:sz w:val="18"/>
              </w:rPr>
              <w:t>Dashboard shows unavailable/insufficient evidence, not zero demand or a fabricated impression count.</w:t>
            </w:r>
          </w:p>
        </w:tc>
      </w:tr>
      <w:tr>
        <w:trPr>
          <w:cantSplit/>
        </w:trPr>
        <w:tc>
          <w:tcPr>
            <w:tcW w:type="dxa" w:w="1224"/>
            <w:shd w:fill="F2F7FA"/>
          </w:tcPr>
          <w:p>
            <w:pPr>
              <w:pStyle w:val="TableText"/>
              <w:keepNext w:val="0"/>
            </w:pPr>
            <w:r>
              <w:rPr>
                <w:rFonts w:ascii="Lato" w:hAnsi="Lato"/>
                <w:b/>
                <w:color w:val="163349"/>
                <w:sz w:val="18"/>
              </w:rPr>
              <w:t>FIN-66-03</w:t>
            </w:r>
          </w:p>
        </w:tc>
        <w:tc>
          <w:tcPr>
            <w:tcW w:type="dxa" w:w="3960"/>
            <w:shd w:fill="F2F7FA"/>
          </w:tcPr>
          <w:p>
            <w:pPr>
              <w:pStyle w:val="TableText"/>
              <w:keepNext w:val="0"/>
            </w:pPr>
            <w:r>
              <w:rPr>
                <w:rFonts w:ascii="Lato" w:hAnsi="Lato"/>
                <w:sz w:val="18"/>
              </w:rPr>
              <w:t>Import a provider report with canonical URLs and Pacific-time dates.</w:t>
            </w:r>
          </w:p>
        </w:tc>
        <w:tc>
          <w:tcPr>
            <w:tcW w:type="dxa" w:w="4647"/>
            <w:shd w:fill="F2F7FA"/>
          </w:tcPr>
          <w:p>
            <w:pPr>
              <w:pStyle w:val="TableText"/>
              <w:keepNext w:val="0"/>
            </w:pPr>
            <w:r>
              <w:rPr>
                <w:rFonts w:ascii="Lato" w:hAnsi="Lato"/>
                <w:sz w:val="18"/>
              </w:rPr>
              <w:t>Original dimensions/timezone persist; conversion joins use declared boundaries without shifting dates silently.</w:t>
            </w:r>
          </w:p>
        </w:tc>
      </w:tr>
      <w:tr>
        <w:trPr>
          <w:cantSplit/>
        </w:trPr>
        <w:tc>
          <w:tcPr>
            <w:tcW w:type="dxa" w:w="1224"/>
            <w:shd w:fill="FFFFFF"/>
          </w:tcPr>
          <w:p>
            <w:pPr>
              <w:pStyle w:val="TableText"/>
              <w:keepNext w:val="0"/>
            </w:pPr>
            <w:r>
              <w:rPr>
                <w:rFonts w:ascii="Lato" w:hAnsi="Lato"/>
                <w:b/>
                <w:color w:val="163349"/>
                <w:sz w:val="18"/>
              </w:rPr>
              <w:t>FIN-66-04</w:t>
            </w:r>
          </w:p>
        </w:tc>
        <w:tc>
          <w:tcPr>
            <w:tcW w:type="dxa" w:w="3960"/>
            <w:shd w:fill="FFFFFF"/>
          </w:tcPr>
          <w:p>
            <w:pPr>
              <w:pStyle w:val="TableText"/>
              <w:keepNext w:val="0"/>
            </w:pPr>
            <w:r>
              <w:rPr>
                <w:rFonts w:ascii="Lato" w:hAnsi="Lato"/>
                <w:sz w:val="18"/>
              </w:rPr>
              <w:t>Configure a preferred-source link for a blog subdirectory.</w:t>
            </w:r>
          </w:p>
        </w:tc>
        <w:tc>
          <w:tcPr>
            <w:tcW w:type="dxa" w:w="4647"/>
            <w:shd w:fill="FFFFFF"/>
          </w:tcPr>
          <w:p>
            <w:pPr>
              <w:pStyle w:val="TableText"/>
              <w:keepNext w:val="0"/>
            </w:pPr>
            <w:r>
              <w:rPr>
                <w:rFonts w:ascii="Lato" w:hAnsi="Lato"/>
                <w:sz w:val="18"/>
              </w:rPr>
              <w:t>Validation requires an eligible source identity and actual provider check; no unsupported badge promise.</w:t>
            </w:r>
          </w:p>
        </w:tc>
      </w:tr>
      <w:tr>
        <w:trPr>
          <w:cantSplit/>
        </w:trPr>
        <w:tc>
          <w:tcPr>
            <w:tcW w:type="dxa" w:w="1224"/>
            <w:shd w:fill="F2F7FA"/>
          </w:tcPr>
          <w:p>
            <w:pPr>
              <w:pStyle w:val="TableText"/>
              <w:keepNext w:val="0"/>
            </w:pPr>
            <w:r>
              <w:rPr>
                <w:rFonts w:ascii="Lato" w:hAnsi="Lato"/>
                <w:b/>
                <w:color w:val="163349"/>
                <w:sz w:val="18"/>
              </w:rPr>
              <w:t>FIN-66-05</w:t>
            </w:r>
          </w:p>
        </w:tc>
        <w:tc>
          <w:tcPr>
            <w:tcW w:type="dxa" w:w="3960"/>
            <w:shd w:fill="F2F7FA"/>
          </w:tcPr>
          <w:p>
            <w:pPr>
              <w:pStyle w:val="TableText"/>
              <w:keepNext w:val="0"/>
            </w:pPr>
            <w:r>
              <w:rPr>
                <w:rFonts w:ascii="Lato" w:hAnsi="Lato"/>
                <w:sz w:val="18"/>
              </w:rPr>
              <w:t>Select an unsupported region/business category for a specialized search unit.</w:t>
            </w:r>
          </w:p>
        </w:tc>
        <w:tc>
          <w:tcPr>
            <w:tcW w:type="dxa" w:w="4647"/>
            <w:shd w:fill="F2F7FA"/>
          </w:tcPr>
          <w:p>
            <w:pPr>
              <w:pStyle w:val="TableText"/>
              <w:keepNext w:val="0"/>
            </w:pPr>
            <w:r>
              <w:rPr>
                <w:rFonts w:ascii="Lato" w:hAnsi="Lato"/>
                <w:sz w:val="18"/>
              </w:rPr>
              <w:t>Feature remains ineligible with an explanation; no false business address or schema is generated.</w:t>
            </w:r>
          </w:p>
        </w:tc>
      </w:tr>
      <w:tr>
        <w:trPr>
          <w:cantSplit/>
        </w:trPr>
        <w:tc>
          <w:tcPr>
            <w:tcW w:type="dxa" w:w="1224"/>
            <w:shd w:fill="FFFFFF"/>
          </w:tcPr>
          <w:p>
            <w:pPr>
              <w:pStyle w:val="TableText"/>
              <w:keepNext w:val="0"/>
            </w:pPr>
            <w:r>
              <w:rPr>
                <w:rFonts w:ascii="Lato" w:hAnsi="Lato"/>
                <w:b/>
                <w:color w:val="163349"/>
                <w:sz w:val="18"/>
              </w:rPr>
              <w:t>FIN-66-06</w:t>
            </w:r>
          </w:p>
        </w:tc>
        <w:tc>
          <w:tcPr>
            <w:tcW w:type="dxa" w:w="3960"/>
            <w:shd w:fill="FFFFFF"/>
          </w:tcPr>
          <w:p>
            <w:pPr>
              <w:pStyle w:val="TableText"/>
              <w:keepNext w:val="0"/>
            </w:pPr>
            <w:r>
              <w:rPr>
                <w:rFonts w:ascii="Lato" w:hAnsi="Lato"/>
                <w:sz w:val="18"/>
              </w:rPr>
              <w:t>Transform an AI-generated product image containing private EXIF and required provenance.</w:t>
            </w:r>
          </w:p>
        </w:tc>
        <w:tc>
          <w:tcPr>
            <w:tcW w:type="dxa" w:w="4647"/>
            <w:shd w:fill="FFFFFF"/>
          </w:tcPr>
          <w:p>
            <w:pPr>
              <w:pStyle w:val="TableText"/>
              <w:keepNext w:val="0"/>
            </w:pPr>
            <w:r>
              <w:rPr>
                <w:rFonts w:ascii="Lato" w:hAnsi="Lato"/>
                <w:sz w:val="18"/>
              </w:rPr>
              <w:t>Private fields are removed and required provenance survives in the exported derivative; rights manifest retained.</w:t>
            </w:r>
          </w:p>
        </w:tc>
      </w:tr>
      <w:tr>
        <w:trPr>
          <w:cantSplit/>
        </w:trPr>
        <w:tc>
          <w:tcPr>
            <w:tcW w:type="dxa" w:w="1224"/>
            <w:shd w:fill="F2F7FA"/>
          </w:tcPr>
          <w:p>
            <w:pPr>
              <w:pStyle w:val="TableText"/>
              <w:keepNext w:val="0"/>
            </w:pPr>
            <w:r>
              <w:rPr>
                <w:rFonts w:ascii="Lato" w:hAnsi="Lato"/>
                <w:b/>
                <w:color w:val="163349"/>
                <w:sz w:val="18"/>
              </w:rPr>
              <w:t>FIN-66-07</w:t>
            </w:r>
          </w:p>
        </w:tc>
        <w:tc>
          <w:tcPr>
            <w:tcW w:type="dxa" w:w="3960"/>
            <w:shd w:fill="F2F7FA"/>
          </w:tcPr>
          <w:p>
            <w:pPr>
              <w:pStyle w:val="TableText"/>
              <w:keepNext w:val="0"/>
            </w:pPr>
            <w:r>
              <w:rPr>
                <w:rFonts w:ascii="Lato" w:hAnsi="Lato"/>
                <w:sz w:val="18"/>
              </w:rPr>
              <w:t>Submit a changed URL to a selected IndexNow adapter with a wrong ownership key.</w:t>
            </w:r>
          </w:p>
        </w:tc>
        <w:tc>
          <w:tcPr>
            <w:tcW w:type="dxa" w:w="4647"/>
            <w:shd w:fill="F2F7FA"/>
          </w:tcPr>
          <w:p>
            <w:pPr>
              <w:pStyle w:val="TableText"/>
              <w:keepNext w:val="0"/>
            </w:pPr>
            <w:r>
              <w:rPr>
                <w:rFonts w:ascii="Lato" w:hAnsi="Lato"/>
                <w:sz w:val="18"/>
              </w:rPr>
              <w:t>Failure is recorded safely; no indexing success claim or fallback to an unsupported Google indexing API.</w:t>
            </w:r>
          </w:p>
        </w:tc>
      </w:tr>
      <w:tr>
        <w:trPr>
          <w:cantSplit/>
        </w:trPr>
        <w:tc>
          <w:tcPr>
            <w:tcW w:type="dxa" w:w="1224"/>
            <w:shd w:fill="FFFFFF"/>
          </w:tcPr>
          <w:p>
            <w:pPr>
              <w:pStyle w:val="TableText"/>
              <w:keepNext w:val="0"/>
            </w:pPr>
            <w:r>
              <w:rPr>
                <w:rFonts w:ascii="Lato" w:hAnsi="Lato"/>
                <w:b/>
                <w:color w:val="163349"/>
                <w:sz w:val="18"/>
              </w:rPr>
              <w:t>FIN-66-08</w:t>
            </w:r>
          </w:p>
        </w:tc>
        <w:tc>
          <w:tcPr>
            <w:tcW w:type="dxa" w:w="3960"/>
            <w:shd w:fill="FFFFFF"/>
          </w:tcPr>
          <w:p>
            <w:pPr>
              <w:pStyle w:val="TableText"/>
              <w:keepNext w:val="0"/>
            </w:pPr>
            <w:r>
              <w:rPr>
                <w:rFonts w:ascii="Lato" w:hAnsi="Lato"/>
                <w:sz w:val="18"/>
              </w:rPr>
              <w:t>Use an automated browser/agent to attempt a consequential action without authorization.</w:t>
            </w:r>
          </w:p>
        </w:tc>
        <w:tc>
          <w:tcPr>
            <w:tcW w:type="dxa" w:w="4647"/>
            <w:shd w:fill="FFFFFF"/>
          </w:tcPr>
          <w:p>
            <w:pPr>
              <w:pStyle w:val="TableText"/>
              <w:keepNext w:val="0"/>
            </w:pPr>
            <w:r>
              <w:rPr>
                <w:rFonts w:ascii="Lato" w:hAnsi="Lato"/>
                <w:sz w:val="18"/>
              </w:rPr>
              <w:t>The ordinary business permission and confirmation rules apply; no agent-only bypass exists.</w:t>
            </w:r>
          </w:p>
        </w:tc>
      </w:tr>
    </w:tbl>
    <w:p>
      <w:pPr>
        <w:spacing w:after="40"/>
      </w:pPr>
      <w:r/>
    </w:p>
    <w:p>
      <w:pPr>
        <w:pStyle w:val="Heading2"/>
        <w:keepNext/>
      </w:pPr>
      <w:r>
        <w:t>N.2 67 — Google campaign and bidding controls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FIN-67-01</w:t>
            </w:r>
          </w:p>
        </w:tc>
        <w:tc>
          <w:tcPr>
            <w:tcW w:type="dxa" w:w="3960"/>
            <w:shd w:fill="F2F7FA"/>
          </w:tcPr>
          <w:p>
            <w:pPr>
              <w:pStyle w:val="TableText"/>
              <w:keepNext w:val="0"/>
            </w:pPr>
            <w:r>
              <w:rPr>
                <w:rFonts w:ascii="Lato" w:hAnsi="Lato"/>
                <w:sz w:val="18"/>
              </w:rPr>
              <w:t>A secondary download conversion is included in a campaign custom goal.</w:t>
            </w:r>
          </w:p>
        </w:tc>
        <w:tc>
          <w:tcPr>
            <w:tcW w:type="dxa" w:w="4647"/>
            <w:shd w:fill="F2F7FA"/>
          </w:tcPr>
          <w:p>
            <w:pPr>
              <w:pStyle w:val="TableText"/>
              <w:keepNext w:val="0"/>
            </w:pPr>
            <w:r>
              <w:rPr>
                <w:rFonts w:ascii="Lato" w:hAnsi="Lato"/>
                <w:sz w:val="18"/>
              </w:rPr>
              <w:t>Effective-goal review flags its bidding use despite the secondary label; activation is blocked pending correction.</w:t>
            </w:r>
          </w:p>
        </w:tc>
      </w:tr>
      <w:tr>
        <w:trPr>
          <w:cantSplit/>
        </w:trPr>
        <w:tc>
          <w:tcPr>
            <w:tcW w:type="dxa" w:w="1224"/>
            <w:shd w:fill="FFFFFF"/>
          </w:tcPr>
          <w:p>
            <w:pPr>
              <w:pStyle w:val="TableText"/>
              <w:keepNext w:val="0"/>
            </w:pPr>
            <w:r>
              <w:rPr>
                <w:rFonts w:ascii="Lato" w:hAnsi="Lato"/>
                <w:b/>
                <w:color w:val="163349"/>
                <w:sz w:val="18"/>
              </w:rPr>
              <w:t>FIN-67-02</w:t>
            </w:r>
          </w:p>
        </w:tc>
        <w:tc>
          <w:tcPr>
            <w:tcW w:type="dxa" w:w="3960"/>
            <w:shd w:fill="FFFFFF"/>
          </w:tcPr>
          <w:p>
            <w:pPr>
              <w:pStyle w:val="TableText"/>
              <w:keepNext w:val="0"/>
            </w:pPr>
            <w:r>
              <w:rPr>
                <w:rFonts w:ascii="Lato" w:hAnsi="Lato"/>
                <w:sz w:val="18"/>
              </w:rPr>
              <w:t>A campaign inherits an account-default goal changed by another operator.</w:t>
            </w:r>
          </w:p>
        </w:tc>
        <w:tc>
          <w:tcPr>
            <w:tcW w:type="dxa" w:w="4647"/>
            <w:shd w:fill="FFFFFF"/>
          </w:tcPr>
          <w:p>
            <w:pPr>
              <w:pStyle w:val="TableText"/>
              <w:keepNext w:val="0"/>
            </w:pPr>
            <w:r>
              <w:rPr>
                <w:rFonts w:ascii="Lato" w:hAnsi="Lato"/>
                <w:sz w:val="18"/>
              </w:rPr>
              <w:t>Goal snapshot drift alerts the owner and displays the effective action set, not only the local campaign draft.</w:t>
            </w:r>
          </w:p>
        </w:tc>
      </w:tr>
      <w:tr>
        <w:trPr>
          <w:cantSplit/>
        </w:trPr>
        <w:tc>
          <w:tcPr>
            <w:tcW w:type="dxa" w:w="1224"/>
            <w:shd w:fill="F2F7FA"/>
          </w:tcPr>
          <w:p>
            <w:pPr>
              <w:pStyle w:val="TableText"/>
              <w:keepNext w:val="0"/>
            </w:pPr>
            <w:r>
              <w:rPr>
                <w:rFonts w:ascii="Lato" w:hAnsi="Lato"/>
                <w:b/>
                <w:color w:val="163349"/>
                <w:sz w:val="18"/>
              </w:rPr>
              <w:t>FIN-67-03</w:t>
            </w:r>
          </w:p>
        </w:tc>
        <w:tc>
          <w:tcPr>
            <w:tcW w:type="dxa" w:w="3960"/>
            <w:shd w:fill="F2F7FA"/>
          </w:tcPr>
          <w:p>
            <w:pPr>
              <w:pStyle w:val="TableText"/>
              <w:keepNext w:val="0"/>
            </w:pPr>
            <w:r>
              <w:rPr>
                <w:rFonts w:ascii="Lato" w:hAnsi="Lato"/>
                <w:sz w:val="18"/>
              </w:rPr>
              <w:t>Choose absolute-top visibility with a low bid cap.</w:t>
            </w:r>
          </w:p>
        </w:tc>
        <w:tc>
          <w:tcPr>
            <w:tcW w:type="dxa" w:w="4647"/>
            <w:shd w:fill="F2F7FA"/>
          </w:tcPr>
          <w:p>
            <w:pPr>
              <w:pStyle w:val="TableText"/>
              <w:keepNext w:val="0"/>
            </w:pPr>
            <w:r>
              <w:rPr>
                <w:rFonts w:ascii="Lato" w:hAnsi="Lato"/>
                <w:sz w:val="18"/>
              </w:rPr>
              <w:t>UI separates the requested visibility target from observed delivery and economics; no guaranteed top-position badge.</w:t>
            </w:r>
          </w:p>
        </w:tc>
      </w:tr>
      <w:tr>
        <w:trPr>
          <w:cantSplit/>
        </w:trPr>
        <w:tc>
          <w:tcPr>
            <w:tcW w:type="dxa" w:w="1224"/>
            <w:shd w:fill="FFFFFF"/>
          </w:tcPr>
          <w:p>
            <w:pPr>
              <w:pStyle w:val="TableText"/>
              <w:keepNext w:val="0"/>
            </w:pPr>
            <w:r>
              <w:rPr>
                <w:rFonts w:ascii="Lato" w:hAnsi="Lato"/>
                <w:b/>
                <w:color w:val="163349"/>
                <w:sz w:val="18"/>
              </w:rPr>
              <w:t>FIN-67-04</w:t>
            </w:r>
          </w:p>
        </w:tc>
        <w:tc>
          <w:tcPr>
            <w:tcW w:type="dxa" w:w="3960"/>
            <w:shd w:fill="FFFFFF"/>
          </w:tcPr>
          <w:p>
            <w:pPr>
              <w:pStyle w:val="TableText"/>
              <w:keepNext w:val="0"/>
            </w:pPr>
            <w:r>
              <w:rPr>
                <w:rFonts w:ascii="Lato" w:hAnsi="Lato"/>
                <w:sz w:val="18"/>
              </w:rPr>
              <w:t>Add an account-level negative keyword that conflicts with an intended offer.</w:t>
            </w:r>
          </w:p>
        </w:tc>
        <w:tc>
          <w:tcPr>
            <w:tcW w:type="dxa" w:w="4647"/>
            <w:shd w:fill="FFFFFF"/>
          </w:tcPr>
          <w:p>
            <w:pPr>
              <w:pStyle w:val="TableText"/>
              <w:keepNext w:val="0"/>
            </w:pPr>
            <w:r>
              <w:rPr>
                <w:rFonts w:ascii="Lato" w:hAnsi="Lato"/>
                <w:sz w:val="18"/>
              </w:rPr>
              <w:t>Impact preview identifies affected campaign intent and requires approved correction.</w:t>
            </w:r>
          </w:p>
        </w:tc>
      </w:tr>
      <w:tr>
        <w:trPr>
          <w:cantSplit/>
        </w:trPr>
        <w:tc>
          <w:tcPr>
            <w:tcW w:type="dxa" w:w="1224"/>
            <w:shd w:fill="F2F7FA"/>
          </w:tcPr>
          <w:p>
            <w:pPr>
              <w:pStyle w:val="TableText"/>
              <w:keepNext w:val="0"/>
            </w:pPr>
            <w:r>
              <w:rPr>
                <w:rFonts w:ascii="Lato" w:hAnsi="Lato"/>
                <w:b/>
                <w:color w:val="163349"/>
                <w:sz w:val="18"/>
              </w:rPr>
              <w:t>FIN-67-05</w:t>
            </w:r>
          </w:p>
        </w:tc>
        <w:tc>
          <w:tcPr>
            <w:tcW w:type="dxa" w:w="3960"/>
            <w:shd w:fill="F2F7FA"/>
          </w:tcPr>
          <w:p>
            <w:pPr>
              <w:pStyle w:val="TableText"/>
              <w:keepNext w:val="0"/>
            </w:pPr>
            <w:r>
              <w:rPr>
                <w:rFonts w:ascii="Lato" w:hAnsi="Lato"/>
                <w:sz w:val="18"/>
              </w:rPr>
              <w:t>Enable automated URL expansion that includes a private or retired route.</w:t>
            </w:r>
          </w:p>
        </w:tc>
        <w:tc>
          <w:tcPr>
            <w:tcW w:type="dxa" w:w="4647"/>
            <w:shd w:fill="F2F7FA"/>
          </w:tcPr>
          <w:p>
            <w:pPr>
              <w:pStyle w:val="TableText"/>
              <w:keepNext w:val="0"/>
            </w:pPr>
            <w:r>
              <w:rPr>
                <w:rFonts w:ascii="Lato" w:hAnsi="Lato"/>
                <w:sz w:val="18"/>
              </w:rPr>
              <w:t>Preflight rejects the route set; effective remote exclusions are checked after publication.</w:t>
            </w:r>
          </w:p>
        </w:tc>
      </w:tr>
      <w:tr>
        <w:trPr>
          <w:cantSplit/>
        </w:trPr>
        <w:tc>
          <w:tcPr>
            <w:tcW w:type="dxa" w:w="1224"/>
            <w:shd w:fill="FFFFFF"/>
          </w:tcPr>
          <w:p>
            <w:pPr>
              <w:pStyle w:val="TableText"/>
              <w:keepNext w:val="0"/>
            </w:pPr>
            <w:r>
              <w:rPr>
                <w:rFonts w:ascii="Lato" w:hAnsi="Lato"/>
                <w:b/>
                <w:color w:val="163349"/>
                <w:sz w:val="18"/>
              </w:rPr>
              <w:t>FIN-67-06</w:t>
            </w:r>
          </w:p>
        </w:tc>
        <w:tc>
          <w:tcPr>
            <w:tcW w:type="dxa" w:w="3960"/>
            <w:shd w:fill="FFFFFF"/>
          </w:tcPr>
          <w:p>
            <w:pPr>
              <w:pStyle w:val="TableText"/>
              <w:keepNext w:val="0"/>
            </w:pPr>
            <w:r>
              <w:rPr>
                <w:rFonts w:ascii="Lato" w:hAnsi="Lato"/>
                <w:sz w:val="18"/>
              </w:rPr>
              <w:t>Receive late-qualified leads after the reporting period.</w:t>
            </w:r>
          </w:p>
        </w:tc>
        <w:tc>
          <w:tcPr>
            <w:tcW w:type="dxa" w:w="4647"/>
            <w:shd w:fill="FFFFFF"/>
          </w:tcPr>
          <w:p>
            <w:pPr>
              <w:pStyle w:val="TableText"/>
              <w:keepNext w:val="0"/>
            </w:pPr>
            <w:r>
              <w:rPr>
                <w:rFonts w:ascii="Lato" w:hAnsi="Lato"/>
                <w:sz w:val="18"/>
              </w:rPr>
              <w:t>Maturation/cohort rules place outcomes correctly; the report does not rewrite original click or conversion timestamps.</w:t>
            </w:r>
          </w:p>
        </w:tc>
      </w:tr>
      <w:tr>
        <w:trPr>
          <w:cantSplit/>
        </w:trPr>
        <w:tc>
          <w:tcPr>
            <w:tcW w:type="dxa" w:w="1224"/>
            <w:shd w:fill="F2F7FA"/>
          </w:tcPr>
          <w:p>
            <w:pPr>
              <w:pStyle w:val="TableText"/>
              <w:keepNext w:val="0"/>
            </w:pPr>
            <w:r>
              <w:rPr>
                <w:rFonts w:ascii="Lato" w:hAnsi="Lato"/>
                <w:b/>
                <w:color w:val="163349"/>
                <w:sz w:val="18"/>
              </w:rPr>
              <w:t>FIN-67-07</w:t>
            </w:r>
          </w:p>
        </w:tc>
        <w:tc>
          <w:tcPr>
            <w:tcW w:type="dxa" w:w="3960"/>
            <w:shd w:fill="F2F7FA"/>
          </w:tcPr>
          <w:p>
            <w:pPr>
              <w:pStyle w:val="TableText"/>
              <w:keepNext w:val="0"/>
            </w:pPr>
            <w:r>
              <w:rPr>
                <w:rFonts w:ascii="Lato" w:hAnsi="Lato"/>
                <w:sz w:val="18"/>
              </w:rPr>
              <w:t>Trigger a local budget alert while the provider's spend report is delayed.</w:t>
            </w:r>
          </w:p>
        </w:tc>
        <w:tc>
          <w:tcPr>
            <w:tcW w:type="dxa" w:w="4647"/>
            <w:shd w:fill="F2F7FA"/>
          </w:tcPr>
          <w:p>
            <w:pPr>
              <w:pStyle w:val="TableText"/>
              <w:keepNext w:val="0"/>
            </w:pPr>
            <w:r>
              <w:rPr>
                <w:rFonts w:ascii="Lato" w:hAnsi="Lato"/>
                <w:sz w:val="18"/>
              </w:rPr>
              <w:t>Alert reports observation delay and remote-state uncertainty; it is not represented as a guaranteed hard cap.</w:t>
            </w:r>
          </w:p>
        </w:tc>
      </w:tr>
      <w:tr>
        <w:trPr>
          <w:cantSplit/>
        </w:trPr>
        <w:tc>
          <w:tcPr>
            <w:tcW w:type="dxa" w:w="1224"/>
            <w:shd w:fill="FFFFFF"/>
          </w:tcPr>
          <w:p>
            <w:pPr>
              <w:pStyle w:val="TableText"/>
              <w:keepNext w:val="0"/>
            </w:pPr>
            <w:r>
              <w:rPr>
                <w:rFonts w:ascii="Lato" w:hAnsi="Lato"/>
                <w:b/>
                <w:color w:val="163349"/>
                <w:sz w:val="18"/>
              </w:rPr>
              <w:t>FIN-67-08</w:t>
            </w:r>
          </w:p>
        </w:tc>
        <w:tc>
          <w:tcPr>
            <w:tcW w:type="dxa" w:w="3960"/>
            <w:shd w:fill="FFFFFF"/>
          </w:tcPr>
          <w:p>
            <w:pPr>
              <w:pStyle w:val="TableText"/>
              <w:keepNext w:val="0"/>
            </w:pPr>
            <w:r>
              <w:rPr>
                <w:rFonts w:ascii="Lato" w:hAnsi="Lato"/>
                <w:sz w:val="18"/>
              </w:rPr>
              <w:t>Change a goal or value policy during a running test.</w:t>
            </w:r>
          </w:p>
        </w:tc>
        <w:tc>
          <w:tcPr>
            <w:tcW w:type="dxa" w:w="4647"/>
            <w:shd w:fill="FFFFFF"/>
          </w:tcPr>
          <w:p>
            <w:pPr>
              <w:pStyle w:val="TableText"/>
              <w:keepNext w:val="0"/>
            </w:pPr>
            <w:r>
              <w:rPr>
                <w:rFonts w:ascii="Lato" w:hAnsi="Lato"/>
                <w:sz w:val="18"/>
              </w:rPr>
              <w:t>Change is approved/versioned and the analysis marks the affected period; old results are not silently recomputed.</w:t>
            </w:r>
          </w:p>
        </w:tc>
      </w:tr>
    </w:tbl>
    <w:p>
      <w:pPr>
        <w:spacing w:after="40"/>
      </w:pPr>
      <w:r/>
    </w:p>
    <w:p>
      <w:pPr>
        <w:pStyle w:val="Heading2"/>
        <w:keepNext/>
      </w:pPr>
      <w:r>
        <w:t>N.3 68 — Meta creative, delivery and lead quality</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FIN-68-01</w:t>
            </w:r>
          </w:p>
        </w:tc>
        <w:tc>
          <w:tcPr>
            <w:tcW w:type="dxa" w:w="3960"/>
            <w:shd w:fill="F2F7FA"/>
          </w:tcPr>
          <w:p>
            <w:pPr>
              <w:pStyle w:val="TableText"/>
              <w:keepNext w:val="0"/>
            </w:pPr>
            <w:r>
              <w:rPr>
                <w:rFonts w:ascii="Lato" w:hAnsi="Lato"/>
                <w:sz w:val="18"/>
              </w:rPr>
              <w:t>Preview approved creative in each selected current placement and in-app browser.</w:t>
            </w:r>
          </w:p>
        </w:tc>
        <w:tc>
          <w:tcPr>
            <w:tcW w:type="dxa" w:w="4647"/>
            <w:shd w:fill="F2F7FA"/>
          </w:tcPr>
          <w:p>
            <w:pPr>
              <w:pStyle w:val="TableText"/>
              <w:keepNext w:val="0"/>
            </w:pPr>
            <w:r>
              <w:rPr>
                <w:rFonts w:ascii="Lato" w:hAnsi="Lato"/>
                <w:sz w:val="18"/>
              </w:rPr>
              <w:t>Text, disclaimers, captions and CTA remain usable; source/derivative rights and approvals are linked.</w:t>
            </w:r>
          </w:p>
        </w:tc>
      </w:tr>
      <w:tr>
        <w:trPr>
          <w:cantSplit/>
        </w:trPr>
        <w:tc>
          <w:tcPr>
            <w:tcW w:type="dxa" w:w="1224"/>
            <w:shd w:fill="FFFFFF"/>
          </w:tcPr>
          <w:p>
            <w:pPr>
              <w:pStyle w:val="TableText"/>
              <w:keepNext w:val="0"/>
            </w:pPr>
            <w:r>
              <w:rPr>
                <w:rFonts w:ascii="Lato" w:hAnsi="Lato"/>
                <w:b/>
                <w:color w:val="163349"/>
                <w:sz w:val="18"/>
              </w:rPr>
              <w:t>FIN-68-02</w:t>
            </w:r>
          </w:p>
        </w:tc>
        <w:tc>
          <w:tcPr>
            <w:tcW w:type="dxa" w:w="3960"/>
            <w:shd w:fill="FFFFFF"/>
          </w:tcPr>
          <w:p>
            <w:pPr>
              <w:pStyle w:val="TableText"/>
              <w:keepNext w:val="0"/>
            </w:pPr>
            <w:r>
              <w:rPr>
                <w:rFonts w:ascii="Lato" w:hAnsi="Lato"/>
                <w:sz w:val="18"/>
              </w:rPr>
              <w:t>An automated creative edit changes a factual offer or price.</w:t>
            </w:r>
          </w:p>
        </w:tc>
        <w:tc>
          <w:tcPr>
            <w:tcW w:type="dxa" w:w="4647"/>
            <w:shd w:fill="FFFFFF"/>
          </w:tcPr>
          <w:p>
            <w:pPr>
              <w:pStyle w:val="TableText"/>
              <w:keepNext w:val="0"/>
            </w:pPr>
            <w:r>
              <w:rPr>
                <w:rFonts w:ascii="Lato" w:hAnsi="Lato"/>
                <w:sz w:val="18"/>
              </w:rPr>
              <w:t>Changed claim fails approval; the original approved revision remains available for rollback.</w:t>
            </w:r>
          </w:p>
        </w:tc>
      </w:tr>
      <w:tr>
        <w:trPr>
          <w:cantSplit/>
        </w:trPr>
        <w:tc>
          <w:tcPr>
            <w:tcW w:type="dxa" w:w="1224"/>
            <w:shd w:fill="F2F7FA"/>
          </w:tcPr>
          <w:p>
            <w:pPr>
              <w:pStyle w:val="TableText"/>
              <w:keepNext w:val="0"/>
            </w:pPr>
            <w:r>
              <w:rPr>
                <w:rFonts w:ascii="Lato" w:hAnsi="Lato"/>
                <w:b/>
                <w:color w:val="163349"/>
                <w:sz w:val="18"/>
              </w:rPr>
              <w:t>FIN-68-03</w:t>
            </w:r>
          </w:p>
        </w:tc>
        <w:tc>
          <w:tcPr>
            <w:tcW w:type="dxa" w:w="3960"/>
            <w:shd w:fill="F2F7FA"/>
          </w:tcPr>
          <w:p>
            <w:pPr>
              <w:pStyle w:val="TableText"/>
              <w:keepNext w:val="0"/>
            </w:pPr>
            <w:r>
              <w:rPr>
                <w:rFonts w:ascii="Lato" w:hAnsi="Lato"/>
                <w:sz w:val="18"/>
              </w:rPr>
              <w:t>A campaign UI presents an audience suggestion as an input.</w:t>
            </w:r>
          </w:p>
        </w:tc>
        <w:tc>
          <w:tcPr>
            <w:tcW w:type="dxa" w:w="4647"/>
            <w:shd w:fill="F2F7FA"/>
          </w:tcPr>
          <w:p>
            <w:pPr>
              <w:pStyle w:val="TableText"/>
              <w:keepNext w:val="0"/>
            </w:pPr>
            <w:r>
              <w:rPr>
                <w:rFonts w:ascii="Lato" w:hAnsi="Lato"/>
                <w:sz w:val="18"/>
              </w:rPr>
              <w:t>The effective configuration distinguishes suggestions from enforceable controls/exclusions.</w:t>
            </w:r>
          </w:p>
        </w:tc>
      </w:tr>
      <w:tr>
        <w:trPr>
          <w:cantSplit/>
        </w:trPr>
        <w:tc>
          <w:tcPr>
            <w:tcW w:type="dxa" w:w="1224"/>
            <w:shd w:fill="FFFFFF"/>
          </w:tcPr>
          <w:p>
            <w:pPr>
              <w:pStyle w:val="TableText"/>
              <w:keepNext w:val="0"/>
            </w:pPr>
            <w:r>
              <w:rPr>
                <w:rFonts w:ascii="Lato" w:hAnsi="Lato"/>
                <w:b/>
                <w:color w:val="163349"/>
                <w:sz w:val="18"/>
              </w:rPr>
              <w:t>FIN-68-04</w:t>
            </w:r>
          </w:p>
        </w:tc>
        <w:tc>
          <w:tcPr>
            <w:tcW w:type="dxa" w:w="3960"/>
            <w:shd w:fill="FFFFFF"/>
          </w:tcPr>
          <w:p>
            <w:pPr>
              <w:pStyle w:val="TableText"/>
              <w:keepNext w:val="0"/>
            </w:pPr>
            <w:r>
              <w:rPr>
                <w:rFonts w:ascii="Lato" w:hAnsi="Lato"/>
                <w:sz w:val="18"/>
              </w:rPr>
              <w:t>Receive a native-platform lead with no website visit.</w:t>
            </w:r>
          </w:p>
        </w:tc>
        <w:tc>
          <w:tcPr>
            <w:tcW w:type="dxa" w:w="4647"/>
            <w:shd w:fill="FFFFFF"/>
          </w:tcPr>
          <w:p>
            <w:pPr>
              <w:pStyle w:val="TableText"/>
              <w:keepNext w:val="0"/>
            </w:pPr>
            <w:r>
              <w:rPr>
                <w:rFonts w:ascii="Lato" w:hAnsi="Lato"/>
                <w:sz w:val="18"/>
              </w:rPr>
              <w:t>Lead provenance stays native; no page view, website cookie or browser journey is fabricated.</w:t>
            </w:r>
          </w:p>
        </w:tc>
      </w:tr>
      <w:tr>
        <w:trPr>
          <w:cantSplit/>
        </w:trPr>
        <w:tc>
          <w:tcPr>
            <w:tcW w:type="dxa" w:w="1224"/>
            <w:shd w:fill="F2F7FA"/>
          </w:tcPr>
          <w:p>
            <w:pPr>
              <w:pStyle w:val="TableText"/>
              <w:keepNext w:val="0"/>
            </w:pPr>
            <w:r>
              <w:rPr>
                <w:rFonts w:ascii="Lato" w:hAnsi="Lato"/>
                <w:b/>
                <w:color w:val="163349"/>
                <w:sz w:val="18"/>
              </w:rPr>
              <w:t>FIN-68-05</w:t>
            </w:r>
          </w:p>
        </w:tc>
        <w:tc>
          <w:tcPr>
            <w:tcW w:type="dxa" w:w="3960"/>
            <w:shd w:fill="F2F7FA"/>
          </w:tcPr>
          <w:p>
            <w:pPr>
              <w:pStyle w:val="TableText"/>
              <w:keepNext w:val="0"/>
            </w:pPr>
            <w:r>
              <w:rPr>
                <w:rFonts w:ascii="Lato" w:hAnsi="Lato"/>
                <w:sz w:val="18"/>
              </w:rPr>
              <w:t>A click-to-message ad produces a click but no inbound message.</w:t>
            </w:r>
          </w:p>
        </w:tc>
        <w:tc>
          <w:tcPr>
            <w:tcW w:type="dxa" w:w="4647"/>
            <w:shd w:fill="F2F7FA"/>
          </w:tcPr>
          <w:p>
            <w:pPr>
              <w:pStyle w:val="TableText"/>
              <w:keepNext w:val="0"/>
            </w:pPr>
            <w:r>
              <w:rPr>
                <w:rFonts w:ascii="Lato" w:hAnsi="Lato"/>
                <w:sz w:val="18"/>
              </w:rPr>
              <w:t>Only click intent is recorded; no accepted lead or human-response SLA is asserted.</w:t>
            </w:r>
          </w:p>
        </w:tc>
      </w:tr>
      <w:tr>
        <w:trPr>
          <w:cantSplit/>
        </w:trPr>
        <w:tc>
          <w:tcPr>
            <w:tcW w:type="dxa" w:w="1224"/>
            <w:shd w:fill="FFFFFF"/>
          </w:tcPr>
          <w:p>
            <w:pPr>
              <w:pStyle w:val="TableText"/>
              <w:keepNext w:val="0"/>
            </w:pPr>
            <w:r>
              <w:rPr>
                <w:rFonts w:ascii="Lato" w:hAnsi="Lato"/>
                <w:b/>
                <w:color w:val="163349"/>
                <w:sz w:val="18"/>
              </w:rPr>
              <w:t>FIN-68-06</w:t>
            </w:r>
          </w:p>
        </w:tc>
        <w:tc>
          <w:tcPr>
            <w:tcW w:type="dxa" w:w="3960"/>
            <w:shd w:fill="FFFFFF"/>
          </w:tcPr>
          <w:p>
            <w:pPr>
              <w:pStyle w:val="TableText"/>
              <w:keepNext w:val="0"/>
            </w:pPr>
            <w:r>
              <w:rPr>
                <w:rFonts w:ascii="Lato" w:hAnsi="Lato"/>
                <w:sz w:val="18"/>
              </w:rPr>
              <w:t>A provider resends the same native lead while a person makes a second genuine enquiry.</w:t>
            </w:r>
          </w:p>
        </w:tc>
        <w:tc>
          <w:tcPr>
            <w:tcW w:type="dxa" w:w="4647"/>
            <w:shd w:fill="FFFFFF"/>
          </w:tcPr>
          <w:p>
            <w:pPr>
              <w:pStyle w:val="TableText"/>
              <w:keepNext w:val="0"/>
            </w:pPr>
            <w:r>
              <w:rPr>
                <w:rFonts w:ascii="Lato" w:hAnsi="Lato"/>
                <w:sz w:val="18"/>
              </w:rPr>
              <w:t>Retry is deduplicated by provider/action identity; the independent enquiry is preserved.</w:t>
            </w:r>
          </w:p>
        </w:tc>
      </w:tr>
      <w:tr>
        <w:trPr>
          <w:cantSplit/>
        </w:trPr>
        <w:tc>
          <w:tcPr>
            <w:tcW w:type="dxa" w:w="1224"/>
            <w:shd w:fill="F2F7FA"/>
          </w:tcPr>
          <w:p>
            <w:pPr>
              <w:pStyle w:val="TableText"/>
              <w:keepNext w:val="0"/>
            </w:pPr>
            <w:r>
              <w:rPr>
                <w:rFonts w:ascii="Lato" w:hAnsi="Lato"/>
                <w:b/>
                <w:color w:val="163349"/>
                <w:sz w:val="18"/>
              </w:rPr>
              <w:t>FIN-68-07</w:t>
            </w:r>
          </w:p>
        </w:tc>
        <w:tc>
          <w:tcPr>
            <w:tcW w:type="dxa" w:w="3960"/>
            <w:shd w:fill="F2F7FA"/>
          </w:tcPr>
          <w:p>
            <w:pPr>
              <w:pStyle w:val="TableText"/>
              <w:keepNext w:val="0"/>
            </w:pPr>
            <w:r>
              <w:rPr>
                <w:rFonts w:ascii="Lato" w:hAnsi="Lato"/>
                <w:sz w:val="18"/>
              </w:rPr>
              <w:t>An operator rejects a lead using a sensitive free-text reason.</w:t>
            </w:r>
          </w:p>
        </w:tc>
        <w:tc>
          <w:tcPr>
            <w:tcW w:type="dxa" w:w="4647"/>
            <w:shd w:fill="F2F7FA"/>
          </w:tcPr>
          <w:p>
            <w:pPr>
              <w:pStyle w:val="TableText"/>
              <w:keepNext w:val="0"/>
            </w:pPr>
            <w:r>
              <w:rPr>
                <w:rFonts w:ascii="Lato" w:hAnsi="Lato"/>
                <w:sz w:val="18"/>
              </w:rPr>
              <w:t>Protected CRM retains only justified information; advertising receives no private reason text.</w:t>
            </w:r>
          </w:p>
        </w:tc>
      </w:tr>
      <w:tr>
        <w:trPr>
          <w:cantSplit/>
        </w:trPr>
        <w:tc>
          <w:tcPr>
            <w:tcW w:type="dxa" w:w="1224"/>
            <w:shd w:fill="FFFFFF"/>
          </w:tcPr>
          <w:p>
            <w:pPr>
              <w:pStyle w:val="TableText"/>
              <w:keepNext w:val="0"/>
            </w:pPr>
            <w:r>
              <w:rPr>
                <w:rFonts w:ascii="Lato" w:hAnsi="Lato"/>
                <w:b/>
                <w:color w:val="163349"/>
                <w:sz w:val="18"/>
              </w:rPr>
              <w:t>FIN-68-08</w:t>
            </w:r>
          </w:p>
        </w:tc>
        <w:tc>
          <w:tcPr>
            <w:tcW w:type="dxa" w:w="3960"/>
            <w:shd w:fill="FFFFFF"/>
          </w:tcPr>
          <w:p>
            <w:pPr>
              <w:pStyle w:val="TableText"/>
              <w:keepNext w:val="0"/>
            </w:pPr>
            <w:r>
              <w:rPr>
                <w:rFonts w:ascii="Lato" w:hAnsi="Lato"/>
                <w:sz w:val="18"/>
              </w:rPr>
              <w:t>Pause a restricted campaign and receive delayed remote confirmation.</w:t>
            </w:r>
          </w:p>
        </w:tc>
        <w:tc>
          <w:tcPr>
            <w:tcW w:type="dxa" w:w="4647"/>
            <w:shd w:fill="FFFFFF"/>
          </w:tcPr>
          <w:p>
            <w:pPr>
              <w:pStyle w:val="TableText"/>
              <w:keepNext w:val="0"/>
            </w:pPr>
            <w:r>
              <w:rPr>
                <w:rFonts w:ascii="Lato" w:hAnsi="Lato"/>
                <w:sz w:val="18"/>
              </w:rPr>
              <w:t>Requested/pending/confirmed pause states remain distinct and spending-risk escalation is visible.</w:t>
            </w:r>
          </w:p>
        </w:tc>
      </w:tr>
    </w:tbl>
    <w:p>
      <w:pPr>
        <w:spacing w:after="40"/>
      </w:pPr>
      <w:r/>
    </w:p>
    <w:p>
      <w:pPr>
        <w:pStyle w:val="Heading2"/>
        <w:keepNext/>
      </w:pPr>
      <w:r>
        <w:t>N.4 69 — Destination contracts and final egress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FIN-69-01</w:t>
            </w:r>
          </w:p>
        </w:tc>
        <w:tc>
          <w:tcPr>
            <w:tcW w:type="dxa" w:w="3960"/>
            <w:shd w:fill="F2F7FA"/>
          </w:tcPr>
          <w:p>
            <w:pPr>
              <w:pStyle w:val="TableText"/>
              <w:keepNext w:val="0"/>
            </w:pPr>
            <w:r>
              <w:rPr>
                <w:rFonts w:ascii="Lato" w:hAnsi="Lato"/>
                <w:sz w:val="18"/>
              </w:rPr>
              <w:t>Serialize a safe event using an SDK configured to auto-extract HTTP request context.</w:t>
            </w:r>
          </w:p>
        </w:tc>
        <w:tc>
          <w:tcPr>
            <w:tcW w:type="dxa" w:w="4647"/>
            <w:shd w:fill="F2F7FA"/>
          </w:tcPr>
          <w:p>
            <w:pPr>
              <w:pStyle w:val="TableText"/>
              <w:keepNext w:val="0"/>
            </w:pPr>
            <w:r>
              <w:rPr>
                <w:rFonts w:ascii="Lato" w:hAnsi="Lato"/>
                <w:sz w:val="18"/>
              </w:rPr>
              <w:t>Final allowlist rejects any reintroduced IP, URL, referrer or click field outside the approved projection.</w:t>
            </w:r>
          </w:p>
        </w:tc>
      </w:tr>
      <w:tr>
        <w:trPr>
          <w:cantSplit/>
        </w:trPr>
        <w:tc>
          <w:tcPr>
            <w:tcW w:type="dxa" w:w="1224"/>
            <w:shd w:fill="FFFFFF"/>
          </w:tcPr>
          <w:p>
            <w:pPr>
              <w:pStyle w:val="TableText"/>
              <w:keepNext w:val="0"/>
            </w:pPr>
            <w:r>
              <w:rPr>
                <w:rFonts w:ascii="Lato" w:hAnsi="Lato"/>
                <w:b/>
                <w:color w:val="163349"/>
                <w:sz w:val="18"/>
              </w:rPr>
              <w:t>FIN-69-02</w:t>
            </w:r>
          </w:p>
        </w:tc>
        <w:tc>
          <w:tcPr>
            <w:tcW w:type="dxa" w:w="3960"/>
            <w:shd w:fill="FFFFFF"/>
          </w:tcPr>
          <w:p>
            <w:pPr>
              <w:pStyle w:val="TableText"/>
              <w:keepNext w:val="0"/>
            </w:pPr>
            <w:r>
              <w:rPr>
                <w:rFonts w:ascii="Lato" w:hAnsi="Lato"/>
                <w:sz w:val="18"/>
              </w:rPr>
              <w:t>Set a provider opt-out flag while the site's dispatch decision is no-send.</w:t>
            </w:r>
          </w:p>
        </w:tc>
        <w:tc>
          <w:tcPr>
            <w:tcW w:type="dxa" w:w="4647"/>
            <w:shd w:fill="FFFFFF"/>
          </w:tcPr>
          <w:p>
            <w:pPr>
              <w:pStyle w:val="TableText"/>
              <w:keepNext w:val="0"/>
            </w:pPr>
            <w:r>
              <w:rPr>
                <w:rFonts w:ascii="Lato" w:hAnsi="Lato"/>
                <w:sz w:val="18"/>
              </w:rPr>
              <w:t>No request is transmitted; provider processing flags cannot override the application denial.</w:t>
            </w:r>
          </w:p>
        </w:tc>
      </w:tr>
      <w:tr>
        <w:trPr>
          <w:cantSplit/>
        </w:trPr>
        <w:tc>
          <w:tcPr>
            <w:tcW w:type="dxa" w:w="1224"/>
            <w:shd w:fill="F2F7FA"/>
          </w:tcPr>
          <w:p>
            <w:pPr>
              <w:pStyle w:val="TableText"/>
              <w:keepNext w:val="0"/>
            </w:pPr>
            <w:r>
              <w:rPr>
                <w:rFonts w:ascii="Lato" w:hAnsi="Lato"/>
                <w:b/>
                <w:color w:val="163349"/>
                <w:sz w:val="18"/>
              </w:rPr>
              <w:t>FIN-69-03</w:t>
            </w:r>
          </w:p>
        </w:tc>
        <w:tc>
          <w:tcPr>
            <w:tcW w:type="dxa" w:w="3960"/>
            <w:shd w:fill="F2F7FA"/>
          </w:tcPr>
          <w:p>
            <w:pPr>
              <w:pStyle w:val="TableText"/>
              <w:keepNext w:val="0"/>
            </w:pPr>
            <w:r>
              <w:rPr>
                <w:rFonts w:ascii="Lato" w:hAnsi="Lato"/>
                <w:sz w:val="18"/>
              </w:rPr>
              <w:t>Supply a JavaScript millisecond timestamp to the Meta adapter.</w:t>
            </w:r>
          </w:p>
        </w:tc>
        <w:tc>
          <w:tcPr>
            <w:tcW w:type="dxa" w:w="4647"/>
            <w:shd w:fill="F2F7FA"/>
          </w:tcPr>
          <w:p>
            <w:pPr>
              <w:pStyle w:val="TableText"/>
              <w:keepNext w:val="0"/>
            </w:pPr>
            <w:r>
              <w:rPr>
                <w:rFonts w:ascii="Lato" w:hAnsi="Lato"/>
                <w:sz w:val="18"/>
              </w:rPr>
              <w:t>Unit validation rejects or correctly converts it from trusted occurrence time; fixture proves seconds at egress.</w:t>
            </w:r>
          </w:p>
        </w:tc>
      </w:tr>
      <w:tr>
        <w:trPr>
          <w:cantSplit/>
        </w:trPr>
        <w:tc>
          <w:tcPr>
            <w:tcW w:type="dxa" w:w="1224"/>
            <w:shd w:fill="FFFFFF"/>
          </w:tcPr>
          <w:p>
            <w:pPr>
              <w:pStyle w:val="TableText"/>
              <w:keepNext w:val="0"/>
            </w:pPr>
            <w:r>
              <w:rPr>
                <w:rFonts w:ascii="Lato" w:hAnsi="Lato"/>
                <w:b/>
                <w:color w:val="163349"/>
                <w:sz w:val="18"/>
              </w:rPr>
              <w:t>FIN-69-04</w:t>
            </w:r>
          </w:p>
        </w:tc>
        <w:tc>
          <w:tcPr>
            <w:tcW w:type="dxa" w:w="3960"/>
            <w:shd w:fill="FFFFFF"/>
          </w:tcPr>
          <w:p>
            <w:pPr>
              <w:pStyle w:val="TableText"/>
              <w:keepNext w:val="0"/>
            </w:pPr>
            <w:r>
              <w:rPr>
                <w:rFonts w:ascii="Lato" w:hAnsi="Lato"/>
                <w:sz w:val="18"/>
              </w:rPr>
              <w:t>Normalize mixed-case, plus-addressed, Unicode and already-hashed test identities.</w:t>
            </w:r>
          </w:p>
        </w:tc>
        <w:tc>
          <w:tcPr>
            <w:tcW w:type="dxa" w:w="4647"/>
            <w:shd w:fill="FFFFFF"/>
          </w:tcPr>
          <w:p>
            <w:pPr>
              <w:pStyle w:val="TableText"/>
              <w:keepNext w:val="0"/>
            </w:pPr>
            <w:r>
              <w:rPr>
                <w:rFonts w:ascii="Lato" w:hAnsi="Lato"/>
                <w:sz w:val="18"/>
              </w:rPr>
              <w:t>Destination-specific fixtures pass; originals remain unchanged and double hashing is prevented.</w:t>
            </w:r>
          </w:p>
        </w:tc>
      </w:tr>
      <w:tr>
        <w:trPr>
          <w:cantSplit/>
        </w:trPr>
        <w:tc>
          <w:tcPr>
            <w:tcW w:type="dxa" w:w="1224"/>
            <w:shd w:fill="F2F7FA"/>
          </w:tcPr>
          <w:p>
            <w:pPr>
              <w:pStyle w:val="TableText"/>
              <w:keepNext w:val="0"/>
            </w:pPr>
            <w:r>
              <w:rPr>
                <w:rFonts w:ascii="Lato" w:hAnsi="Lato"/>
                <w:b/>
                <w:color w:val="163349"/>
                <w:sz w:val="18"/>
              </w:rPr>
              <w:t>FIN-69-05</w:t>
            </w:r>
          </w:p>
        </w:tc>
        <w:tc>
          <w:tcPr>
            <w:tcW w:type="dxa" w:w="3960"/>
            <w:shd w:fill="F2F7FA"/>
          </w:tcPr>
          <w:p>
            <w:pPr>
              <w:pStyle w:val="TableText"/>
              <w:keepNext w:val="0"/>
            </w:pPr>
            <w:r>
              <w:rPr>
                <w:rFonts w:ascii="Lato" w:hAnsi="Lato"/>
                <w:sz w:val="18"/>
              </w:rPr>
              <w:t>Migrate one server-event family between supported Google ingestion routes.</w:t>
            </w:r>
          </w:p>
        </w:tc>
        <w:tc>
          <w:tcPr>
            <w:tcW w:type="dxa" w:w="4647"/>
            <w:shd w:fill="F2F7FA"/>
          </w:tcPr>
          <w:p>
            <w:pPr>
              <w:pStyle w:val="TableText"/>
              <w:keepNext w:val="0"/>
            </w:pPr>
            <w:r>
              <w:rPr>
                <w:rFonts w:ascii="Lato" w:hAnsi="Lato"/>
                <w:sz w:val="18"/>
              </w:rPr>
              <w:t>Isolated comparison and cutover preserve ownership; production does not receive duplicate competing senders.</w:t>
            </w:r>
          </w:p>
        </w:tc>
      </w:tr>
      <w:tr>
        <w:trPr>
          <w:cantSplit/>
        </w:trPr>
        <w:tc>
          <w:tcPr>
            <w:tcW w:type="dxa" w:w="1224"/>
            <w:shd w:fill="FFFFFF"/>
          </w:tcPr>
          <w:p>
            <w:pPr>
              <w:pStyle w:val="TableText"/>
              <w:keepNext w:val="0"/>
            </w:pPr>
            <w:r>
              <w:rPr>
                <w:rFonts w:ascii="Lato" w:hAnsi="Lato"/>
                <w:b/>
                <w:color w:val="163349"/>
                <w:sz w:val="18"/>
              </w:rPr>
              <w:t>FIN-69-06</w:t>
            </w:r>
          </w:p>
        </w:tc>
        <w:tc>
          <w:tcPr>
            <w:tcW w:type="dxa" w:w="3960"/>
            <w:shd w:fill="FFFFFF"/>
          </w:tcPr>
          <w:p>
            <w:pPr>
              <w:pStyle w:val="TableText"/>
              <w:keepNext w:val="0"/>
            </w:pPr>
            <w:r>
              <w:rPr>
                <w:rFonts w:ascii="Lato" w:hAnsi="Lato"/>
                <w:sz w:val="18"/>
              </w:rPr>
              <w:t>Use legacy authorization assumptions with a new Google integration.</w:t>
            </w:r>
          </w:p>
        </w:tc>
        <w:tc>
          <w:tcPr>
            <w:tcW w:type="dxa" w:w="4647"/>
            <w:shd w:fill="FFFFFF"/>
          </w:tcPr>
          <w:p>
            <w:pPr>
              <w:pStyle w:val="TableText"/>
              <w:keepNext w:val="0"/>
            </w:pPr>
            <w:r>
              <w:rPr>
                <w:rFonts w:ascii="Lato" w:hAnsi="Lato"/>
                <w:sz w:val="18"/>
              </w:rPr>
              <w:t>Provider contract validation requires the current project/account access model and supported ingestion path.</w:t>
            </w:r>
          </w:p>
        </w:tc>
      </w:tr>
      <w:tr>
        <w:trPr>
          <w:cantSplit/>
        </w:trPr>
        <w:tc>
          <w:tcPr>
            <w:tcW w:type="dxa" w:w="1224"/>
            <w:shd w:fill="F2F7FA"/>
          </w:tcPr>
          <w:p>
            <w:pPr>
              <w:pStyle w:val="TableText"/>
              <w:keepNext w:val="0"/>
            </w:pPr>
            <w:r>
              <w:rPr>
                <w:rFonts w:ascii="Lato" w:hAnsi="Lato"/>
                <w:b/>
                <w:color w:val="163349"/>
                <w:sz w:val="18"/>
              </w:rPr>
              <w:t>FIN-69-07</w:t>
            </w:r>
          </w:p>
        </w:tc>
        <w:tc>
          <w:tcPr>
            <w:tcW w:type="dxa" w:w="3960"/>
            <w:shd w:fill="F2F7FA"/>
          </w:tcPr>
          <w:p>
            <w:pPr>
              <w:pStyle w:val="TableText"/>
              <w:keepNext w:val="0"/>
            </w:pPr>
            <w:r>
              <w:rPr>
                <w:rFonts w:ascii="Lato" w:hAnsi="Lato"/>
                <w:sz w:val="18"/>
              </w:rPr>
              <w:t>Receive a batch HTTP success containing item-level failures.</w:t>
            </w:r>
          </w:p>
        </w:tc>
        <w:tc>
          <w:tcPr>
            <w:tcW w:type="dxa" w:w="4647"/>
            <w:shd w:fill="F2F7FA"/>
          </w:tcPr>
          <w:p>
            <w:pPr>
              <w:pStyle w:val="TableText"/>
              <w:keepNext w:val="0"/>
            </w:pPr>
            <w:r>
              <w:rPr>
                <w:rFonts w:ascii="Lato" w:hAnsi="Lato"/>
                <w:sz w:val="18"/>
              </w:rPr>
              <w:t>Each item records its actual result; only eligible failures retry with original IDs and timestamps.</w:t>
            </w:r>
          </w:p>
        </w:tc>
      </w:tr>
      <w:tr>
        <w:trPr>
          <w:cantSplit/>
        </w:trPr>
        <w:tc>
          <w:tcPr>
            <w:tcW w:type="dxa" w:w="1224"/>
            <w:shd w:fill="FFFFFF"/>
          </w:tcPr>
          <w:p>
            <w:pPr>
              <w:pStyle w:val="TableText"/>
              <w:keepNext w:val="0"/>
            </w:pPr>
            <w:r>
              <w:rPr>
                <w:rFonts w:ascii="Lato" w:hAnsi="Lato"/>
                <w:b/>
                <w:color w:val="163349"/>
                <w:sz w:val="18"/>
              </w:rPr>
              <w:t>FIN-69-08</w:t>
            </w:r>
          </w:p>
        </w:tc>
        <w:tc>
          <w:tcPr>
            <w:tcW w:type="dxa" w:w="3960"/>
            <w:shd w:fill="FFFFFF"/>
          </w:tcPr>
          <w:p>
            <w:pPr>
              <w:pStyle w:val="TableText"/>
              <w:keepNext w:val="0"/>
            </w:pPr>
            <w:r>
              <w:rPr>
                <w:rFonts w:ascii="Lato" w:hAnsi="Lato"/>
                <w:sz w:val="18"/>
              </w:rPr>
              <w:t>Withdraw permission between enqueue, serialization and dispatch.</w:t>
            </w:r>
          </w:p>
        </w:tc>
        <w:tc>
          <w:tcPr>
            <w:tcW w:type="dxa" w:w="4647"/>
            <w:shd w:fill="FFFFFF"/>
          </w:tcPr>
          <w:p>
            <w:pPr>
              <w:pStyle w:val="TableText"/>
              <w:keepNext w:val="0"/>
            </w:pPr>
            <w:r>
              <w:rPr>
                <w:rFonts w:ascii="Lato" w:hAnsi="Lato"/>
                <w:sz w:val="18"/>
              </w:rPr>
              <w:t>The current dispatch check suppresses the action and records a safe reason; the business lead remains intact.</w:t>
            </w:r>
          </w:p>
        </w:tc>
      </w:tr>
    </w:tbl>
    <w:p>
      <w:pPr>
        <w:spacing w:after="40"/>
      </w:pPr>
      <w:r/>
    </w:p>
    <w:p>
      <w:pPr>
        <w:pStyle w:val="Heading2"/>
        <w:keepNext/>
      </w:pPr>
      <w:r>
        <w:t>N.5 70 — Edge, routes and technical SEO</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FIN-70-01</w:t>
            </w:r>
          </w:p>
        </w:tc>
        <w:tc>
          <w:tcPr>
            <w:tcW w:type="dxa" w:w="3960"/>
            <w:shd w:fill="F2F7FA"/>
          </w:tcPr>
          <w:p>
            <w:pPr>
              <w:pStyle w:val="TableText"/>
              <w:keepNext w:val="0"/>
            </w:pPr>
            <w:r>
              <w:rPr>
                <w:rFonts w:ascii="Lato" w:hAnsi="Lato"/>
                <w:sz w:val="18"/>
              </w:rPr>
              <w:t>Request an unknown slug through streamed rendering and the production CDN.</w:t>
            </w:r>
          </w:p>
        </w:tc>
        <w:tc>
          <w:tcPr>
            <w:tcW w:type="dxa" w:w="4647"/>
            <w:shd w:fill="F2F7FA"/>
          </w:tcPr>
          <w:p>
            <w:pPr>
              <w:pStyle w:val="TableText"/>
              <w:keepNext w:val="0"/>
            </w:pPr>
            <w:r>
              <w:rPr>
                <w:rFonts w:ascii="Lato" w:hAnsi="Lato"/>
                <w:sz w:val="18"/>
              </w:rPr>
              <w:t>Actual response status and body match the route policy; a 200 soft-error is rejected.</w:t>
            </w:r>
          </w:p>
        </w:tc>
      </w:tr>
      <w:tr>
        <w:trPr>
          <w:cantSplit/>
        </w:trPr>
        <w:tc>
          <w:tcPr>
            <w:tcW w:type="dxa" w:w="1224"/>
            <w:shd w:fill="FFFFFF"/>
          </w:tcPr>
          <w:p>
            <w:pPr>
              <w:pStyle w:val="TableText"/>
              <w:keepNext w:val="0"/>
            </w:pPr>
            <w:r>
              <w:rPr>
                <w:rFonts w:ascii="Lato" w:hAnsi="Lato"/>
                <w:b/>
                <w:color w:val="163349"/>
                <w:sz w:val="18"/>
              </w:rPr>
              <w:t>FIN-70-02</w:t>
            </w:r>
          </w:p>
        </w:tc>
        <w:tc>
          <w:tcPr>
            <w:tcW w:type="dxa" w:w="3960"/>
            <w:shd w:fill="FFFFFF"/>
          </w:tcPr>
          <w:p>
            <w:pPr>
              <w:pStyle w:val="TableText"/>
              <w:keepNext w:val="0"/>
            </w:pPr>
            <w:r>
              <w:rPr>
                <w:rFonts w:ascii="Lato" w:hAnsi="Lato"/>
                <w:sz w:val="18"/>
              </w:rPr>
              <w:t>Forge Host or forwarded-host headers through each supported proxy path.</w:t>
            </w:r>
          </w:p>
        </w:tc>
        <w:tc>
          <w:tcPr>
            <w:tcW w:type="dxa" w:w="4647"/>
            <w:shd w:fill="FFFFFF"/>
          </w:tcPr>
          <w:p>
            <w:pPr>
              <w:pStyle w:val="TableText"/>
              <w:keepNext w:val="0"/>
            </w:pPr>
            <w:r>
              <w:rPr>
                <w:rFonts w:ascii="Lato" w:hAnsi="Lato"/>
                <w:sz w:val="18"/>
              </w:rPr>
              <w:t>Canonical/redirect generation uses trusted configuration; no attacker domain is emitted.</w:t>
            </w:r>
          </w:p>
        </w:tc>
      </w:tr>
      <w:tr>
        <w:trPr>
          <w:cantSplit/>
        </w:trPr>
        <w:tc>
          <w:tcPr>
            <w:tcW w:type="dxa" w:w="1224"/>
            <w:shd w:fill="F2F7FA"/>
          </w:tcPr>
          <w:p>
            <w:pPr>
              <w:pStyle w:val="TableText"/>
              <w:keepNext w:val="0"/>
            </w:pPr>
            <w:r>
              <w:rPr>
                <w:rFonts w:ascii="Lato" w:hAnsi="Lato"/>
                <w:b/>
                <w:color w:val="163349"/>
                <w:sz w:val="18"/>
              </w:rPr>
              <w:t>FIN-70-03</w:t>
            </w:r>
          </w:p>
        </w:tc>
        <w:tc>
          <w:tcPr>
            <w:tcW w:type="dxa" w:w="3960"/>
            <w:shd w:fill="F2F7FA"/>
          </w:tcPr>
          <w:p>
            <w:pPr>
              <w:pStyle w:val="TableText"/>
              <w:keepNext w:val="0"/>
            </w:pPr>
            <w:r>
              <w:rPr>
                <w:rFonts w:ascii="Lato" w:hAnsi="Lato"/>
                <w:sz w:val="18"/>
              </w:rPr>
              <w:t>Return WAF challenges or failures at robots.txt.</w:t>
            </w:r>
          </w:p>
        </w:tc>
        <w:tc>
          <w:tcPr>
            <w:tcW w:type="dxa" w:w="4647"/>
            <w:shd w:fill="F2F7FA"/>
          </w:tcPr>
          <w:p>
            <w:pPr>
              <w:pStyle w:val="TableText"/>
              <w:keepNext w:val="0"/>
            </w:pPr>
            <w:r>
              <w:rPr>
                <w:rFonts w:ascii="Lato" w:hAnsi="Lato"/>
                <w:sz w:val="18"/>
              </w:rPr>
              <w:t>Search-health monitoring detects the actual edge response and raises a policy/crawl incident.</w:t>
            </w:r>
          </w:p>
        </w:tc>
      </w:tr>
      <w:tr>
        <w:trPr>
          <w:cantSplit/>
        </w:trPr>
        <w:tc>
          <w:tcPr>
            <w:tcW w:type="dxa" w:w="1224"/>
            <w:shd w:fill="FFFFFF"/>
          </w:tcPr>
          <w:p>
            <w:pPr>
              <w:pStyle w:val="TableText"/>
              <w:keepNext w:val="0"/>
            </w:pPr>
            <w:r>
              <w:rPr>
                <w:rFonts w:ascii="Lato" w:hAnsi="Lato"/>
                <w:b/>
                <w:color w:val="163349"/>
                <w:sz w:val="18"/>
              </w:rPr>
              <w:t>FIN-70-04</w:t>
            </w:r>
          </w:p>
        </w:tc>
        <w:tc>
          <w:tcPr>
            <w:tcW w:type="dxa" w:w="3960"/>
            <w:shd w:fill="FFFFFF"/>
          </w:tcPr>
          <w:p>
            <w:pPr>
              <w:pStyle w:val="TableText"/>
              <w:keepNext w:val="0"/>
            </w:pPr>
            <w:r>
              <w:rPr>
                <w:rFonts w:ascii="Lato" w:hAnsi="Lato"/>
                <w:sz w:val="18"/>
              </w:rPr>
              <w:t>Use duplicate query names, malformed encoding and case-sensitive signed parameters.</w:t>
            </w:r>
          </w:p>
        </w:tc>
        <w:tc>
          <w:tcPr>
            <w:tcW w:type="dxa" w:w="4647"/>
            <w:shd w:fill="FFFFFF"/>
          </w:tcPr>
          <w:p>
            <w:pPr>
              <w:pStyle w:val="TableText"/>
              <w:keepNext w:val="0"/>
            </w:pPr>
            <w:r>
              <w:rPr>
                <w:rFonts w:ascii="Lato" w:hAnsi="Lato"/>
                <w:sz w:val="18"/>
              </w:rPr>
              <w:t>Only deliberate normalization occurs; unsafe values are rejected without corrupting valid opaque identifiers.</w:t>
            </w:r>
          </w:p>
        </w:tc>
      </w:tr>
      <w:tr>
        <w:trPr>
          <w:cantSplit/>
        </w:trPr>
        <w:tc>
          <w:tcPr>
            <w:tcW w:type="dxa" w:w="1224"/>
            <w:shd w:fill="F2F7FA"/>
          </w:tcPr>
          <w:p>
            <w:pPr>
              <w:pStyle w:val="TableText"/>
              <w:keepNext w:val="0"/>
            </w:pPr>
            <w:r>
              <w:rPr>
                <w:rFonts w:ascii="Lato" w:hAnsi="Lato"/>
                <w:b/>
                <w:color w:val="163349"/>
                <w:sz w:val="18"/>
              </w:rPr>
              <w:t>FIN-70-05</w:t>
            </w:r>
          </w:p>
        </w:tc>
        <w:tc>
          <w:tcPr>
            <w:tcW w:type="dxa" w:w="3960"/>
            <w:shd w:fill="F2F7FA"/>
          </w:tcPr>
          <w:p>
            <w:pPr>
              <w:pStyle w:val="TableText"/>
              <w:keepNext w:val="0"/>
            </w:pPr>
            <w:r>
              <w:rPr>
                <w:rFonts w:ascii="Lato" w:hAnsi="Lato"/>
                <w:sz w:val="18"/>
              </w:rPr>
              <w:t>Manually unpublish a resource while sitemap and search jobs are delayed.</w:t>
            </w:r>
          </w:p>
        </w:tc>
        <w:tc>
          <w:tcPr>
            <w:tcW w:type="dxa" w:w="4647"/>
            <w:shd w:fill="F2F7FA"/>
          </w:tcPr>
          <w:p>
            <w:pPr>
              <w:pStyle w:val="TableText"/>
              <w:keepNext w:val="0"/>
            </w:pPr>
            <w:r>
              <w:rPr>
                <w:rFonts w:ascii="Lato" w:hAnsi="Lato"/>
                <w:sz w:val="18"/>
              </w:rPr>
              <w:t>Public authorization/publication checks prevent stale exposure; derived updates reconcile without deleting source.</w:t>
            </w:r>
          </w:p>
        </w:tc>
      </w:tr>
      <w:tr>
        <w:trPr>
          <w:cantSplit/>
        </w:trPr>
        <w:tc>
          <w:tcPr>
            <w:tcW w:type="dxa" w:w="1224"/>
            <w:shd w:fill="FFFFFF"/>
          </w:tcPr>
          <w:p>
            <w:pPr>
              <w:pStyle w:val="TableText"/>
              <w:keepNext w:val="0"/>
            </w:pPr>
            <w:r>
              <w:rPr>
                <w:rFonts w:ascii="Lato" w:hAnsi="Lato"/>
                <w:b/>
                <w:color w:val="163349"/>
                <w:sz w:val="18"/>
              </w:rPr>
              <w:t>FIN-70-06</w:t>
            </w:r>
          </w:p>
        </w:tc>
        <w:tc>
          <w:tcPr>
            <w:tcW w:type="dxa" w:w="3960"/>
            <w:shd w:fill="FFFFFF"/>
          </w:tcPr>
          <w:p>
            <w:pPr>
              <w:pStyle w:val="TableText"/>
              <w:keepNext w:val="0"/>
            </w:pPr>
            <w:r>
              <w:rPr>
                <w:rFonts w:ascii="Lato" w:hAnsi="Lato"/>
                <w:sz w:val="18"/>
              </w:rPr>
              <w:t>Access a protected PDF directly rather than through its noindex landing page.</w:t>
            </w:r>
          </w:p>
        </w:tc>
        <w:tc>
          <w:tcPr>
            <w:tcW w:type="dxa" w:w="4647"/>
            <w:shd w:fill="FFFFFF"/>
          </w:tcPr>
          <w:p>
            <w:pPr>
              <w:pStyle w:val="TableText"/>
              <w:keepNext w:val="0"/>
            </w:pPr>
            <w:r>
              <w:rPr>
                <w:rFonts w:ascii="Lato" w:hAnsi="Lato"/>
                <w:sz w:val="18"/>
              </w:rPr>
              <w:t>File authorization and headers enforce its own policy; the HTML page is not the security boundary.</w:t>
            </w:r>
          </w:p>
        </w:tc>
      </w:tr>
      <w:tr>
        <w:trPr>
          <w:cantSplit/>
        </w:trPr>
        <w:tc>
          <w:tcPr>
            <w:tcW w:type="dxa" w:w="1224"/>
            <w:shd w:fill="F2F7FA"/>
          </w:tcPr>
          <w:p>
            <w:pPr>
              <w:pStyle w:val="TableText"/>
              <w:keepNext w:val="0"/>
            </w:pPr>
            <w:r>
              <w:rPr>
                <w:rFonts w:ascii="Lato" w:hAnsi="Lato"/>
                <w:b/>
                <w:color w:val="163349"/>
                <w:sz w:val="18"/>
              </w:rPr>
              <w:t>FIN-70-07</w:t>
            </w:r>
          </w:p>
        </w:tc>
        <w:tc>
          <w:tcPr>
            <w:tcW w:type="dxa" w:w="3960"/>
            <w:shd w:fill="F2F7FA"/>
          </w:tcPr>
          <w:p>
            <w:pPr>
              <w:pStyle w:val="TableText"/>
              <w:keepNext w:val="0"/>
            </w:pPr>
            <w:r>
              <w:rPr>
                <w:rFonts w:ascii="Lato" w:hAnsi="Lato"/>
                <w:sz w:val="18"/>
              </w:rPr>
              <w:t>Navigate large filtered/paginated collections without client scripting.</w:t>
            </w:r>
          </w:p>
        </w:tc>
        <w:tc>
          <w:tcPr>
            <w:tcW w:type="dxa" w:w="4647"/>
            <w:shd w:fill="F2F7FA"/>
          </w:tcPr>
          <w:p>
            <w:pPr>
              <w:pStyle w:val="TableText"/>
              <w:keepNext w:val="0"/>
            </w:pPr>
            <w:r>
              <w:rPr>
                <w:rFonts w:ascii="Lato" w:hAnsi="Lato"/>
                <w:sz w:val="18"/>
              </w:rPr>
              <w:t>Approved useful links remain discoverable and invalid combinations do not create unbounded crawlable routes.</w:t>
            </w:r>
          </w:p>
        </w:tc>
      </w:tr>
      <w:tr>
        <w:trPr>
          <w:cantSplit/>
        </w:trPr>
        <w:tc>
          <w:tcPr>
            <w:tcW w:type="dxa" w:w="1224"/>
            <w:shd w:fill="FFFFFF"/>
          </w:tcPr>
          <w:p>
            <w:pPr>
              <w:pStyle w:val="TableText"/>
              <w:keepNext w:val="0"/>
            </w:pPr>
            <w:r>
              <w:rPr>
                <w:rFonts w:ascii="Lato" w:hAnsi="Lato"/>
                <w:b/>
                <w:color w:val="163349"/>
                <w:sz w:val="18"/>
              </w:rPr>
              <w:t>FIN-70-08</w:t>
            </w:r>
          </w:p>
        </w:tc>
        <w:tc>
          <w:tcPr>
            <w:tcW w:type="dxa" w:w="3960"/>
            <w:shd w:fill="FFFFFF"/>
          </w:tcPr>
          <w:p>
            <w:pPr>
              <w:pStyle w:val="TableText"/>
              <w:keepNext w:val="0"/>
            </w:pPr>
            <w:r>
              <w:rPr>
                <w:rFonts w:ascii="Lato" w:hAnsi="Lato"/>
                <w:sz w:val="18"/>
              </w:rPr>
              <w:t>Cut over a site with subdomains, old downloads and signed-resource obligations.</w:t>
            </w:r>
          </w:p>
        </w:tc>
        <w:tc>
          <w:tcPr>
            <w:tcW w:type="dxa" w:w="4647"/>
            <w:shd w:fill="FFFFFF"/>
          </w:tcPr>
          <w:p>
            <w:pPr>
              <w:pStyle w:val="TableText"/>
              <w:keepNext w:val="0"/>
            </w:pPr>
            <w:r>
              <w:rPr>
                <w:rFonts w:ascii="Lato" w:hAnsi="Lato"/>
                <w:sz w:val="18"/>
              </w:rPr>
              <w:t>Migration manifest, redirects, retained identities and customer obligations are tested; rollback preserves new leads.</w:t>
            </w:r>
          </w:p>
        </w:tc>
      </w:tr>
    </w:tbl>
    <w:p>
      <w:pPr>
        <w:spacing w:after="40"/>
      </w:pPr>
      <w:r/>
    </w:p>
    <w:p>
      <w:pPr>
        <w:pStyle w:val="Heading2"/>
        <w:keepNext/>
      </w:pPr>
      <w:r>
        <w:t>N.6 71 — Full-funnel marketing and lifecycle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FIN-71-01</w:t>
            </w:r>
          </w:p>
        </w:tc>
        <w:tc>
          <w:tcPr>
            <w:tcW w:type="dxa" w:w="3960"/>
            <w:shd w:fill="F2F7FA"/>
          </w:tcPr>
          <w:p>
            <w:pPr>
              <w:pStyle w:val="TableText"/>
              <w:keepNext w:val="0"/>
            </w:pPr>
            <w:r>
              <w:rPr>
                <w:rFonts w:ascii="Lato" w:hAnsi="Lato"/>
                <w:sz w:val="18"/>
              </w:rPr>
              <w:t>Publish an offer revision while ads, PDFs, chatbot sources and quotes reference the previous one.</w:t>
            </w:r>
          </w:p>
        </w:tc>
        <w:tc>
          <w:tcPr>
            <w:tcW w:type="dxa" w:w="4647"/>
            <w:shd w:fill="F2F7FA"/>
          </w:tcPr>
          <w:p>
            <w:pPr>
              <w:pStyle w:val="TableText"/>
              <w:keepNext w:val="0"/>
            </w:pPr>
            <w:r>
              <w:rPr>
                <w:rFonts w:ascii="Lato" w:hAnsi="Lato"/>
                <w:sz w:val="18"/>
              </w:rPr>
              <w:t>Dependency preview distinguishes marketing updates from preserved accepted quotes; inconsistent claims block release.</w:t>
            </w:r>
          </w:p>
        </w:tc>
      </w:tr>
      <w:tr>
        <w:trPr>
          <w:cantSplit/>
        </w:trPr>
        <w:tc>
          <w:tcPr>
            <w:tcW w:type="dxa" w:w="1224"/>
            <w:shd w:fill="FFFFFF"/>
          </w:tcPr>
          <w:p>
            <w:pPr>
              <w:pStyle w:val="TableText"/>
              <w:keepNext w:val="0"/>
            </w:pPr>
            <w:r>
              <w:rPr>
                <w:rFonts w:ascii="Lato" w:hAnsi="Lato"/>
                <w:b/>
                <w:color w:val="163349"/>
                <w:sz w:val="18"/>
              </w:rPr>
              <w:t>FIN-71-02</w:t>
            </w:r>
          </w:p>
        </w:tc>
        <w:tc>
          <w:tcPr>
            <w:tcW w:type="dxa" w:w="3960"/>
            <w:shd w:fill="FFFFFF"/>
          </w:tcPr>
          <w:p>
            <w:pPr>
              <w:pStyle w:val="TableText"/>
              <w:keepNext w:val="0"/>
            </w:pPr>
            <w:r>
              <w:rPr>
                <w:rFonts w:ascii="Lato" w:hAnsi="Lato"/>
                <w:sz w:val="18"/>
              </w:rPr>
              <w:t>Launch a resource-delivery workflow for an enquiry without marketing subscription.</w:t>
            </w:r>
          </w:p>
        </w:tc>
        <w:tc>
          <w:tcPr>
            <w:tcW w:type="dxa" w:w="4647"/>
            <w:shd w:fill="FFFFFF"/>
          </w:tcPr>
          <w:p>
            <w:pPr>
              <w:pStyle w:val="TableText"/>
              <w:keepNext w:val="0"/>
            </w:pPr>
            <w:r>
              <w:rPr>
                <w:rFonts w:ascii="Lato" w:hAnsi="Lato"/>
                <w:sz w:val="18"/>
              </w:rPr>
              <w:t>Requested service response works; unrelated nurture and audience uploads remain suppressed.</w:t>
            </w:r>
          </w:p>
        </w:tc>
      </w:tr>
      <w:tr>
        <w:trPr>
          <w:cantSplit/>
        </w:trPr>
        <w:tc>
          <w:tcPr>
            <w:tcW w:type="dxa" w:w="1224"/>
            <w:shd w:fill="F2F7FA"/>
          </w:tcPr>
          <w:p>
            <w:pPr>
              <w:pStyle w:val="TableText"/>
              <w:keepNext w:val="0"/>
            </w:pPr>
            <w:r>
              <w:rPr>
                <w:rFonts w:ascii="Lato" w:hAnsi="Lato"/>
                <w:b/>
                <w:color w:val="163349"/>
                <w:sz w:val="18"/>
              </w:rPr>
              <w:t>FIN-71-03</w:t>
            </w:r>
          </w:p>
        </w:tc>
        <w:tc>
          <w:tcPr>
            <w:tcW w:type="dxa" w:w="3960"/>
            <w:shd w:fill="F2F7FA"/>
          </w:tcPr>
          <w:p>
            <w:pPr>
              <w:pStyle w:val="TableText"/>
              <w:keepNext w:val="0"/>
            </w:pPr>
            <w:r>
              <w:rPr>
                <w:rFonts w:ascii="Lato" w:hAnsi="Lato"/>
                <w:sz w:val="18"/>
              </w:rPr>
              <w:t>Two workflows on separate channels schedule contact simultaneously.</w:t>
            </w:r>
          </w:p>
        </w:tc>
        <w:tc>
          <w:tcPr>
            <w:tcW w:type="dxa" w:w="4647"/>
            <w:shd w:fill="F2F7FA"/>
          </w:tcPr>
          <w:p>
            <w:pPr>
              <w:pStyle w:val="TableText"/>
              <w:keepNext w:val="0"/>
            </w:pPr>
            <w:r>
              <w:rPr>
                <w:rFonts w:ascii="Lato" w:hAnsi="Lato"/>
                <w:sz w:val="18"/>
              </w:rPr>
              <w:t>Global recipient/purpose frequency policy is enforced transactionally, with visible suppressed actions.</w:t>
            </w:r>
          </w:p>
        </w:tc>
      </w:tr>
      <w:tr>
        <w:trPr>
          <w:cantSplit/>
        </w:trPr>
        <w:tc>
          <w:tcPr>
            <w:tcW w:type="dxa" w:w="1224"/>
            <w:shd w:fill="FFFFFF"/>
          </w:tcPr>
          <w:p>
            <w:pPr>
              <w:pStyle w:val="TableText"/>
              <w:keepNext w:val="0"/>
            </w:pPr>
            <w:r>
              <w:rPr>
                <w:rFonts w:ascii="Lato" w:hAnsi="Lato"/>
                <w:b/>
                <w:color w:val="163349"/>
                <w:sz w:val="18"/>
              </w:rPr>
              <w:t>FIN-71-04</w:t>
            </w:r>
          </w:p>
        </w:tc>
        <w:tc>
          <w:tcPr>
            <w:tcW w:type="dxa" w:w="3960"/>
            <w:shd w:fill="FFFFFF"/>
          </w:tcPr>
          <w:p>
            <w:pPr>
              <w:pStyle w:val="TableText"/>
              <w:keepNext w:val="0"/>
            </w:pPr>
            <w:r>
              <w:rPr>
                <w:rFonts w:ascii="Lato" w:hAnsi="Lato"/>
                <w:sz w:val="18"/>
              </w:rPr>
              <w:t>A refund removes eligibility for an affiliate reward or acquisition segment.</w:t>
            </w:r>
          </w:p>
        </w:tc>
        <w:tc>
          <w:tcPr>
            <w:tcW w:type="dxa" w:w="4647"/>
            <w:shd w:fill="FFFFFF"/>
          </w:tcPr>
          <w:p>
            <w:pPr>
              <w:pStyle w:val="TableText"/>
              <w:keepNext w:val="0"/>
            </w:pPr>
            <w:r>
              <w:rPr>
                <w:rFonts w:ascii="Lato" w:hAnsi="Lato"/>
                <w:sz w:val="18"/>
              </w:rPr>
              <w:t>Reward reversal and audience/lifecycle updates follow trusted business state and preserve audit history.</w:t>
            </w:r>
          </w:p>
        </w:tc>
      </w:tr>
      <w:tr>
        <w:trPr>
          <w:cantSplit/>
        </w:trPr>
        <w:tc>
          <w:tcPr>
            <w:tcW w:type="dxa" w:w="1224"/>
            <w:shd w:fill="F2F7FA"/>
          </w:tcPr>
          <w:p>
            <w:pPr>
              <w:pStyle w:val="TableText"/>
              <w:keepNext w:val="0"/>
            </w:pPr>
            <w:r>
              <w:rPr>
                <w:rFonts w:ascii="Lato" w:hAnsi="Lato"/>
                <w:b/>
                <w:color w:val="163349"/>
                <w:sz w:val="18"/>
              </w:rPr>
              <w:t>FIN-71-05</w:t>
            </w:r>
          </w:p>
        </w:tc>
        <w:tc>
          <w:tcPr>
            <w:tcW w:type="dxa" w:w="3960"/>
            <w:shd w:fill="F2F7FA"/>
          </w:tcPr>
          <w:p>
            <w:pPr>
              <w:pStyle w:val="TableText"/>
              <w:keepNext w:val="0"/>
            </w:pPr>
            <w:r>
              <w:rPr>
                <w:rFonts w:ascii="Lato" w:hAnsi="Lato"/>
                <w:sz w:val="18"/>
              </w:rPr>
              <w:t>Import contacts containing an existing unsubscribe or complaint identity.</w:t>
            </w:r>
          </w:p>
        </w:tc>
        <w:tc>
          <w:tcPr>
            <w:tcW w:type="dxa" w:w="4647"/>
            <w:shd w:fill="F2F7FA"/>
          </w:tcPr>
          <w:p>
            <w:pPr>
              <w:pStyle w:val="TableText"/>
              <w:keepNext w:val="0"/>
            </w:pPr>
            <w:r>
              <w:rPr>
                <w:rFonts w:ascii="Lato" w:hAnsi="Lato"/>
                <w:sz w:val="18"/>
              </w:rPr>
              <w:t>Import preview and dispatch preserve suppression; no silent resubscription occurs.</w:t>
            </w:r>
          </w:p>
        </w:tc>
      </w:tr>
      <w:tr>
        <w:trPr>
          <w:cantSplit/>
        </w:trPr>
        <w:tc>
          <w:tcPr>
            <w:tcW w:type="dxa" w:w="1224"/>
            <w:shd w:fill="FFFFFF"/>
          </w:tcPr>
          <w:p>
            <w:pPr>
              <w:pStyle w:val="TableText"/>
              <w:keepNext w:val="0"/>
            </w:pPr>
            <w:r>
              <w:rPr>
                <w:rFonts w:ascii="Lato" w:hAnsi="Lato"/>
                <w:b/>
                <w:color w:val="163349"/>
                <w:sz w:val="18"/>
              </w:rPr>
              <w:t>FIN-71-06</w:t>
            </w:r>
          </w:p>
        </w:tc>
        <w:tc>
          <w:tcPr>
            <w:tcW w:type="dxa" w:w="3960"/>
            <w:shd w:fill="FFFFFF"/>
          </w:tcPr>
          <w:p>
            <w:pPr>
              <w:pStyle w:val="TableText"/>
              <w:keepNext w:val="0"/>
            </w:pPr>
            <w:r>
              <w:rPr>
                <w:rFonts w:ascii="Lato" w:hAnsi="Lato"/>
                <w:sz w:val="18"/>
              </w:rPr>
              <w:t>Generate campaign claims from a competitor page or an AI draft.</w:t>
            </w:r>
          </w:p>
        </w:tc>
        <w:tc>
          <w:tcPr>
            <w:tcW w:type="dxa" w:w="4647"/>
            <w:shd w:fill="FFFFFF"/>
          </w:tcPr>
          <w:p>
            <w:pPr>
              <w:pStyle w:val="TableText"/>
              <w:keepNext w:val="0"/>
            </w:pPr>
            <w:r>
              <w:rPr>
                <w:rFonts w:ascii="Lato" w:hAnsi="Lato"/>
                <w:sz w:val="18"/>
              </w:rPr>
              <w:t>Publication requires verified sources, rights and review; unsupported comparisons remain drafts.</w:t>
            </w:r>
          </w:p>
        </w:tc>
      </w:tr>
      <w:tr>
        <w:trPr>
          <w:cantSplit/>
        </w:trPr>
        <w:tc>
          <w:tcPr>
            <w:tcW w:type="dxa" w:w="1224"/>
            <w:shd w:fill="F2F7FA"/>
          </w:tcPr>
          <w:p>
            <w:pPr>
              <w:pStyle w:val="TableText"/>
              <w:keepNext w:val="0"/>
            </w:pPr>
            <w:r>
              <w:rPr>
                <w:rFonts w:ascii="Lato" w:hAnsi="Lato"/>
                <w:b/>
                <w:color w:val="163349"/>
                <w:sz w:val="18"/>
              </w:rPr>
              <w:t>FIN-71-07</w:t>
            </w:r>
          </w:p>
        </w:tc>
        <w:tc>
          <w:tcPr>
            <w:tcW w:type="dxa" w:w="3960"/>
            <w:shd w:fill="F2F7FA"/>
          </w:tcPr>
          <w:p>
            <w:pPr>
              <w:pStyle w:val="TableText"/>
              <w:keepNext w:val="0"/>
            </w:pPr>
            <w:r>
              <w:rPr>
                <w:rFonts w:ascii="Lato" w:hAnsi="Lato"/>
                <w:sz w:val="18"/>
              </w:rPr>
              <w:t>Request reviews from a mixed satisfaction cohort.</w:t>
            </w:r>
          </w:p>
        </w:tc>
        <w:tc>
          <w:tcPr>
            <w:tcW w:type="dxa" w:w="4647"/>
            <w:shd w:fill="F2F7FA"/>
          </w:tcPr>
          <w:p>
            <w:pPr>
              <w:pStyle w:val="TableText"/>
              <w:keepNext w:val="0"/>
            </w:pPr>
            <w:r>
              <w:rPr>
                <w:rFonts w:ascii="Lato" w:hAnsi="Lato"/>
                <w:sz w:val="18"/>
              </w:rPr>
              <w:t>Workflow does not gate public review access on positive sentiment or fabricate endorsements.</w:t>
            </w:r>
          </w:p>
        </w:tc>
      </w:tr>
      <w:tr>
        <w:trPr>
          <w:cantSplit/>
        </w:trPr>
        <w:tc>
          <w:tcPr>
            <w:tcW w:type="dxa" w:w="1224"/>
            <w:shd w:fill="FFFFFF"/>
          </w:tcPr>
          <w:p>
            <w:pPr>
              <w:pStyle w:val="TableText"/>
              <w:keepNext w:val="0"/>
            </w:pPr>
            <w:r>
              <w:rPr>
                <w:rFonts w:ascii="Lato" w:hAnsi="Lato"/>
                <w:b/>
                <w:color w:val="163349"/>
                <w:sz w:val="18"/>
              </w:rPr>
              <w:t>FIN-71-08</w:t>
            </w:r>
          </w:p>
        </w:tc>
        <w:tc>
          <w:tcPr>
            <w:tcW w:type="dxa" w:w="3960"/>
            <w:shd w:fill="FFFFFF"/>
          </w:tcPr>
          <w:p>
            <w:pPr>
              <w:pStyle w:val="TableText"/>
              <w:keepNext w:val="0"/>
            </w:pPr>
            <w:r>
              <w:rPr>
                <w:rFonts w:ascii="Lato" w:hAnsi="Lato"/>
                <w:sz w:val="18"/>
              </w:rPr>
              <w:t>Add Google- and Meta-attributed revenue to a dashboard containing the same orders.</w:t>
            </w:r>
          </w:p>
        </w:tc>
        <w:tc>
          <w:tcPr>
            <w:tcW w:type="dxa" w:w="4647"/>
            <w:shd w:fill="FFFFFF"/>
          </w:tcPr>
          <w:p>
            <w:pPr>
              <w:pStyle w:val="TableText"/>
              <w:keepNext w:val="0"/>
            </w:pPr>
            <w:r>
              <w:rPr>
                <w:rFonts w:ascii="Lato" w:hAnsi="Lato"/>
                <w:sz w:val="18"/>
              </w:rPr>
              <w:t>Business totals remain deduplicated; platform-attributed views are separate and clearly labeled.</w:t>
            </w:r>
          </w:p>
        </w:tc>
      </w:tr>
    </w:tbl>
    <w:p>
      <w:pPr>
        <w:spacing w:after="40"/>
      </w:pPr>
      <w:r/>
    </w:p>
    <w:p>
      <w:pPr>
        <w:pStyle w:val="Heading2"/>
        <w:keepNext/>
      </w:pPr>
      <w:r>
        <w:t>N.7 72 — Browser lifecycle and consent</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FIN-72-01</w:t>
            </w:r>
          </w:p>
        </w:tc>
        <w:tc>
          <w:tcPr>
            <w:tcW w:type="dxa" w:w="3960"/>
            <w:shd w:fill="F2F7FA"/>
          </w:tcPr>
          <w:p>
            <w:pPr>
              <w:pStyle w:val="TableText"/>
              <w:keepNext w:val="0"/>
            </w:pPr>
            <w:r>
              <w:rPr>
                <w:rFonts w:ascii="Lato" w:hAnsi="Lato"/>
                <w:sz w:val="18"/>
              </w:rPr>
              <w:t>Prerender a campaign page and close it without activation.</w:t>
            </w:r>
          </w:p>
        </w:tc>
        <w:tc>
          <w:tcPr>
            <w:tcW w:type="dxa" w:w="4647"/>
            <w:shd w:fill="F2F7FA"/>
          </w:tcPr>
          <w:p>
            <w:pPr>
              <w:pStyle w:val="TableText"/>
              <w:keepNext w:val="0"/>
            </w:pPr>
            <w:r>
              <w:rPr>
                <w:rFonts w:ascii="Lato" w:hAnsi="Lato"/>
                <w:sz w:val="18"/>
              </w:rPr>
              <w:t>No actual visit/exposure or business conversion is falsely recorded; no unauthorized persistent context appears.</w:t>
            </w:r>
          </w:p>
        </w:tc>
      </w:tr>
      <w:tr>
        <w:trPr>
          <w:cantSplit/>
        </w:trPr>
        <w:tc>
          <w:tcPr>
            <w:tcW w:type="dxa" w:w="1224"/>
            <w:shd w:fill="FFFFFF"/>
          </w:tcPr>
          <w:p>
            <w:pPr>
              <w:pStyle w:val="TableText"/>
              <w:keepNext w:val="0"/>
            </w:pPr>
            <w:r>
              <w:rPr>
                <w:rFonts w:ascii="Lato" w:hAnsi="Lato"/>
                <w:b/>
                <w:color w:val="163349"/>
                <w:sz w:val="18"/>
              </w:rPr>
              <w:t>FIN-72-02</w:t>
            </w:r>
          </w:p>
        </w:tc>
        <w:tc>
          <w:tcPr>
            <w:tcW w:type="dxa" w:w="3960"/>
            <w:shd w:fill="FFFFFF"/>
          </w:tcPr>
          <w:p>
            <w:pPr>
              <w:pStyle w:val="TableText"/>
              <w:keepNext w:val="0"/>
            </w:pPr>
            <w:r>
              <w:rPr>
                <w:rFonts w:ascii="Lato" w:hAnsi="Lato"/>
                <w:sz w:val="18"/>
              </w:rPr>
              <w:t>Restore a page from back/forward cache.</w:t>
            </w:r>
          </w:p>
        </w:tc>
        <w:tc>
          <w:tcPr>
            <w:tcW w:type="dxa" w:w="4647"/>
            <w:shd w:fill="FFFFFF"/>
          </w:tcPr>
          <w:p>
            <w:pPr>
              <w:pStyle w:val="TableText"/>
              <w:keepNext w:val="0"/>
            </w:pPr>
            <w:r>
              <w:rPr>
                <w:rFonts w:ascii="Lato" w:hAnsi="Lato"/>
                <w:sz w:val="18"/>
              </w:rPr>
              <w:t>Declared page-view policy runs once; listeners, chat connections and timers are not duplicated.</w:t>
            </w:r>
          </w:p>
        </w:tc>
      </w:tr>
      <w:tr>
        <w:trPr>
          <w:cantSplit/>
        </w:trPr>
        <w:tc>
          <w:tcPr>
            <w:tcW w:type="dxa" w:w="1224"/>
            <w:shd w:fill="F2F7FA"/>
          </w:tcPr>
          <w:p>
            <w:pPr>
              <w:pStyle w:val="TableText"/>
              <w:keepNext w:val="0"/>
            </w:pPr>
            <w:r>
              <w:rPr>
                <w:rFonts w:ascii="Lato" w:hAnsi="Lato"/>
                <w:b/>
                <w:color w:val="163349"/>
                <w:sz w:val="18"/>
              </w:rPr>
              <w:t>FIN-72-03</w:t>
            </w:r>
          </w:p>
        </w:tc>
        <w:tc>
          <w:tcPr>
            <w:tcW w:type="dxa" w:w="3960"/>
            <w:shd w:fill="F2F7FA"/>
          </w:tcPr>
          <w:p>
            <w:pPr>
              <w:pStyle w:val="TableText"/>
              <w:keepNext w:val="0"/>
            </w:pPr>
            <w:r>
              <w:rPr>
                <w:rFonts w:ascii="Lato" w:hAnsi="Lato"/>
                <w:sz w:val="18"/>
              </w:rPr>
              <w:t>Keep the pricing marker intersecting while the document is hidden.</w:t>
            </w:r>
          </w:p>
        </w:tc>
        <w:tc>
          <w:tcPr>
            <w:tcW w:type="dxa" w:w="4647"/>
            <w:shd w:fill="F2F7FA"/>
          </w:tcPr>
          <w:p>
            <w:pPr>
              <w:pStyle w:val="TableText"/>
              <w:keepNext w:val="0"/>
            </w:pPr>
            <w:r>
              <w:rPr>
                <w:rFonts w:ascii="Lato" w:hAnsi="Lato"/>
                <w:sz w:val="18"/>
              </w:rPr>
              <w:t>Hidden time does not satisfy qualifying visibility or count as reading.</w:t>
            </w:r>
          </w:p>
        </w:tc>
      </w:tr>
      <w:tr>
        <w:trPr>
          <w:cantSplit/>
        </w:trPr>
        <w:tc>
          <w:tcPr>
            <w:tcW w:type="dxa" w:w="1224"/>
            <w:shd w:fill="FFFFFF"/>
          </w:tcPr>
          <w:p>
            <w:pPr>
              <w:pStyle w:val="TableText"/>
              <w:keepNext w:val="0"/>
            </w:pPr>
            <w:r>
              <w:rPr>
                <w:rFonts w:ascii="Lato" w:hAnsi="Lato"/>
                <w:b/>
                <w:color w:val="163349"/>
                <w:sz w:val="18"/>
              </w:rPr>
              <w:t>FIN-72-04</w:t>
            </w:r>
          </w:p>
        </w:tc>
        <w:tc>
          <w:tcPr>
            <w:tcW w:type="dxa" w:w="3960"/>
            <w:shd w:fill="FFFFFF"/>
          </w:tcPr>
          <w:p>
            <w:pPr>
              <w:pStyle w:val="TableText"/>
              <w:keepNext w:val="0"/>
            </w:pPr>
            <w:r>
              <w:rPr>
                <w:rFonts w:ascii="Lato" w:hAnsi="Lato"/>
                <w:sz w:val="18"/>
              </w:rPr>
              <w:t>Withdraw analytics/ads in another same-origin tab, then restore an old tab.</w:t>
            </w:r>
          </w:p>
        </w:tc>
        <w:tc>
          <w:tcPr>
            <w:tcW w:type="dxa" w:w="4647"/>
            <w:shd w:fill="FFFFFF"/>
          </w:tcPr>
          <w:p>
            <w:pPr>
              <w:pStyle w:val="TableText"/>
              <w:keepNext w:val="0"/>
            </w:pPr>
            <w:r>
              <w:rPr>
                <w:rFonts w:ascii="Lato" w:hAnsi="Lato"/>
                <w:sz w:val="18"/>
              </w:rPr>
              <w:t>Consent resynchronizes before collection/dispatch; stale state cannot restart prohibited tracking.</w:t>
            </w:r>
          </w:p>
        </w:tc>
      </w:tr>
      <w:tr>
        <w:trPr>
          <w:cantSplit/>
        </w:trPr>
        <w:tc>
          <w:tcPr>
            <w:tcW w:type="dxa" w:w="1224"/>
            <w:shd w:fill="F2F7FA"/>
          </w:tcPr>
          <w:p>
            <w:pPr>
              <w:pStyle w:val="TableText"/>
              <w:keepNext w:val="0"/>
            </w:pPr>
            <w:r>
              <w:rPr>
                <w:rFonts w:ascii="Lato" w:hAnsi="Lato"/>
                <w:b/>
                <w:color w:val="163349"/>
                <w:sz w:val="18"/>
              </w:rPr>
              <w:t>FIN-72-05</w:t>
            </w:r>
          </w:p>
        </w:tc>
        <w:tc>
          <w:tcPr>
            <w:tcW w:type="dxa" w:w="3960"/>
            <w:shd w:fill="F2F7FA"/>
          </w:tcPr>
          <w:p>
            <w:pPr>
              <w:pStyle w:val="TableText"/>
              <w:keepNext w:val="0"/>
            </w:pPr>
            <w:r>
              <w:rPr>
                <w:rFonts w:ascii="Lato" w:hAnsi="Lato"/>
                <w:sz w:val="18"/>
              </w:rPr>
              <w:t>Log out of a protected page, then use Back on a shared device.</w:t>
            </w:r>
          </w:p>
        </w:tc>
        <w:tc>
          <w:tcPr>
            <w:tcW w:type="dxa" w:w="4647"/>
            <w:shd w:fill="F2F7FA"/>
          </w:tcPr>
          <w:p>
            <w:pPr>
              <w:pStyle w:val="TableText"/>
              <w:keepNext w:val="0"/>
            </w:pPr>
            <w:r>
              <w:rPr>
                <w:rFonts w:ascii="Lato" w:hAnsi="Lato"/>
                <w:sz w:val="18"/>
              </w:rPr>
              <w:t>Protected content/session state is cleared or reauthorized; previous private data is not left available.</w:t>
            </w:r>
          </w:p>
        </w:tc>
      </w:tr>
      <w:tr>
        <w:trPr>
          <w:cantSplit/>
        </w:trPr>
        <w:tc>
          <w:tcPr>
            <w:tcW w:type="dxa" w:w="1224"/>
            <w:shd w:fill="FFFFFF"/>
          </w:tcPr>
          <w:p>
            <w:pPr>
              <w:pStyle w:val="TableText"/>
              <w:keepNext w:val="0"/>
            </w:pPr>
            <w:r>
              <w:rPr>
                <w:rFonts w:ascii="Lato" w:hAnsi="Lato"/>
                <w:b/>
                <w:color w:val="163349"/>
                <w:sz w:val="18"/>
              </w:rPr>
              <w:t>FIN-72-06</w:t>
            </w:r>
          </w:p>
        </w:tc>
        <w:tc>
          <w:tcPr>
            <w:tcW w:type="dxa" w:w="3960"/>
            <w:shd w:fill="FFFFFF"/>
          </w:tcPr>
          <w:p>
            <w:pPr>
              <w:pStyle w:val="TableText"/>
              <w:keepNext w:val="0"/>
            </w:pPr>
            <w:r>
              <w:rPr>
                <w:rFonts w:ascii="Lato" w:hAnsi="Lato"/>
                <w:sz w:val="18"/>
              </w:rPr>
              <w:t>A link scanner sends GET requests to confirmation, unsubscribe and resource URLs.</w:t>
            </w:r>
          </w:p>
        </w:tc>
        <w:tc>
          <w:tcPr>
            <w:tcW w:type="dxa" w:w="4647"/>
            <w:shd w:fill="FFFFFF"/>
          </w:tcPr>
          <w:p>
            <w:pPr>
              <w:pStyle w:val="TableText"/>
              <w:keepNext w:val="0"/>
            </w:pPr>
            <w:r>
              <w:rPr>
                <w:rFonts w:ascii="Lato" w:hAnsi="Lato"/>
                <w:sz w:val="18"/>
              </w:rPr>
              <w:t>No unintended irreversible action or false customer conversion occurs; action-specific proof is enforced.</w:t>
            </w:r>
          </w:p>
        </w:tc>
      </w:tr>
      <w:tr>
        <w:trPr>
          <w:cantSplit/>
        </w:trPr>
        <w:tc>
          <w:tcPr>
            <w:tcW w:type="dxa" w:w="1224"/>
            <w:shd w:fill="F2F7FA"/>
          </w:tcPr>
          <w:p>
            <w:pPr>
              <w:pStyle w:val="TableText"/>
              <w:keepNext w:val="0"/>
            </w:pPr>
            <w:r>
              <w:rPr>
                <w:rFonts w:ascii="Lato" w:hAnsi="Lato"/>
                <w:b/>
                <w:color w:val="163349"/>
                <w:sz w:val="18"/>
              </w:rPr>
              <w:t>FIN-72-07</w:t>
            </w:r>
          </w:p>
        </w:tc>
        <w:tc>
          <w:tcPr>
            <w:tcW w:type="dxa" w:w="3960"/>
            <w:shd w:fill="F2F7FA"/>
          </w:tcPr>
          <w:p>
            <w:pPr>
              <w:pStyle w:val="TableText"/>
              <w:keepNext w:val="0"/>
            </w:pPr>
            <w:r>
              <w:rPr>
                <w:rFonts w:ascii="Lato" w:hAnsi="Lato"/>
                <w:sz w:val="18"/>
              </w:rPr>
              <w:t>Mobile network drops after backend lead commit but before the browser receives confirmation.</w:t>
            </w:r>
          </w:p>
        </w:tc>
        <w:tc>
          <w:tcPr>
            <w:tcW w:type="dxa" w:w="4647"/>
            <w:shd w:fill="F2F7FA"/>
          </w:tcPr>
          <w:p>
            <w:pPr>
              <w:pStyle w:val="TableText"/>
              <w:keepNext w:val="0"/>
            </w:pPr>
            <w:r>
              <w:rPr>
                <w:rFonts w:ascii="Lato" w:hAnsi="Lato"/>
                <w:sz w:val="18"/>
              </w:rPr>
              <w:t>Retry returns the original accepted result and does not create another lead or new conversion ID.</w:t>
            </w:r>
          </w:p>
        </w:tc>
      </w:tr>
      <w:tr>
        <w:trPr>
          <w:cantSplit/>
        </w:trPr>
        <w:tc>
          <w:tcPr>
            <w:tcW w:type="dxa" w:w="1224"/>
            <w:shd w:fill="FFFFFF"/>
          </w:tcPr>
          <w:p>
            <w:pPr>
              <w:pStyle w:val="TableText"/>
              <w:keepNext w:val="0"/>
            </w:pPr>
            <w:r>
              <w:rPr>
                <w:rFonts w:ascii="Lato" w:hAnsi="Lato"/>
                <w:b/>
                <w:color w:val="163349"/>
                <w:sz w:val="18"/>
              </w:rPr>
              <w:t>FIN-72-08</w:t>
            </w:r>
          </w:p>
        </w:tc>
        <w:tc>
          <w:tcPr>
            <w:tcW w:type="dxa" w:w="3960"/>
            <w:shd w:fill="FFFFFF"/>
          </w:tcPr>
          <w:p>
            <w:pPr>
              <w:pStyle w:val="TableText"/>
              <w:keepNext w:val="0"/>
            </w:pPr>
            <w:r>
              <w:rPr>
                <w:rFonts w:ascii="Lato" w:hAnsi="Lato"/>
                <w:sz w:val="18"/>
              </w:rPr>
              <w:t>Block storage and all optional tags, then use manual location and chat/form capture.</w:t>
            </w:r>
          </w:p>
        </w:tc>
        <w:tc>
          <w:tcPr>
            <w:tcW w:type="dxa" w:w="4647"/>
            <w:shd w:fill="FFFFFF"/>
          </w:tcPr>
          <w:p>
            <w:pPr>
              <w:pStyle w:val="TableText"/>
              <w:keepNext w:val="0"/>
            </w:pPr>
            <w:r>
              <w:rPr>
                <w:rFonts w:ascii="Lato" w:hAnsi="Lato"/>
                <w:sz w:val="18"/>
              </w:rPr>
              <w:t>Core service succeeds without inferred earlier tracking or coercive consent requirements.</w:t>
            </w:r>
          </w:p>
        </w:tc>
      </w:tr>
    </w:tbl>
    <w:p>
      <w:pPr>
        <w:spacing w:after="40"/>
      </w:pPr>
      <w:r/>
    </w:p>
    <w:p>
      <w:pPr>
        <w:pStyle w:val="Heading2"/>
        <w:keepNext/>
      </w:pPr>
      <w:r>
        <w:t>N.8 73 — Owner, accessibility and content</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FIN-73-01</w:t>
            </w:r>
          </w:p>
        </w:tc>
        <w:tc>
          <w:tcPr>
            <w:tcW w:type="dxa" w:w="3960"/>
            <w:shd w:fill="F2F7FA"/>
          </w:tcPr>
          <w:p>
            <w:pPr>
              <w:pStyle w:val="TableText"/>
              <w:keepNext w:val="0"/>
            </w:pPr>
            <w:r>
              <w:rPr>
                <w:rFonts w:ascii="Lato" w:hAnsi="Lato"/>
                <w:sz w:val="18"/>
              </w:rPr>
              <w:t>Crash the editor after an acknowledged autosave and again before acknowledgment.</w:t>
            </w:r>
          </w:p>
        </w:tc>
        <w:tc>
          <w:tcPr>
            <w:tcW w:type="dxa" w:w="4647"/>
            <w:shd w:fill="F2F7FA"/>
          </w:tcPr>
          <w:p>
            <w:pPr>
              <w:pStyle w:val="TableText"/>
              <w:keepNext w:val="0"/>
            </w:pPr>
            <w:r>
              <w:rPr>
                <w:rFonts w:ascii="Lato" w:hAnsi="Lato"/>
                <w:sz w:val="18"/>
              </w:rPr>
              <w:t>Committed revision recovers; unsaved local work is accurately labeled and never presented as published.</w:t>
            </w:r>
          </w:p>
        </w:tc>
      </w:tr>
      <w:tr>
        <w:trPr>
          <w:cantSplit/>
        </w:trPr>
        <w:tc>
          <w:tcPr>
            <w:tcW w:type="dxa" w:w="1224"/>
            <w:shd w:fill="FFFFFF"/>
          </w:tcPr>
          <w:p>
            <w:pPr>
              <w:pStyle w:val="TableText"/>
              <w:keepNext w:val="0"/>
            </w:pPr>
            <w:r>
              <w:rPr>
                <w:rFonts w:ascii="Lato" w:hAnsi="Lato"/>
                <w:b/>
                <w:color w:val="163349"/>
                <w:sz w:val="18"/>
              </w:rPr>
              <w:t>FIN-73-02</w:t>
            </w:r>
          </w:p>
        </w:tc>
        <w:tc>
          <w:tcPr>
            <w:tcW w:type="dxa" w:w="3960"/>
            <w:shd w:fill="FFFFFF"/>
          </w:tcPr>
          <w:p>
            <w:pPr>
              <w:pStyle w:val="TableText"/>
              <w:keepNext w:val="0"/>
            </w:pPr>
            <w:r>
              <w:rPr>
                <w:rFonts w:ascii="Lato" w:hAnsi="Lato"/>
                <w:sz w:val="18"/>
              </w:rPr>
              <w:t>Two editors update the same version, including a shared block.</w:t>
            </w:r>
          </w:p>
        </w:tc>
        <w:tc>
          <w:tcPr>
            <w:tcW w:type="dxa" w:w="4647"/>
            <w:shd w:fill="FFFFFF"/>
          </w:tcPr>
          <w:p>
            <w:pPr>
              <w:pStyle w:val="TableText"/>
              <w:keepNext w:val="0"/>
            </w:pPr>
            <w:r>
              <w:rPr>
                <w:rFonts w:ascii="Lato" w:hAnsi="Lato"/>
                <w:sz w:val="18"/>
              </w:rPr>
              <w:t>Conflict resolution preserves both intentions without silent last-write overwrite; impact is visible.</w:t>
            </w:r>
          </w:p>
        </w:tc>
      </w:tr>
      <w:tr>
        <w:trPr>
          <w:cantSplit/>
        </w:trPr>
        <w:tc>
          <w:tcPr>
            <w:tcW w:type="dxa" w:w="1224"/>
            <w:shd w:fill="F2F7FA"/>
          </w:tcPr>
          <w:p>
            <w:pPr>
              <w:pStyle w:val="TableText"/>
              <w:keepNext w:val="0"/>
            </w:pPr>
            <w:r>
              <w:rPr>
                <w:rFonts w:ascii="Lato" w:hAnsi="Lato"/>
                <w:b/>
                <w:color w:val="163349"/>
                <w:sz w:val="18"/>
              </w:rPr>
              <w:t>FIN-73-03</w:t>
            </w:r>
          </w:p>
        </w:tc>
        <w:tc>
          <w:tcPr>
            <w:tcW w:type="dxa" w:w="3960"/>
            <w:shd w:fill="F2F7FA"/>
          </w:tcPr>
          <w:p>
            <w:pPr>
              <w:pStyle w:val="TableText"/>
              <w:keepNext w:val="0"/>
            </w:pPr>
            <w:r>
              <w:rPr>
                <w:rFonts w:ascii="Lato" w:hAnsi="Lato"/>
                <w:sz w:val="18"/>
              </w:rPr>
              <w:t>Change a custom collection field type used by published records.</w:t>
            </w:r>
          </w:p>
        </w:tc>
        <w:tc>
          <w:tcPr>
            <w:tcW w:type="dxa" w:w="4647"/>
            <w:shd w:fill="F2F7FA"/>
          </w:tcPr>
          <w:p>
            <w:pPr>
              <w:pStyle w:val="TableText"/>
              <w:keepNext w:val="0"/>
            </w:pPr>
            <w:r>
              <w:rPr>
                <w:rFonts w:ascii="Lato" w:hAnsi="Lato"/>
                <w:sz w:val="18"/>
              </w:rPr>
              <w:t>Migration/compatibility preview blocks unsafe schema change; old published revisions remain readable.</w:t>
            </w:r>
          </w:p>
        </w:tc>
      </w:tr>
      <w:tr>
        <w:trPr>
          <w:cantSplit/>
        </w:trPr>
        <w:tc>
          <w:tcPr>
            <w:tcW w:type="dxa" w:w="1224"/>
            <w:shd w:fill="FFFFFF"/>
          </w:tcPr>
          <w:p>
            <w:pPr>
              <w:pStyle w:val="TableText"/>
              <w:keepNext w:val="0"/>
            </w:pPr>
            <w:r>
              <w:rPr>
                <w:rFonts w:ascii="Lato" w:hAnsi="Lato"/>
                <w:b/>
                <w:color w:val="163349"/>
                <w:sz w:val="18"/>
              </w:rPr>
              <w:t>FIN-73-04</w:t>
            </w:r>
          </w:p>
        </w:tc>
        <w:tc>
          <w:tcPr>
            <w:tcW w:type="dxa" w:w="3960"/>
            <w:shd w:fill="FFFFFF"/>
          </w:tcPr>
          <w:p>
            <w:pPr>
              <w:pStyle w:val="TableText"/>
              <w:keepNext w:val="0"/>
            </w:pPr>
            <w:r>
              <w:rPr>
                <w:rFonts w:ascii="Lato" w:hAnsi="Lato"/>
                <w:sz w:val="18"/>
              </w:rPr>
              <w:t>Perform page-builder ordering without a mouse.</w:t>
            </w:r>
          </w:p>
        </w:tc>
        <w:tc>
          <w:tcPr>
            <w:tcW w:type="dxa" w:w="4647"/>
            <w:shd w:fill="FFFFFF"/>
          </w:tcPr>
          <w:p>
            <w:pPr>
              <w:pStyle w:val="TableText"/>
              <w:keepNext w:val="0"/>
            </w:pPr>
            <w:r>
              <w:rPr>
                <w:rFonts w:ascii="Lato" w:hAnsi="Lato"/>
                <w:sz w:val="18"/>
              </w:rPr>
              <w:t>Keyboard or equivalent controls support the same operation with visible focus and accessible feedback.</w:t>
            </w:r>
          </w:p>
        </w:tc>
      </w:tr>
      <w:tr>
        <w:trPr>
          <w:cantSplit/>
        </w:trPr>
        <w:tc>
          <w:tcPr>
            <w:tcW w:type="dxa" w:w="1224"/>
            <w:shd w:fill="F2F7FA"/>
          </w:tcPr>
          <w:p>
            <w:pPr>
              <w:pStyle w:val="TableText"/>
              <w:keepNext w:val="0"/>
            </w:pPr>
            <w:r>
              <w:rPr>
                <w:rFonts w:ascii="Lato" w:hAnsi="Lato"/>
                <w:b/>
                <w:color w:val="163349"/>
                <w:sz w:val="18"/>
              </w:rPr>
              <w:t>FIN-73-05</w:t>
            </w:r>
          </w:p>
        </w:tc>
        <w:tc>
          <w:tcPr>
            <w:tcW w:type="dxa" w:w="3960"/>
            <w:shd w:fill="F2F7FA"/>
          </w:tcPr>
          <w:p>
            <w:pPr>
              <w:pStyle w:val="TableText"/>
              <w:keepNext w:val="0"/>
            </w:pPr>
            <w:r>
              <w:rPr>
                <w:rFonts w:ascii="Lato" w:hAnsi="Lato"/>
                <w:sz w:val="18"/>
              </w:rPr>
              <w:t>Introduce a campaign popup while testing zoom, reduced motion and screen readers.</w:t>
            </w:r>
          </w:p>
        </w:tc>
        <w:tc>
          <w:tcPr>
            <w:tcW w:type="dxa" w:w="4647"/>
            <w:shd w:fill="F2F7FA"/>
          </w:tcPr>
          <w:p>
            <w:pPr>
              <w:pStyle w:val="TableText"/>
              <w:keepNext w:val="0"/>
            </w:pPr>
            <w:r>
              <w:rPr>
                <w:rFonts w:ascii="Lato" w:hAnsi="Lato"/>
                <w:sz w:val="18"/>
              </w:rPr>
              <w:t>Essential content, consent and form controls remain operable; focus is restored correctly.</w:t>
            </w:r>
          </w:p>
        </w:tc>
      </w:tr>
      <w:tr>
        <w:trPr>
          <w:cantSplit/>
        </w:trPr>
        <w:tc>
          <w:tcPr>
            <w:tcW w:type="dxa" w:w="1224"/>
            <w:shd w:fill="FFFFFF"/>
          </w:tcPr>
          <w:p>
            <w:pPr>
              <w:pStyle w:val="TableText"/>
              <w:keepNext w:val="0"/>
            </w:pPr>
            <w:r>
              <w:rPr>
                <w:rFonts w:ascii="Lato" w:hAnsi="Lato"/>
                <w:b/>
                <w:color w:val="163349"/>
                <w:sz w:val="18"/>
              </w:rPr>
              <w:t>FIN-73-06</w:t>
            </w:r>
          </w:p>
        </w:tc>
        <w:tc>
          <w:tcPr>
            <w:tcW w:type="dxa" w:w="3960"/>
            <w:shd w:fill="FFFFFF"/>
          </w:tcPr>
          <w:p>
            <w:pPr>
              <w:pStyle w:val="TableText"/>
              <w:keepNext w:val="0"/>
            </w:pPr>
            <w:r>
              <w:rPr>
                <w:rFonts w:ascii="Lato" w:hAnsi="Lato"/>
                <w:sz w:val="18"/>
              </w:rPr>
              <w:t>Remove an author/category or replace a referenced media folder.</w:t>
            </w:r>
          </w:p>
        </w:tc>
        <w:tc>
          <w:tcPr>
            <w:tcW w:type="dxa" w:w="4647"/>
            <w:shd w:fill="FFFFFF"/>
          </w:tcPr>
          <w:p>
            <w:pPr>
              <w:pStyle w:val="TableText"/>
              <w:keepNext w:val="0"/>
            </w:pPr>
            <w:r>
              <w:rPr>
                <w:rFonts w:ascii="Lato" w:hAnsi="Lato"/>
                <w:sz w:val="18"/>
              </w:rPr>
              <w:t>Protected posts/revisions survive restrictive relationship rules; permitted reassignment is audited.</w:t>
            </w:r>
          </w:p>
        </w:tc>
      </w:tr>
      <w:tr>
        <w:trPr>
          <w:cantSplit/>
        </w:trPr>
        <w:tc>
          <w:tcPr>
            <w:tcW w:type="dxa" w:w="1224"/>
            <w:shd w:fill="F2F7FA"/>
          </w:tcPr>
          <w:p>
            <w:pPr>
              <w:pStyle w:val="TableText"/>
              <w:keepNext w:val="0"/>
            </w:pPr>
            <w:r>
              <w:rPr>
                <w:rFonts w:ascii="Lato" w:hAnsi="Lato"/>
                <w:b/>
                <w:color w:val="163349"/>
                <w:sz w:val="18"/>
              </w:rPr>
              <w:t>FIN-73-07</w:t>
            </w:r>
          </w:p>
        </w:tc>
        <w:tc>
          <w:tcPr>
            <w:tcW w:type="dxa" w:w="3960"/>
            <w:shd w:fill="F2F7FA"/>
          </w:tcPr>
          <w:p>
            <w:pPr>
              <w:pStyle w:val="TableText"/>
              <w:keepNext w:val="0"/>
            </w:pPr>
            <w:r>
              <w:rPr>
                <w:rFonts w:ascii="Lato" w:hAnsi="Lato"/>
                <w:sz w:val="18"/>
              </w:rPr>
              <w:t>A chatbot extracts the wrong phone number from a conversation.</w:t>
            </w:r>
          </w:p>
        </w:tc>
        <w:tc>
          <w:tcPr>
            <w:tcW w:type="dxa" w:w="4647"/>
            <w:shd w:fill="F2F7FA"/>
          </w:tcPr>
          <w:p>
            <w:pPr>
              <w:pStyle w:val="TableText"/>
              <w:keepNext w:val="0"/>
            </w:pPr>
            <w:r>
              <w:rPr>
                <w:rFonts w:ascii="Lato" w:hAnsi="Lato"/>
                <w:sz w:val="18"/>
              </w:rPr>
              <w:t>Visitor confirmation or approved structured validation precedes lead capture; AI text is not trusted identity.</w:t>
            </w:r>
          </w:p>
        </w:tc>
      </w:tr>
      <w:tr>
        <w:trPr>
          <w:cantSplit/>
        </w:trPr>
        <w:tc>
          <w:tcPr>
            <w:tcW w:type="dxa" w:w="1224"/>
            <w:shd w:fill="FFFFFF"/>
          </w:tcPr>
          <w:p>
            <w:pPr>
              <w:pStyle w:val="TableText"/>
              <w:keepNext w:val="0"/>
            </w:pPr>
            <w:r>
              <w:rPr>
                <w:rFonts w:ascii="Lato" w:hAnsi="Lato"/>
                <w:b/>
                <w:color w:val="163349"/>
                <w:sz w:val="18"/>
              </w:rPr>
              <w:t>FIN-73-08</w:t>
            </w:r>
          </w:p>
        </w:tc>
        <w:tc>
          <w:tcPr>
            <w:tcW w:type="dxa" w:w="3960"/>
            <w:shd w:fill="FFFFFF"/>
          </w:tcPr>
          <w:p>
            <w:pPr>
              <w:pStyle w:val="TableText"/>
              <w:keepNext w:val="0"/>
            </w:pPr>
            <w:r>
              <w:rPr>
                <w:rFonts w:ascii="Lato" w:hAnsi="Lato"/>
                <w:sz w:val="18"/>
              </w:rPr>
              <w:t>A second operator follows only the owner handbook.</w:t>
            </w:r>
          </w:p>
        </w:tc>
        <w:tc>
          <w:tcPr>
            <w:tcW w:type="dxa" w:w="4647"/>
            <w:shd w:fill="FFFFFF"/>
          </w:tcPr>
          <w:p>
            <w:pPr>
              <w:pStyle w:val="TableText"/>
              <w:keepNext w:val="0"/>
            </w:pPr>
            <w:r>
              <w:rPr>
                <w:rFonts w:ascii="Lato" w:hAnsi="Lato"/>
                <w:sz w:val="18"/>
              </w:rPr>
              <w:t>Core content, campaign, lead, workflow, diagnostics and manual restore tasks succeed or become tracked usability defects.</w:t>
            </w:r>
          </w:p>
        </w:tc>
      </w:tr>
    </w:tbl>
    <w:p>
      <w:pPr>
        <w:spacing w:after="40"/>
      </w:pPr>
      <w:r/>
    </w:p>
    <w:p>
      <w:pPr>
        <w:pStyle w:val="Heading2"/>
        <w:keepNext/>
      </w:pPr>
      <w:r>
        <w:t>N.9 74 — Security, integrity and recovery</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FIN-74-01</w:t>
            </w:r>
          </w:p>
        </w:tc>
        <w:tc>
          <w:tcPr>
            <w:tcW w:type="dxa" w:w="3960"/>
            <w:shd w:fill="F2F7FA"/>
          </w:tcPr>
          <w:p>
            <w:pPr>
              <w:pStyle w:val="TableText"/>
              <w:keepNext w:val="0"/>
            </w:pPr>
            <w:r>
              <w:rPr>
                <w:rFonts w:ascii="Lato" w:hAnsi="Lato"/>
                <w:sz w:val="18"/>
              </w:rPr>
              <w:t>Change tenant/site IDs in public/admin requests, exports and queued jobs.</w:t>
            </w:r>
          </w:p>
        </w:tc>
        <w:tc>
          <w:tcPr>
            <w:tcW w:type="dxa" w:w="4647"/>
            <w:shd w:fill="F2F7FA"/>
          </w:tcPr>
          <w:p>
            <w:pPr>
              <w:pStyle w:val="TableText"/>
              <w:keepNext w:val="0"/>
            </w:pPr>
            <w:r>
              <w:rPr>
                <w:rFonts w:ascii="Lato" w:hAnsi="Lato"/>
                <w:sz w:val="18"/>
              </w:rPr>
              <w:t>Trusted scoping and object checks prevent cross-site access at every boundary.</w:t>
            </w:r>
          </w:p>
        </w:tc>
      </w:tr>
      <w:tr>
        <w:trPr>
          <w:cantSplit/>
        </w:trPr>
        <w:tc>
          <w:tcPr>
            <w:tcW w:type="dxa" w:w="1224"/>
            <w:shd w:fill="FFFFFF"/>
          </w:tcPr>
          <w:p>
            <w:pPr>
              <w:pStyle w:val="TableText"/>
              <w:keepNext w:val="0"/>
            </w:pPr>
            <w:r>
              <w:rPr>
                <w:rFonts w:ascii="Lato" w:hAnsi="Lato"/>
                <w:b/>
                <w:color w:val="163349"/>
                <w:sz w:val="18"/>
              </w:rPr>
              <w:t>FIN-74-02</w:t>
            </w:r>
          </w:p>
        </w:tc>
        <w:tc>
          <w:tcPr>
            <w:tcW w:type="dxa" w:w="3960"/>
            <w:shd w:fill="FFFFFF"/>
          </w:tcPr>
          <w:p>
            <w:pPr>
              <w:pStyle w:val="TableText"/>
              <w:keepNext w:val="0"/>
            </w:pPr>
            <w:r>
              <w:rPr>
                <w:rFonts w:ascii="Lato" w:hAnsi="Lato"/>
                <w:sz w:val="18"/>
              </w:rPr>
              <w:t>A stored upload references internal URLs or contains active disguised content.</w:t>
            </w:r>
          </w:p>
        </w:tc>
        <w:tc>
          <w:tcPr>
            <w:tcW w:type="dxa" w:w="4647"/>
            <w:shd w:fill="FFFFFF"/>
          </w:tcPr>
          <w:p>
            <w:pPr>
              <w:pStyle w:val="TableText"/>
              <w:keepNext w:val="0"/>
            </w:pPr>
            <w:r>
              <w:rPr>
                <w:rFonts w:ascii="Lato" w:hAnsi="Lato"/>
                <w:sz w:val="18"/>
              </w:rPr>
              <w:t>Isolation, type/size checks, outbound restrictions and quarantine prevent execution or private-network access.</w:t>
            </w:r>
          </w:p>
        </w:tc>
      </w:tr>
      <w:tr>
        <w:trPr>
          <w:cantSplit/>
        </w:trPr>
        <w:tc>
          <w:tcPr>
            <w:tcW w:type="dxa" w:w="1224"/>
            <w:shd w:fill="F2F7FA"/>
          </w:tcPr>
          <w:p>
            <w:pPr>
              <w:pStyle w:val="TableText"/>
              <w:keepNext w:val="0"/>
            </w:pPr>
            <w:r>
              <w:rPr>
                <w:rFonts w:ascii="Lato" w:hAnsi="Lato"/>
                <w:b/>
                <w:color w:val="163349"/>
                <w:sz w:val="18"/>
              </w:rPr>
              <w:t>FIN-74-03</w:t>
            </w:r>
          </w:p>
        </w:tc>
        <w:tc>
          <w:tcPr>
            <w:tcW w:type="dxa" w:w="3960"/>
            <w:shd w:fill="F2F7FA"/>
          </w:tcPr>
          <w:p>
            <w:pPr>
              <w:pStyle w:val="TableText"/>
              <w:keepNext w:val="0"/>
            </w:pPr>
            <w:r>
              <w:rPr>
                <w:rFonts w:ascii="Lato" w:hAnsi="Lato"/>
                <w:sz w:val="18"/>
              </w:rPr>
              <w:t>Disable local audit persistence before a privileged content mutation.</w:t>
            </w:r>
          </w:p>
        </w:tc>
        <w:tc>
          <w:tcPr>
            <w:tcW w:type="dxa" w:w="4647"/>
            <w:shd w:fill="F2F7FA"/>
          </w:tcPr>
          <w:p>
            <w:pPr>
              <w:pStyle w:val="TableText"/>
              <w:keepNext w:val="0"/>
            </w:pPr>
            <w:r>
              <w:rPr>
                <w:rFonts w:ascii="Lato" w:hAnsi="Lato"/>
                <w:sz w:val="18"/>
              </w:rPr>
              <w:t>Protected mutation fails durably; no unaudited state change is acknowledged.</w:t>
            </w:r>
          </w:p>
        </w:tc>
      </w:tr>
      <w:tr>
        <w:trPr>
          <w:cantSplit/>
        </w:trPr>
        <w:tc>
          <w:tcPr>
            <w:tcW w:type="dxa" w:w="1224"/>
            <w:shd w:fill="FFFFFF"/>
          </w:tcPr>
          <w:p>
            <w:pPr>
              <w:pStyle w:val="TableText"/>
              <w:keepNext w:val="0"/>
            </w:pPr>
            <w:r>
              <w:rPr>
                <w:rFonts w:ascii="Lato" w:hAnsi="Lato"/>
                <w:b/>
                <w:color w:val="163349"/>
                <w:sz w:val="18"/>
              </w:rPr>
              <w:t>FIN-74-04</w:t>
            </w:r>
          </w:p>
        </w:tc>
        <w:tc>
          <w:tcPr>
            <w:tcW w:type="dxa" w:w="3960"/>
            <w:shd w:fill="FFFFFF"/>
          </w:tcPr>
          <w:p>
            <w:pPr>
              <w:pStyle w:val="TableText"/>
              <w:keepNext w:val="0"/>
            </w:pPr>
            <w:r>
              <w:rPr>
                <w:rFonts w:ascii="Lato" w:hAnsi="Lato"/>
                <w:sz w:val="18"/>
              </w:rPr>
              <w:t>Interrupt independent audit export, alter a batch and resume.</w:t>
            </w:r>
          </w:p>
        </w:tc>
        <w:tc>
          <w:tcPr>
            <w:tcW w:type="dxa" w:w="4647"/>
            <w:shd w:fill="FFFFFF"/>
          </w:tcPr>
          <w:p>
            <w:pPr>
              <w:pStyle w:val="TableText"/>
              <w:keepNext w:val="0"/>
            </w:pPr>
            <w:r>
              <w:rPr>
                <w:rFonts w:ascii="Lato" w:hAnsi="Lato"/>
                <w:sz w:val="18"/>
              </w:rPr>
              <w:t>Lag and integrity alarms detect the problem; local evidence and idempotent export reconcile.</w:t>
            </w:r>
          </w:p>
        </w:tc>
      </w:tr>
      <w:tr>
        <w:trPr>
          <w:cantSplit/>
        </w:trPr>
        <w:tc>
          <w:tcPr>
            <w:tcW w:type="dxa" w:w="1224"/>
            <w:shd w:fill="F2F7FA"/>
          </w:tcPr>
          <w:p>
            <w:pPr>
              <w:pStyle w:val="TableText"/>
              <w:keepNext w:val="0"/>
            </w:pPr>
            <w:r>
              <w:rPr>
                <w:rFonts w:ascii="Lato" w:hAnsi="Lato"/>
                <w:b/>
                <w:color w:val="163349"/>
                <w:sz w:val="18"/>
              </w:rPr>
              <w:t>FIN-74-05</w:t>
            </w:r>
          </w:p>
        </w:tc>
        <w:tc>
          <w:tcPr>
            <w:tcW w:type="dxa" w:w="3960"/>
            <w:shd w:fill="F2F7FA"/>
          </w:tcPr>
          <w:p>
            <w:pPr>
              <w:pStyle w:val="TableText"/>
              <w:keepNext w:val="0"/>
            </w:pPr>
            <w:r>
              <w:rPr>
                <w:rFonts w:ascii="Lato" w:hAnsi="Lato"/>
                <w:sz w:val="18"/>
              </w:rPr>
              <w:t>Advance time past one year and execute all cleanup jobs/storage lifecycle checks.</w:t>
            </w:r>
          </w:p>
        </w:tc>
        <w:tc>
          <w:tcPr>
            <w:tcW w:type="dxa" w:w="4647"/>
            <w:shd w:fill="F2F7FA"/>
          </w:tcPr>
          <w:p>
            <w:pPr>
              <w:pStyle w:val="TableText"/>
              <w:keepNext w:val="0"/>
            </w:pPr>
            <w:r>
              <w:rPr>
                <w:rFonts w:ascii="Lato" w:hAnsi="Lato"/>
                <w:sz w:val="18"/>
              </w:rPr>
              <w:t>Active and trashed blog source/revisions remain; permitted visitor-data retention still runs.</w:t>
            </w:r>
          </w:p>
        </w:tc>
      </w:tr>
      <w:tr>
        <w:trPr>
          <w:cantSplit/>
        </w:trPr>
        <w:tc>
          <w:tcPr>
            <w:tcW w:type="dxa" w:w="1224"/>
            <w:shd w:fill="FFFFFF"/>
          </w:tcPr>
          <w:p>
            <w:pPr>
              <w:pStyle w:val="TableText"/>
              <w:keepNext w:val="0"/>
            </w:pPr>
            <w:r>
              <w:rPr>
                <w:rFonts w:ascii="Lato" w:hAnsi="Lato"/>
                <w:b/>
                <w:color w:val="163349"/>
                <w:sz w:val="18"/>
              </w:rPr>
              <w:t>FIN-74-06</w:t>
            </w:r>
          </w:p>
        </w:tc>
        <w:tc>
          <w:tcPr>
            <w:tcW w:type="dxa" w:w="3960"/>
            <w:shd w:fill="FFFFFF"/>
          </w:tcPr>
          <w:p>
            <w:pPr>
              <w:pStyle w:val="TableText"/>
              <w:keepNext w:val="0"/>
            </w:pPr>
            <w:r>
              <w:rPr>
                <w:rFonts w:ascii="Lato" w:hAnsi="Lato"/>
                <w:sz w:val="18"/>
              </w:rPr>
              <w:t>Restore a backup taken before a lawful deletion and a completed external payment.</w:t>
            </w:r>
          </w:p>
        </w:tc>
        <w:tc>
          <w:tcPr>
            <w:tcW w:type="dxa" w:w="4647"/>
            <w:shd w:fill="FFFFFF"/>
          </w:tcPr>
          <w:p>
            <w:pPr>
              <w:pStyle w:val="TableText"/>
              <w:keepNext w:val="0"/>
            </w:pPr>
            <w:r>
              <w:rPr>
                <w:rFonts w:ascii="Lato" w:hAnsi="Lato"/>
                <w:sz w:val="18"/>
              </w:rPr>
              <w:t>Suppression/deletion is reapplied and the payment is not charged again during replay.</w:t>
            </w:r>
          </w:p>
        </w:tc>
      </w:tr>
      <w:tr>
        <w:trPr>
          <w:cantSplit/>
        </w:trPr>
        <w:tc>
          <w:tcPr>
            <w:tcW w:type="dxa" w:w="1224"/>
            <w:shd w:fill="F2F7FA"/>
          </w:tcPr>
          <w:p>
            <w:pPr>
              <w:pStyle w:val="TableText"/>
              <w:keepNext w:val="0"/>
            </w:pPr>
            <w:r>
              <w:rPr>
                <w:rFonts w:ascii="Lato" w:hAnsi="Lato"/>
                <w:b/>
                <w:color w:val="163349"/>
                <w:sz w:val="18"/>
              </w:rPr>
              <w:t>FIN-74-07</w:t>
            </w:r>
          </w:p>
        </w:tc>
        <w:tc>
          <w:tcPr>
            <w:tcW w:type="dxa" w:w="3960"/>
            <w:shd w:fill="F2F7FA"/>
          </w:tcPr>
          <w:p>
            <w:pPr>
              <w:pStyle w:val="TableText"/>
              <w:keepNext w:val="0"/>
            </w:pPr>
            <w:r>
              <w:rPr>
                <w:rFonts w:ascii="Lato" w:hAnsi="Lato"/>
                <w:sz w:val="18"/>
              </w:rPr>
              <w:t>Lose the primary operator account and recover encrypted backups with approved access.</w:t>
            </w:r>
          </w:p>
        </w:tc>
        <w:tc>
          <w:tcPr>
            <w:tcW w:type="dxa" w:w="4647"/>
            <w:shd w:fill="F2F7FA"/>
          </w:tcPr>
          <w:p>
            <w:pPr>
              <w:pStyle w:val="TableText"/>
              <w:keepNext w:val="0"/>
            </w:pPr>
            <w:r>
              <w:rPr>
                <w:rFonts w:ascii="Lato" w:hAnsi="Lato"/>
                <w:sz w:val="18"/>
              </w:rPr>
              <w:t>Independent account/key recovery works and measured restoration satisfies the approved objective.</w:t>
            </w:r>
          </w:p>
        </w:tc>
      </w:tr>
      <w:tr>
        <w:trPr>
          <w:cantSplit/>
        </w:trPr>
        <w:tc>
          <w:tcPr>
            <w:tcW w:type="dxa" w:w="1224"/>
            <w:shd w:fill="FFFFFF"/>
          </w:tcPr>
          <w:p>
            <w:pPr>
              <w:pStyle w:val="TableText"/>
              <w:keepNext w:val="0"/>
            </w:pPr>
            <w:r>
              <w:rPr>
                <w:rFonts w:ascii="Lato" w:hAnsi="Lato"/>
                <w:b/>
                <w:color w:val="163349"/>
                <w:sz w:val="18"/>
              </w:rPr>
              <w:t>FIN-74-08</w:t>
            </w:r>
          </w:p>
        </w:tc>
        <w:tc>
          <w:tcPr>
            <w:tcW w:type="dxa" w:w="3960"/>
            <w:shd w:fill="FFFFFF"/>
          </w:tcPr>
          <w:p>
            <w:pPr>
              <w:pStyle w:val="TableText"/>
              <w:keepNext w:val="0"/>
            </w:pPr>
            <w:r>
              <w:rPr>
                <w:rFonts w:ascii="Lato" w:hAnsi="Lato"/>
                <w:sz w:val="18"/>
              </w:rPr>
              <w:t>Stress message/OTP/AI/geo endpoints while legitimate leads arrive.</w:t>
            </w:r>
          </w:p>
        </w:tc>
        <w:tc>
          <w:tcPr>
            <w:tcW w:type="dxa" w:w="4647"/>
            <w:shd w:fill="FFFFFF"/>
          </w:tcPr>
          <w:p>
            <w:pPr>
              <w:pStyle w:val="TableText"/>
              <w:keepNext w:val="0"/>
            </w:pPr>
            <w:r>
              <w:rPr>
                <w:rFonts w:ascii="Lato" w:hAnsi="Lato"/>
                <w:sz w:val="18"/>
              </w:rPr>
              <w:t>Budgets and isolation control cost/abuse without losing acknowledged enquiries or preserved content.</w:t>
            </w:r>
          </w:p>
        </w:tc>
      </w:tr>
    </w:tbl>
    <w:p>
      <w:pPr>
        <w:spacing w:after="40"/>
      </w:pPr>
      <w:r/>
    </w:p>
    <w:p>
      <w:pPr>
        <w:pStyle w:val="Heading2"/>
        <w:keepNext/>
      </w:pPr>
      <w:r>
        <w:t>N.10 75 — Conditional business lifecycles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FIN-75-01</w:t>
            </w:r>
          </w:p>
        </w:tc>
        <w:tc>
          <w:tcPr>
            <w:tcW w:type="dxa" w:w="3960"/>
            <w:shd w:fill="F2F7FA"/>
          </w:tcPr>
          <w:p>
            <w:pPr>
              <w:pStyle w:val="TableText"/>
              <w:keepNext w:val="0"/>
            </w:pPr>
            <w:r>
              <w:rPr>
                <w:rFonts w:ascii="Lato" w:hAnsi="Lato"/>
                <w:sz w:val="18"/>
              </w:rPr>
              <w:t>Two customers purchase or reserve the last available unit/capacity.</w:t>
            </w:r>
          </w:p>
        </w:tc>
        <w:tc>
          <w:tcPr>
            <w:tcW w:type="dxa" w:w="4647"/>
            <w:shd w:fill="F2F7FA"/>
          </w:tcPr>
          <w:p>
            <w:pPr>
              <w:pStyle w:val="TableText"/>
              <w:keepNext w:val="0"/>
            </w:pPr>
            <w:r>
              <w:rPr>
                <w:rFonts w:ascii="Lato" w:hAnsi="Lato"/>
                <w:sz w:val="18"/>
              </w:rPr>
              <w:t>Transaction rules prevent double allocation; the losing request receives an accurate recoverable state.</w:t>
            </w:r>
          </w:p>
        </w:tc>
      </w:tr>
      <w:tr>
        <w:trPr>
          <w:cantSplit/>
        </w:trPr>
        <w:tc>
          <w:tcPr>
            <w:tcW w:type="dxa" w:w="1224"/>
            <w:shd w:fill="FFFFFF"/>
          </w:tcPr>
          <w:p>
            <w:pPr>
              <w:pStyle w:val="TableText"/>
              <w:keepNext w:val="0"/>
            </w:pPr>
            <w:r>
              <w:rPr>
                <w:rFonts w:ascii="Lato" w:hAnsi="Lato"/>
                <w:b/>
                <w:color w:val="163349"/>
                <w:sz w:val="18"/>
              </w:rPr>
              <w:t>FIN-75-02</w:t>
            </w:r>
          </w:p>
        </w:tc>
        <w:tc>
          <w:tcPr>
            <w:tcW w:type="dxa" w:w="3960"/>
            <w:shd w:fill="FFFFFF"/>
          </w:tcPr>
          <w:p>
            <w:pPr>
              <w:pStyle w:val="TableText"/>
              <w:keepNext w:val="0"/>
            </w:pPr>
            <w:r>
              <w:rPr>
                <w:rFonts w:ascii="Lato" w:hAnsi="Lato"/>
                <w:sz w:val="18"/>
              </w:rPr>
              <w:t>Payment confirmation arrives after a booking hold expires.</w:t>
            </w:r>
          </w:p>
        </w:tc>
        <w:tc>
          <w:tcPr>
            <w:tcW w:type="dxa" w:w="4647"/>
            <w:shd w:fill="FFFFFF"/>
          </w:tcPr>
          <w:p>
            <w:pPr>
              <w:pStyle w:val="TableText"/>
              <w:keepNext w:val="0"/>
            </w:pPr>
            <w:r>
              <w:rPr>
                <w:rFonts w:ascii="Lato" w:hAnsi="Lato"/>
                <w:sz w:val="18"/>
              </w:rPr>
              <w:t>Approved refund/rebook/manual-review policy runs without double capacity or false confirmation.</w:t>
            </w:r>
          </w:p>
        </w:tc>
      </w:tr>
      <w:tr>
        <w:trPr>
          <w:cantSplit/>
        </w:trPr>
        <w:tc>
          <w:tcPr>
            <w:tcW w:type="dxa" w:w="1224"/>
            <w:shd w:fill="F2F7FA"/>
          </w:tcPr>
          <w:p>
            <w:pPr>
              <w:pStyle w:val="TableText"/>
              <w:keepNext w:val="0"/>
            </w:pPr>
            <w:r>
              <w:rPr>
                <w:rFonts w:ascii="Lato" w:hAnsi="Lato"/>
                <w:b/>
                <w:color w:val="163349"/>
                <w:sz w:val="18"/>
              </w:rPr>
              <w:t>FIN-75-03</w:t>
            </w:r>
          </w:p>
        </w:tc>
        <w:tc>
          <w:tcPr>
            <w:tcW w:type="dxa" w:w="3960"/>
            <w:shd w:fill="F2F7FA"/>
          </w:tcPr>
          <w:p>
            <w:pPr>
              <w:pStyle w:val="TableText"/>
              <w:keepNext w:val="0"/>
            </w:pPr>
            <w:r>
              <w:rPr>
                <w:rFonts w:ascii="Lato" w:hAnsi="Lato"/>
                <w:sz w:val="18"/>
              </w:rPr>
              <w:t>Accept a B2B quote after the catalogue price changes.</w:t>
            </w:r>
          </w:p>
        </w:tc>
        <w:tc>
          <w:tcPr>
            <w:tcW w:type="dxa" w:w="4647"/>
            <w:shd w:fill="F2F7FA"/>
          </w:tcPr>
          <w:p>
            <w:pPr>
              <w:pStyle w:val="TableText"/>
              <w:keepNext w:val="0"/>
            </w:pPr>
            <w:r>
              <w:rPr>
                <w:rFonts w:ascii="Lato" w:hAnsi="Lato"/>
                <w:sz w:val="18"/>
              </w:rPr>
              <w:t>Exact approved quote revision, organization and validity govern; historical terms are not rewritten.</w:t>
            </w:r>
          </w:p>
        </w:tc>
      </w:tr>
      <w:tr>
        <w:trPr>
          <w:cantSplit/>
        </w:trPr>
        <w:tc>
          <w:tcPr>
            <w:tcW w:type="dxa" w:w="1224"/>
            <w:shd w:fill="FFFFFF"/>
          </w:tcPr>
          <w:p>
            <w:pPr>
              <w:pStyle w:val="TableText"/>
              <w:keepNext w:val="0"/>
            </w:pPr>
            <w:r>
              <w:rPr>
                <w:rFonts w:ascii="Lato" w:hAnsi="Lato"/>
                <w:b/>
                <w:color w:val="163349"/>
                <w:sz w:val="18"/>
              </w:rPr>
              <w:t>FIN-75-04</w:t>
            </w:r>
          </w:p>
        </w:tc>
        <w:tc>
          <w:tcPr>
            <w:tcW w:type="dxa" w:w="3960"/>
            <w:shd w:fill="FFFFFF"/>
          </w:tcPr>
          <w:p>
            <w:pPr>
              <w:pStyle w:val="TableText"/>
              <w:keepNext w:val="0"/>
            </w:pPr>
            <w:r>
              <w:rPr>
                <w:rFonts w:ascii="Lato" w:hAnsi="Lato"/>
                <w:sz w:val="18"/>
              </w:rPr>
              <w:t>Receive out-of-order subscription cancellation and renewal webhooks.</w:t>
            </w:r>
          </w:p>
        </w:tc>
        <w:tc>
          <w:tcPr>
            <w:tcW w:type="dxa" w:w="4647"/>
            <w:shd w:fill="FFFFFF"/>
          </w:tcPr>
          <w:p>
            <w:pPr>
              <w:pStyle w:val="TableText"/>
              <w:keepNext w:val="0"/>
            </w:pPr>
            <w:r>
              <w:rPr>
                <w:rFonts w:ascii="Lato" w:hAnsi="Lato"/>
                <w:sz w:val="18"/>
              </w:rPr>
              <w:t>Authoritative lifecycle ordering and entitlements remain correct; billing facts and decisions are audited.</w:t>
            </w:r>
          </w:p>
        </w:tc>
      </w:tr>
      <w:tr>
        <w:trPr>
          <w:cantSplit/>
        </w:trPr>
        <w:tc>
          <w:tcPr>
            <w:tcW w:type="dxa" w:w="1224"/>
            <w:shd w:fill="F2F7FA"/>
          </w:tcPr>
          <w:p>
            <w:pPr>
              <w:pStyle w:val="TableText"/>
              <w:keepNext w:val="0"/>
            </w:pPr>
            <w:r>
              <w:rPr>
                <w:rFonts w:ascii="Lato" w:hAnsi="Lato"/>
                <w:b/>
                <w:color w:val="163349"/>
                <w:sz w:val="18"/>
              </w:rPr>
              <w:t>FIN-75-05</w:t>
            </w:r>
          </w:p>
        </w:tc>
        <w:tc>
          <w:tcPr>
            <w:tcW w:type="dxa" w:w="3960"/>
            <w:shd w:fill="F2F7FA"/>
          </w:tcPr>
          <w:p>
            <w:pPr>
              <w:pStyle w:val="TableText"/>
              <w:keepNext w:val="0"/>
            </w:pPr>
            <w:r>
              <w:rPr>
                <w:rFonts w:ascii="Lato" w:hAnsi="Lato"/>
                <w:sz w:val="18"/>
              </w:rPr>
              <w:t>Refund a marketplace order after a pending seller settlement.</w:t>
            </w:r>
          </w:p>
        </w:tc>
        <w:tc>
          <w:tcPr>
            <w:tcW w:type="dxa" w:w="4647"/>
            <w:shd w:fill="F2F7FA"/>
          </w:tcPr>
          <w:p>
            <w:pPr>
              <w:pStyle w:val="TableText"/>
              <w:keepNext w:val="0"/>
            </w:pPr>
            <w:r>
              <w:rPr>
                <w:rFonts w:ascii="Lato" w:hAnsi="Lato"/>
                <w:sz w:val="18"/>
              </w:rPr>
              <w:t>Settlement, fees, access and dispute/reversal handling reconcile according to the selected provider contract.</w:t>
            </w:r>
          </w:p>
        </w:tc>
      </w:tr>
      <w:tr>
        <w:trPr>
          <w:cantSplit/>
        </w:trPr>
        <w:tc>
          <w:tcPr>
            <w:tcW w:type="dxa" w:w="1224"/>
            <w:shd w:fill="FFFFFF"/>
          </w:tcPr>
          <w:p>
            <w:pPr>
              <w:pStyle w:val="TableText"/>
              <w:keepNext w:val="0"/>
            </w:pPr>
            <w:r>
              <w:rPr>
                <w:rFonts w:ascii="Lato" w:hAnsi="Lato"/>
                <w:b/>
                <w:color w:val="163349"/>
                <w:sz w:val="18"/>
              </w:rPr>
              <w:t>FIN-75-06</w:t>
            </w:r>
          </w:p>
        </w:tc>
        <w:tc>
          <w:tcPr>
            <w:tcW w:type="dxa" w:w="3960"/>
            <w:shd w:fill="FFFFFF"/>
          </w:tcPr>
          <w:p>
            <w:pPr>
              <w:pStyle w:val="TableText"/>
              <w:keepNext w:val="0"/>
            </w:pPr>
            <w:r>
              <w:rPr>
                <w:rFonts w:ascii="Lato" w:hAnsi="Lato"/>
                <w:sz w:val="18"/>
              </w:rPr>
              <w:t>Close a job or cancel an event while search/feed updates are delayed.</w:t>
            </w:r>
          </w:p>
        </w:tc>
        <w:tc>
          <w:tcPr>
            <w:tcW w:type="dxa" w:w="4647"/>
            <w:shd w:fill="FFFFFF"/>
          </w:tcPr>
          <w:p>
            <w:pPr>
              <w:pStyle w:val="TableText"/>
              <w:keepNext w:val="0"/>
            </w:pPr>
            <w:r>
              <w:rPr>
                <w:rFonts w:ascii="Lato" w:hAnsi="Lato"/>
                <w:sz w:val="18"/>
              </w:rPr>
              <w:t>Public status and customer communication are correct; retained applications/content are not silently deleted.</w:t>
            </w:r>
          </w:p>
        </w:tc>
      </w:tr>
      <w:tr>
        <w:trPr>
          <w:cantSplit/>
        </w:trPr>
        <w:tc>
          <w:tcPr>
            <w:tcW w:type="dxa" w:w="1224"/>
            <w:shd w:fill="F2F7FA"/>
          </w:tcPr>
          <w:p>
            <w:pPr>
              <w:pStyle w:val="TableText"/>
              <w:keepNext w:val="0"/>
            </w:pPr>
            <w:r>
              <w:rPr>
                <w:rFonts w:ascii="Lato" w:hAnsi="Lato"/>
                <w:b/>
                <w:color w:val="163349"/>
                <w:sz w:val="18"/>
              </w:rPr>
              <w:t>FIN-75-07</w:t>
            </w:r>
          </w:p>
        </w:tc>
        <w:tc>
          <w:tcPr>
            <w:tcW w:type="dxa" w:w="3960"/>
            <w:shd w:fill="F2F7FA"/>
          </w:tcPr>
          <w:p>
            <w:pPr>
              <w:pStyle w:val="TableText"/>
              <w:keepNext w:val="0"/>
            </w:pPr>
            <w:r>
              <w:rPr>
                <w:rFonts w:ascii="Lato" w:hAnsi="Lato"/>
                <w:sz w:val="18"/>
              </w:rPr>
              <w:t>A guardian, partner or member requests another person's protected record.</w:t>
            </w:r>
          </w:p>
        </w:tc>
        <w:tc>
          <w:tcPr>
            <w:tcW w:type="dxa" w:w="4647"/>
            <w:shd w:fill="F2F7FA"/>
          </w:tcPr>
          <w:p>
            <w:pPr>
              <w:pStyle w:val="TableText"/>
              <w:keepNext w:val="0"/>
            </w:pPr>
            <w:r>
              <w:rPr>
                <w:rFonts w:ascii="Lato" w:hAnsi="Lato"/>
                <w:sz w:val="18"/>
              </w:rPr>
              <w:t>Verified relationship and object authorization prevent disclosure even when identifiers are guessed.</w:t>
            </w:r>
          </w:p>
        </w:tc>
      </w:tr>
      <w:tr>
        <w:trPr>
          <w:cantSplit/>
        </w:trPr>
        <w:tc>
          <w:tcPr>
            <w:tcW w:type="dxa" w:w="1224"/>
            <w:shd w:fill="FFFFFF"/>
          </w:tcPr>
          <w:p>
            <w:pPr>
              <w:pStyle w:val="TableText"/>
              <w:keepNext w:val="0"/>
            </w:pPr>
            <w:r>
              <w:rPr>
                <w:rFonts w:ascii="Lato" w:hAnsi="Lato"/>
                <w:b/>
                <w:color w:val="163349"/>
                <w:sz w:val="18"/>
              </w:rPr>
              <w:t>FIN-75-08</w:t>
            </w:r>
          </w:p>
        </w:tc>
        <w:tc>
          <w:tcPr>
            <w:tcW w:type="dxa" w:w="3960"/>
            <w:shd w:fill="FFFFFF"/>
          </w:tcPr>
          <w:p>
            <w:pPr>
              <w:pStyle w:val="TableText"/>
              <w:keepNext w:val="0"/>
            </w:pPr>
            <w:r>
              <w:rPr>
                <w:rFonts w:ascii="Lato" w:hAnsi="Lato"/>
                <w:sz w:val="18"/>
              </w:rPr>
              <w:t>Cancel a recurring donation or paid membership.</w:t>
            </w:r>
          </w:p>
        </w:tc>
        <w:tc>
          <w:tcPr>
            <w:tcW w:type="dxa" w:w="4647"/>
            <w:shd w:fill="FFFFFF"/>
          </w:tcPr>
          <w:p>
            <w:pPr>
              <w:pStyle w:val="TableText"/>
              <w:keepNext w:val="0"/>
            </w:pPr>
            <w:r>
              <w:rPr>
                <w:rFonts w:ascii="Lato" w:hAnsi="Lato"/>
                <w:sz w:val="18"/>
              </w:rPr>
              <w:t>Future eligible charges/communications stop, receipts remain appropriately retained and cancellation is evidenced.</w:t>
            </w:r>
          </w:p>
        </w:tc>
      </w:tr>
    </w:tbl>
    <w:p>
      <w:pPr>
        <w:spacing w:after="40"/>
      </w:pPr>
      <w:r/>
    </w:p>
    <w:p>
      <w:pPr>
        <w:pStyle w:val="Heading2"/>
        <w:keepNext/>
      </w:pPr>
      <w:r>
        <w:t>N.11 76 — Build, providers and operator contracts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FIN-76-01</w:t>
            </w:r>
          </w:p>
        </w:tc>
        <w:tc>
          <w:tcPr>
            <w:tcW w:type="dxa" w:w="3960"/>
            <w:shd w:fill="F2F7FA"/>
          </w:tcPr>
          <w:p>
            <w:pPr>
              <w:pStyle w:val="TableText"/>
              <w:keepNext w:val="0"/>
            </w:pPr>
            <w:r>
              <w:rPr>
                <w:rFonts w:ascii="Lato" w:hAnsi="Lato"/>
                <w:sz w:val="18"/>
              </w:rPr>
              <w:t>Activate a module without its declared provider, permission or data policy.</w:t>
            </w:r>
          </w:p>
        </w:tc>
        <w:tc>
          <w:tcPr>
            <w:tcW w:type="dxa" w:w="4647"/>
            <w:shd w:fill="F2F7FA"/>
          </w:tcPr>
          <w:p>
            <w:pPr>
              <w:pStyle w:val="TableText"/>
              <w:keepNext w:val="0"/>
            </w:pPr>
            <w:r>
              <w:rPr>
                <w:rFonts w:ascii="Lato" w:hAnsi="Lato"/>
                <w:sz w:val="18"/>
              </w:rPr>
              <w:t>Startup/admin preflight rejects unsafe activation with actionable missing prerequisites.</w:t>
            </w:r>
          </w:p>
        </w:tc>
      </w:tr>
      <w:tr>
        <w:trPr>
          <w:cantSplit/>
        </w:trPr>
        <w:tc>
          <w:tcPr>
            <w:tcW w:type="dxa" w:w="1224"/>
            <w:shd w:fill="FFFFFF"/>
          </w:tcPr>
          <w:p>
            <w:pPr>
              <w:pStyle w:val="TableText"/>
              <w:keepNext w:val="0"/>
            </w:pPr>
            <w:r>
              <w:rPr>
                <w:rFonts w:ascii="Lato" w:hAnsi="Lato"/>
                <w:b/>
                <w:color w:val="163349"/>
                <w:sz w:val="18"/>
              </w:rPr>
              <w:t>FIN-76-02</w:t>
            </w:r>
          </w:p>
        </w:tc>
        <w:tc>
          <w:tcPr>
            <w:tcW w:type="dxa" w:w="3960"/>
            <w:shd w:fill="FFFFFF"/>
          </w:tcPr>
          <w:p>
            <w:pPr>
              <w:pStyle w:val="TableText"/>
              <w:keepNext w:val="0"/>
            </w:pPr>
            <w:r>
              <w:rPr>
                <w:rFonts w:ascii="Lato" w:hAnsi="Lato"/>
                <w:sz w:val="18"/>
              </w:rPr>
              <w:t>Disable Redis and run the supported native profile.</w:t>
            </w:r>
          </w:p>
        </w:tc>
        <w:tc>
          <w:tcPr>
            <w:tcW w:type="dxa" w:w="4647"/>
            <w:shd w:fill="FFFFFF"/>
          </w:tcPr>
          <w:p>
            <w:pPr>
              <w:pStyle w:val="TableText"/>
              <w:keepNext w:val="0"/>
            </w:pPr>
            <w:r>
              <w:rPr>
                <w:rFonts w:ascii="Lato" w:hAnsi="Lato"/>
                <w:sz w:val="18"/>
              </w:rPr>
              <w:t>Durable business/outbox/audit behavior remains equivalent; only approved cache/coordination behavior changes.</w:t>
            </w:r>
          </w:p>
        </w:tc>
      </w:tr>
      <w:tr>
        <w:trPr>
          <w:cantSplit/>
        </w:trPr>
        <w:tc>
          <w:tcPr>
            <w:tcW w:type="dxa" w:w="1224"/>
            <w:shd w:fill="F2F7FA"/>
          </w:tcPr>
          <w:p>
            <w:pPr>
              <w:pStyle w:val="TableText"/>
              <w:keepNext w:val="0"/>
            </w:pPr>
            <w:r>
              <w:rPr>
                <w:rFonts w:ascii="Lato" w:hAnsi="Lato"/>
                <w:b/>
                <w:color w:val="163349"/>
                <w:sz w:val="18"/>
              </w:rPr>
              <w:t>FIN-76-03</w:t>
            </w:r>
          </w:p>
        </w:tc>
        <w:tc>
          <w:tcPr>
            <w:tcW w:type="dxa" w:w="3960"/>
            <w:shd w:fill="F2F7FA"/>
          </w:tcPr>
          <w:p>
            <w:pPr>
              <w:pStyle w:val="TableText"/>
              <w:keepNext w:val="0"/>
            </w:pPr>
            <w:r>
              <w:rPr>
                <w:rFonts w:ascii="Lato" w:hAnsi="Lato"/>
                <w:sz w:val="18"/>
              </w:rPr>
              <w:t>Upgrade a provider SDK while keeping the same application input schema.</w:t>
            </w:r>
          </w:p>
        </w:tc>
        <w:tc>
          <w:tcPr>
            <w:tcW w:type="dxa" w:w="4647"/>
            <w:shd w:fill="F2F7FA"/>
          </w:tcPr>
          <w:p>
            <w:pPr>
              <w:pStyle w:val="TableText"/>
              <w:keepNext w:val="0"/>
            </w:pPr>
            <w:r>
              <w:rPr>
                <w:rFonts w:ascii="Lato" w:hAnsi="Lato"/>
                <w:sz w:val="18"/>
              </w:rPr>
              <w:t>Serialized egress and contract fixtures run in CI and expose changed defaults or fields.</w:t>
            </w:r>
          </w:p>
        </w:tc>
      </w:tr>
      <w:tr>
        <w:trPr>
          <w:cantSplit/>
        </w:trPr>
        <w:tc>
          <w:tcPr>
            <w:tcW w:type="dxa" w:w="1224"/>
            <w:shd w:fill="FFFFFF"/>
          </w:tcPr>
          <w:p>
            <w:pPr>
              <w:pStyle w:val="TableText"/>
              <w:keepNext w:val="0"/>
            </w:pPr>
            <w:r>
              <w:rPr>
                <w:rFonts w:ascii="Lato" w:hAnsi="Lato"/>
                <w:b/>
                <w:color w:val="163349"/>
                <w:sz w:val="18"/>
              </w:rPr>
              <w:t>FIN-76-04</w:t>
            </w:r>
          </w:p>
        </w:tc>
        <w:tc>
          <w:tcPr>
            <w:tcW w:type="dxa" w:w="3960"/>
            <w:shd w:fill="FFFFFF"/>
          </w:tcPr>
          <w:p>
            <w:pPr>
              <w:pStyle w:val="TableText"/>
              <w:keepNext w:val="0"/>
            </w:pPr>
            <w:r>
              <w:rPr>
                <w:rFonts w:ascii="Lato" w:hAnsi="Lato"/>
                <w:sz w:val="18"/>
              </w:rPr>
              <w:t>An imported configuration references a disconnected provider.</w:t>
            </w:r>
          </w:p>
        </w:tc>
        <w:tc>
          <w:tcPr>
            <w:tcW w:type="dxa" w:w="4647"/>
            <w:shd w:fill="FFFFFF"/>
          </w:tcPr>
          <w:p>
            <w:pPr>
              <w:pStyle w:val="TableText"/>
              <w:keepNext w:val="0"/>
            </w:pPr>
            <w:r>
              <w:rPr>
                <w:rFonts w:ascii="Lato" w:hAnsi="Lato"/>
                <w:sz w:val="18"/>
              </w:rPr>
              <w:t>It cannot reactivate revoked credentials or silently send retained work.</w:t>
            </w:r>
          </w:p>
        </w:tc>
      </w:tr>
      <w:tr>
        <w:trPr>
          <w:cantSplit/>
        </w:trPr>
        <w:tc>
          <w:tcPr>
            <w:tcW w:type="dxa" w:w="1224"/>
            <w:shd w:fill="F2F7FA"/>
          </w:tcPr>
          <w:p>
            <w:pPr>
              <w:pStyle w:val="TableText"/>
              <w:keepNext w:val="0"/>
            </w:pPr>
            <w:r>
              <w:rPr>
                <w:rFonts w:ascii="Lato" w:hAnsi="Lato"/>
                <w:b/>
                <w:color w:val="163349"/>
                <w:sz w:val="18"/>
              </w:rPr>
              <w:t>FIN-76-05</w:t>
            </w:r>
          </w:p>
        </w:tc>
        <w:tc>
          <w:tcPr>
            <w:tcW w:type="dxa" w:w="3960"/>
            <w:shd w:fill="F2F7FA"/>
          </w:tcPr>
          <w:p>
            <w:pPr>
              <w:pStyle w:val="TableText"/>
              <w:keepNext w:val="0"/>
            </w:pPr>
            <w:r>
              <w:rPr>
                <w:rFonts w:ascii="Lato" w:hAnsi="Lato"/>
                <w:sz w:val="18"/>
              </w:rPr>
              <w:t>Invoke administrative use cases through an enabled alternate API transport.</w:t>
            </w:r>
          </w:p>
        </w:tc>
        <w:tc>
          <w:tcPr>
            <w:tcW w:type="dxa" w:w="4647"/>
            <w:shd w:fill="F2F7FA"/>
          </w:tcPr>
          <w:p>
            <w:pPr>
              <w:pStyle w:val="TableText"/>
              <w:keepNext w:val="0"/>
            </w:pPr>
            <w:r>
              <w:rPr>
                <w:rFonts w:ascii="Lato" w:hAnsi="Lato"/>
                <w:sz w:val="18"/>
              </w:rPr>
              <w:t>REST/GraphQL/SOAP/agent adapters enforce the same domain authorization and invariants.</w:t>
            </w:r>
          </w:p>
        </w:tc>
      </w:tr>
      <w:tr>
        <w:trPr>
          <w:cantSplit/>
        </w:trPr>
        <w:tc>
          <w:tcPr>
            <w:tcW w:type="dxa" w:w="1224"/>
            <w:shd w:fill="FFFFFF"/>
          </w:tcPr>
          <w:p>
            <w:pPr>
              <w:pStyle w:val="TableText"/>
              <w:keepNext w:val="0"/>
            </w:pPr>
            <w:r>
              <w:rPr>
                <w:rFonts w:ascii="Lato" w:hAnsi="Lato"/>
                <w:b/>
                <w:color w:val="163349"/>
                <w:sz w:val="18"/>
              </w:rPr>
              <w:t>FIN-76-06</w:t>
            </w:r>
          </w:p>
        </w:tc>
        <w:tc>
          <w:tcPr>
            <w:tcW w:type="dxa" w:w="3960"/>
            <w:shd w:fill="FFFFFF"/>
          </w:tcPr>
          <w:p>
            <w:pPr>
              <w:pStyle w:val="TableText"/>
              <w:keepNext w:val="0"/>
            </w:pPr>
            <w:r>
              <w:rPr>
                <w:rFonts w:ascii="Lato" w:hAnsi="Lato"/>
                <w:sz w:val="18"/>
              </w:rPr>
              <w:t>Fetch owner-console configuration as an unauthenticated public client.</w:t>
            </w:r>
          </w:p>
        </w:tc>
        <w:tc>
          <w:tcPr>
            <w:tcW w:type="dxa" w:w="4647"/>
            <w:shd w:fill="FFFFFF"/>
          </w:tcPr>
          <w:p>
            <w:pPr>
              <w:pStyle w:val="TableText"/>
              <w:keepNext w:val="0"/>
            </w:pPr>
            <w:r>
              <w:rPr>
                <w:rFonts w:ascii="Lato" w:hAnsi="Lato"/>
                <w:sz w:val="18"/>
              </w:rPr>
              <w:t>Public projection contains no private flags, unpublished content, secrets or internal customer IDs.</w:t>
            </w:r>
          </w:p>
        </w:tc>
      </w:tr>
      <w:tr>
        <w:trPr>
          <w:cantSplit/>
        </w:trPr>
        <w:tc>
          <w:tcPr>
            <w:tcW w:type="dxa" w:w="1224"/>
            <w:shd w:fill="F2F7FA"/>
          </w:tcPr>
          <w:p>
            <w:pPr>
              <w:pStyle w:val="TableText"/>
              <w:keepNext w:val="0"/>
            </w:pPr>
            <w:r>
              <w:rPr>
                <w:rFonts w:ascii="Lato" w:hAnsi="Lato"/>
                <w:b/>
                <w:color w:val="163349"/>
                <w:sz w:val="18"/>
              </w:rPr>
              <w:t>FIN-76-07</w:t>
            </w:r>
          </w:p>
        </w:tc>
        <w:tc>
          <w:tcPr>
            <w:tcW w:type="dxa" w:w="3960"/>
            <w:shd w:fill="F2F7FA"/>
          </w:tcPr>
          <w:p>
            <w:pPr>
              <w:pStyle w:val="TableText"/>
              <w:keepNext w:val="0"/>
            </w:pPr>
            <w:r>
              <w:rPr>
                <w:rFonts w:ascii="Lato" w:hAnsi="Lato"/>
                <w:sz w:val="18"/>
              </w:rPr>
              <w:t>A reporting query or export scans a large period during lead load.</w:t>
            </w:r>
          </w:p>
        </w:tc>
        <w:tc>
          <w:tcPr>
            <w:tcW w:type="dxa" w:w="4647"/>
            <w:shd w:fill="F2F7FA"/>
          </w:tcPr>
          <w:p>
            <w:pPr>
              <w:pStyle w:val="TableText"/>
              <w:keepNext w:val="0"/>
            </w:pPr>
            <w:r>
              <w:rPr>
                <w:rFonts w:ascii="Lato" w:hAnsi="Lato"/>
                <w:sz w:val="18"/>
              </w:rPr>
              <w:t>Query/resource controls protect transactional service and the export remains permission-filtered.</w:t>
            </w:r>
          </w:p>
        </w:tc>
      </w:tr>
      <w:tr>
        <w:trPr>
          <w:cantSplit/>
        </w:trPr>
        <w:tc>
          <w:tcPr>
            <w:tcW w:type="dxa" w:w="1224"/>
            <w:shd w:fill="FFFFFF"/>
          </w:tcPr>
          <w:p>
            <w:pPr>
              <w:pStyle w:val="TableText"/>
              <w:keepNext w:val="0"/>
            </w:pPr>
            <w:r>
              <w:rPr>
                <w:rFonts w:ascii="Lato" w:hAnsi="Lato"/>
                <w:b/>
                <w:color w:val="163349"/>
                <w:sz w:val="18"/>
              </w:rPr>
              <w:t>FIN-76-08</w:t>
            </w:r>
          </w:p>
        </w:tc>
        <w:tc>
          <w:tcPr>
            <w:tcW w:type="dxa" w:w="3960"/>
            <w:shd w:fill="FFFFFF"/>
          </w:tcPr>
          <w:p>
            <w:pPr>
              <w:pStyle w:val="TableText"/>
              <w:keepNext w:val="0"/>
            </w:pPr>
            <w:r>
              <w:rPr>
                <w:rFonts w:ascii="Lato" w:hAnsi="Lato"/>
                <w:sz w:val="18"/>
              </w:rPr>
              <w:t>A second team installs and migrates from the business-owned repository.</w:t>
            </w:r>
          </w:p>
        </w:tc>
        <w:tc>
          <w:tcPr>
            <w:tcW w:type="dxa" w:w="4647"/>
            <w:shd w:fill="FFFFFF"/>
          </w:tcPr>
          <w:p>
            <w:pPr>
              <w:pStyle w:val="TableText"/>
              <w:keepNext w:val="0"/>
            </w:pPr>
            <w:r>
              <w:rPr>
                <w:rFonts w:ascii="Lato" w:hAnsi="Lato"/>
                <w:sz w:val="18"/>
              </w:rPr>
              <w:t>Documented dependencies, native/Docker startup, tests, content publishing and lead acceptance work without the original laptop.</w:t>
            </w:r>
          </w:p>
        </w:tc>
      </w:tr>
    </w:tbl>
    <w:p>
      <w:pPr>
        <w:spacing w:after="40"/>
      </w:pPr>
      <w:r/>
    </w:p>
    <w:p>
      <w:pPr>
        <w:pStyle w:val="Heading2"/>
        <w:keepNext/>
      </w:pPr>
      <w:r>
        <w:t>N.12 77 — Campaign launch and operating control</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FIN-77-01</w:t>
            </w:r>
          </w:p>
        </w:tc>
        <w:tc>
          <w:tcPr>
            <w:tcW w:type="dxa" w:w="3960"/>
            <w:shd w:fill="F2F7FA"/>
          </w:tcPr>
          <w:p>
            <w:pPr>
              <w:pStyle w:val="TableText"/>
              <w:keepNext w:val="0"/>
            </w:pPr>
            <w:r>
              <w:rPr>
                <w:rFonts w:ascii="Lato" w:hAnsi="Lato"/>
                <w:sz w:val="18"/>
              </w:rPr>
              <w:t>Launch paid traffic with a failing primary form or known misleading goal.</w:t>
            </w:r>
          </w:p>
        </w:tc>
        <w:tc>
          <w:tcPr>
            <w:tcW w:type="dxa" w:w="4647"/>
            <w:shd w:fill="F2F7FA"/>
          </w:tcPr>
          <w:p>
            <w:pPr>
              <w:pStyle w:val="TableText"/>
              <w:keepNext w:val="0"/>
            </w:pPr>
            <w:r>
              <w:rPr>
                <w:rFonts w:ascii="Lato" w:hAnsi="Lato"/>
                <w:sz w:val="18"/>
              </w:rPr>
              <w:t>Critical preflight blocks activation; approval cannot conceal the failed journey.</w:t>
            </w:r>
          </w:p>
        </w:tc>
      </w:tr>
      <w:tr>
        <w:trPr>
          <w:cantSplit/>
        </w:trPr>
        <w:tc>
          <w:tcPr>
            <w:tcW w:type="dxa" w:w="1224"/>
            <w:shd w:fill="FFFFFF"/>
          </w:tcPr>
          <w:p>
            <w:pPr>
              <w:pStyle w:val="TableText"/>
              <w:keepNext w:val="0"/>
            </w:pPr>
            <w:r>
              <w:rPr>
                <w:rFonts w:ascii="Lato" w:hAnsi="Lato"/>
                <w:b/>
                <w:color w:val="163349"/>
                <w:sz w:val="18"/>
              </w:rPr>
              <w:t>FIN-77-02</w:t>
            </w:r>
          </w:p>
        </w:tc>
        <w:tc>
          <w:tcPr>
            <w:tcW w:type="dxa" w:w="3960"/>
            <w:shd w:fill="FFFFFF"/>
          </w:tcPr>
          <w:p>
            <w:pPr>
              <w:pStyle w:val="TableText"/>
              <w:keepNext w:val="0"/>
            </w:pPr>
            <w:r>
              <w:rPr>
                <w:rFonts w:ascii="Lato" w:hAnsi="Lato"/>
                <w:sz w:val="18"/>
              </w:rPr>
              <w:t>Publish a new landing-page revision after campaign approval.</w:t>
            </w:r>
          </w:p>
        </w:tc>
        <w:tc>
          <w:tcPr>
            <w:tcW w:type="dxa" w:w="4647"/>
            <w:shd w:fill="FFFFFF"/>
          </w:tcPr>
          <w:p>
            <w:pPr>
              <w:pStyle w:val="TableText"/>
              <w:keepNext w:val="0"/>
            </w:pPr>
            <w:r>
              <w:rPr>
                <w:rFonts w:ascii="Lato" w:hAnsi="Lato"/>
                <w:sz w:val="18"/>
              </w:rPr>
              <w:t>Relevant destination/claim/accessibility/tracking checks rerun or approval expires.</w:t>
            </w:r>
          </w:p>
        </w:tc>
      </w:tr>
      <w:tr>
        <w:trPr>
          <w:cantSplit/>
        </w:trPr>
        <w:tc>
          <w:tcPr>
            <w:tcW w:type="dxa" w:w="1224"/>
            <w:shd w:fill="F2F7FA"/>
          </w:tcPr>
          <w:p>
            <w:pPr>
              <w:pStyle w:val="TableText"/>
              <w:keepNext w:val="0"/>
            </w:pPr>
            <w:r>
              <w:rPr>
                <w:rFonts w:ascii="Lato" w:hAnsi="Lato"/>
                <w:b/>
                <w:color w:val="163349"/>
                <w:sz w:val="18"/>
              </w:rPr>
              <w:t>FIN-77-03</w:t>
            </w:r>
          </w:p>
        </w:tc>
        <w:tc>
          <w:tcPr>
            <w:tcW w:type="dxa" w:w="3960"/>
            <w:shd w:fill="F2F7FA"/>
          </w:tcPr>
          <w:p>
            <w:pPr>
              <w:pStyle w:val="TableText"/>
              <w:keepNext w:val="0"/>
            </w:pPr>
            <w:r>
              <w:rPr>
                <w:rFonts w:ascii="Lato" w:hAnsi="Lato"/>
                <w:sz w:val="18"/>
              </w:rPr>
              <w:t>An early dashboard uplift has little mature qualification data.</w:t>
            </w:r>
          </w:p>
        </w:tc>
        <w:tc>
          <w:tcPr>
            <w:tcW w:type="dxa" w:w="4647"/>
            <w:shd w:fill="F2F7FA"/>
          </w:tcPr>
          <w:p>
            <w:pPr>
              <w:pStyle w:val="TableText"/>
              <w:keepNext w:val="0"/>
            </w:pPr>
            <w:r>
              <w:rPr>
                <w:rFonts w:ascii="Lato" w:hAnsi="Lato"/>
                <w:sz w:val="18"/>
              </w:rPr>
              <w:t>Scaling requires the predeclared maturity/economics guardrail, not a transient percentage.</w:t>
            </w:r>
          </w:p>
        </w:tc>
      </w:tr>
      <w:tr>
        <w:trPr>
          <w:cantSplit/>
        </w:trPr>
        <w:tc>
          <w:tcPr>
            <w:tcW w:type="dxa" w:w="1224"/>
            <w:shd w:fill="FFFFFF"/>
          </w:tcPr>
          <w:p>
            <w:pPr>
              <w:pStyle w:val="TableText"/>
              <w:keepNext w:val="0"/>
            </w:pPr>
            <w:r>
              <w:rPr>
                <w:rFonts w:ascii="Lato" w:hAnsi="Lato"/>
                <w:b/>
                <w:color w:val="163349"/>
                <w:sz w:val="18"/>
              </w:rPr>
              <w:t>FIN-77-04</w:t>
            </w:r>
          </w:p>
        </w:tc>
        <w:tc>
          <w:tcPr>
            <w:tcW w:type="dxa" w:w="3960"/>
            <w:shd w:fill="FFFFFF"/>
          </w:tcPr>
          <w:p>
            <w:pPr>
              <w:pStyle w:val="TableText"/>
              <w:keepNext w:val="0"/>
            </w:pPr>
            <w:r>
              <w:rPr>
                <w:rFonts w:ascii="Lato" w:hAnsi="Lato"/>
                <w:sz w:val="18"/>
              </w:rPr>
              <w:t>An ad account shows a permission or billing restriction during active spend.</w:t>
            </w:r>
          </w:p>
        </w:tc>
        <w:tc>
          <w:tcPr>
            <w:tcW w:type="dxa" w:w="4647"/>
            <w:shd w:fill="FFFFFF"/>
          </w:tcPr>
          <w:p>
            <w:pPr>
              <w:pStyle w:val="TableText"/>
              <w:keepNext w:val="0"/>
            </w:pPr>
            <w:r>
              <w:rPr>
                <w:rFonts w:ascii="Lato" w:hAnsi="Lato"/>
                <w:sz w:val="18"/>
              </w:rPr>
              <w:t>Named operator receives a safe alert and tracks restriction, action and remote result.</w:t>
            </w:r>
          </w:p>
        </w:tc>
      </w:tr>
      <w:tr>
        <w:trPr>
          <w:cantSplit/>
        </w:trPr>
        <w:tc>
          <w:tcPr>
            <w:tcW w:type="dxa" w:w="1224"/>
            <w:shd w:fill="F2F7FA"/>
          </w:tcPr>
          <w:p>
            <w:pPr>
              <w:pStyle w:val="TableText"/>
              <w:keepNext w:val="0"/>
            </w:pPr>
            <w:r>
              <w:rPr>
                <w:rFonts w:ascii="Lato" w:hAnsi="Lato"/>
                <w:b/>
                <w:color w:val="163349"/>
                <w:sz w:val="18"/>
              </w:rPr>
              <w:t>FIN-77-05</w:t>
            </w:r>
          </w:p>
        </w:tc>
        <w:tc>
          <w:tcPr>
            <w:tcW w:type="dxa" w:w="3960"/>
            <w:shd w:fill="F2F7FA"/>
          </w:tcPr>
          <w:p>
            <w:pPr>
              <w:pStyle w:val="TableText"/>
              <w:keepNext w:val="0"/>
            </w:pPr>
            <w:r>
              <w:rPr>
                <w:rFonts w:ascii="Lato" w:hAnsi="Lato"/>
                <w:sz w:val="18"/>
              </w:rPr>
              <w:t>A staff inbox receives leads outside its support hours.</w:t>
            </w:r>
          </w:p>
        </w:tc>
        <w:tc>
          <w:tcPr>
            <w:tcW w:type="dxa" w:w="4647"/>
            <w:shd w:fill="F2F7FA"/>
          </w:tcPr>
          <w:p>
            <w:pPr>
              <w:pStyle w:val="TableText"/>
              <w:keepNext w:val="0"/>
            </w:pPr>
            <w:r>
              <w:rPr>
                <w:rFonts w:ascii="Lato" w:hAnsi="Lato"/>
                <w:sz w:val="18"/>
              </w:rPr>
              <w:t>Approved routing/expectation/escalation rules apply; an automated greeting is not a human-response pass.</w:t>
            </w:r>
          </w:p>
        </w:tc>
      </w:tr>
      <w:tr>
        <w:trPr>
          <w:cantSplit/>
        </w:trPr>
        <w:tc>
          <w:tcPr>
            <w:tcW w:type="dxa" w:w="1224"/>
            <w:shd w:fill="FFFFFF"/>
          </w:tcPr>
          <w:p>
            <w:pPr>
              <w:pStyle w:val="TableText"/>
              <w:keepNext w:val="0"/>
            </w:pPr>
            <w:r>
              <w:rPr>
                <w:rFonts w:ascii="Lato" w:hAnsi="Lato"/>
                <w:b/>
                <w:color w:val="163349"/>
                <w:sz w:val="18"/>
              </w:rPr>
              <w:t>FIN-77-06</w:t>
            </w:r>
          </w:p>
        </w:tc>
        <w:tc>
          <w:tcPr>
            <w:tcW w:type="dxa" w:w="3960"/>
            <w:shd w:fill="FFFFFF"/>
          </w:tcPr>
          <w:p>
            <w:pPr>
              <w:pStyle w:val="TableText"/>
              <w:keepNext w:val="0"/>
            </w:pPr>
            <w:r>
              <w:rPr>
                <w:rFonts w:ascii="Lato" w:hAnsi="Lato"/>
                <w:sz w:val="18"/>
              </w:rPr>
              <w:t>An outage affects optional advertising delivery but not the business API.</w:t>
            </w:r>
          </w:p>
        </w:tc>
        <w:tc>
          <w:tcPr>
            <w:tcW w:type="dxa" w:w="4647"/>
            <w:shd w:fill="FFFFFF"/>
          </w:tcPr>
          <w:p>
            <w:pPr>
              <w:pStyle w:val="TableText"/>
              <w:keepNext w:val="0"/>
            </w:pPr>
            <w:r>
              <w:rPr>
                <w:rFonts w:ascii="Lato" w:hAnsi="Lato"/>
                <w:sz w:val="18"/>
              </w:rPr>
              <w:t>Leads continue durably; reporting shows delayed/suppressed events rather than false success.</w:t>
            </w:r>
          </w:p>
        </w:tc>
      </w:tr>
      <w:tr>
        <w:trPr>
          <w:cantSplit/>
        </w:trPr>
        <w:tc>
          <w:tcPr>
            <w:tcW w:type="dxa" w:w="1224"/>
            <w:shd w:fill="F2F7FA"/>
          </w:tcPr>
          <w:p>
            <w:pPr>
              <w:pStyle w:val="TableText"/>
              <w:keepNext w:val="0"/>
            </w:pPr>
            <w:r>
              <w:rPr>
                <w:rFonts w:ascii="Lato" w:hAnsi="Lato"/>
                <w:b/>
                <w:color w:val="163349"/>
                <w:sz w:val="18"/>
              </w:rPr>
              <w:t>FIN-77-07</w:t>
            </w:r>
          </w:p>
        </w:tc>
        <w:tc>
          <w:tcPr>
            <w:tcW w:type="dxa" w:w="3960"/>
            <w:shd w:fill="F2F7FA"/>
          </w:tcPr>
          <w:p>
            <w:pPr>
              <w:pStyle w:val="TableText"/>
              <w:keepNext w:val="0"/>
            </w:pPr>
            <w:r>
              <w:rPr>
                <w:rFonts w:ascii="Lato" w:hAnsi="Lato"/>
                <w:sz w:val="18"/>
              </w:rPr>
              <w:t>Stop a compromised integration while asynchronous work is pending.</w:t>
            </w:r>
          </w:p>
        </w:tc>
        <w:tc>
          <w:tcPr>
            <w:tcW w:type="dxa" w:w="4647"/>
            <w:shd w:fill="F2F7FA"/>
          </w:tcPr>
          <w:p>
            <w:pPr>
              <w:pStyle w:val="TableText"/>
              <w:keepNext w:val="0"/>
            </w:pPr>
            <w:r>
              <w:rPr>
                <w:rFonts w:ascii="Lato" w:hAnsi="Lato"/>
                <w:sz w:val="18"/>
              </w:rPr>
              <w:t>New external effects stop at dispatch; retained business obligations and audit remain recoverable.</w:t>
            </w:r>
          </w:p>
        </w:tc>
      </w:tr>
      <w:tr>
        <w:trPr>
          <w:cantSplit/>
        </w:trPr>
        <w:tc>
          <w:tcPr>
            <w:tcW w:type="dxa" w:w="1224"/>
            <w:shd w:fill="FFFFFF"/>
          </w:tcPr>
          <w:p>
            <w:pPr>
              <w:pStyle w:val="TableText"/>
              <w:keepNext w:val="0"/>
            </w:pPr>
            <w:r>
              <w:rPr>
                <w:rFonts w:ascii="Lato" w:hAnsi="Lato"/>
                <w:b/>
                <w:color w:val="163349"/>
                <w:sz w:val="18"/>
              </w:rPr>
              <w:t>FIN-77-08</w:t>
            </w:r>
          </w:p>
        </w:tc>
        <w:tc>
          <w:tcPr>
            <w:tcW w:type="dxa" w:w="3960"/>
            <w:shd w:fill="FFFFFF"/>
          </w:tcPr>
          <w:p>
            <w:pPr>
              <w:pStyle w:val="TableText"/>
              <w:keepNext w:val="0"/>
            </w:pPr>
            <w:r>
              <w:rPr>
                <w:rFonts w:ascii="Lato" w:hAnsi="Lato"/>
                <w:sz w:val="18"/>
              </w:rPr>
              <w:t>Complete the initial operating period and perform recovery/access review.</w:t>
            </w:r>
          </w:p>
        </w:tc>
        <w:tc>
          <w:tcPr>
            <w:tcW w:type="dxa" w:w="4647"/>
            <w:shd w:fill="FFFFFF"/>
          </w:tcPr>
          <w:p>
            <w:pPr>
              <w:pStyle w:val="TableText"/>
              <w:keepNext w:val="0"/>
            </w:pPr>
            <w:r>
              <w:rPr>
                <w:rFonts w:ascii="Lato" w:hAnsi="Lato"/>
                <w:sz w:val="18"/>
              </w:rPr>
              <w:t>Measured evidence, unresolved tasks, permission changes and maintenance ownership are recorded.</w:t>
            </w:r>
          </w:p>
        </w:tc>
      </w:tr>
    </w:tbl>
    <w:p>
      <w:pPr>
        <w:spacing w:after="40"/>
      </w:pPr>
      <w:r/>
    </w:p>
    <w:p>
      <w:pPr>
        <w:pStyle w:val="Heading2"/>
        <w:keepNext/>
      </w:pPr>
      <w:r>
        <w:t>N.13 78 — Final coverage and sign-off</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1224"/>
        <w:gridCol w:w="3960"/>
        <w:gridCol w:w="4647"/>
      </w:tblGrid>
      <w:tr>
        <w:trPr>
          <w:cantSplit/>
          <w:tblHeader/>
        </w:trPr>
        <w:tc>
          <w:tcPr>
            <w:tcW w:type="dxa" w:w="1224"/>
            <w:shd w:fill="163349"/>
          </w:tcPr>
          <w:p>
            <w:pPr>
              <w:pStyle w:val="TableText"/>
              <w:keepNext/>
            </w:pPr>
            <w:r>
              <w:rPr>
                <w:rFonts w:ascii="Lato" w:hAnsi="Lato"/>
                <w:b/>
                <w:color w:val="FFFFFF"/>
                <w:sz w:val="18"/>
              </w:rPr>
              <w:t>ID</w:t>
            </w:r>
          </w:p>
        </w:tc>
        <w:tc>
          <w:tcPr>
            <w:tcW w:type="dxa" w:w="3960"/>
            <w:shd w:fill="163349"/>
          </w:tcPr>
          <w:p>
            <w:pPr>
              <w:pStyle w:val="TableText"/>
              <w:keepNext/>
            </w:pPr>
            <w:r>
              <w:rPr>
                <w:rFonts w:ascii="Lato" w:hAnsi="Lato"/>
                <w:b/>
                <w:color w:val="FFFFFF"/>
                <w:sz w:val="18"/>
              </w:rPr>
              <w:t>Setup / action</w:t>
            </w:r>
          </w:p>
        </w:tc>
        <w:tc>
          <w:tcPr>
            <w:tcW w:type="dxa" w:w="4647"/>
            <w:shd w:fill="163349"/>
          </w:tcPr>
          <w:p>
            <w:pPr>
              <w:pStyle w:val="TableText"/>
              <w:keepNext/>
            </w:pPr>
            <w:r>
              <w:rPr>
                <w:rFonts w:ascii="Lato" w:hAnsi="Lato"/>
                <w:b/>
                <w:color w:val="FFFFFF"/>
                <w:sz w:val="18"/>
              </w:rPr>
              <w:t>Expected evidence</w:t>
            </w:r>
          </w:p>
        </w:tc>
      </w:tr>
      <w:tr>
        <w:trPr>
          <w:cantSplit/>
        </w:trPr>
        <w:tc>
          <w:tcPr>
            <w:tcW w:type="dxa" w:w="1224"/>
            <w:shd w:fill="F2F7FA"/>
          </w:tcPr>
          <w:p>
            <w:pPr>
              <w:pStyle w:val="TableText"/>
              <w:keepNext w:val="0"/>
            </w:pPr>
            <w:r>
              <w:rPr>
                <w:rFonts w:ascii="Lato" w:hAnsi="Lato"/>
                <w:b/>
                <w:color w:val="163349"/>
                <w:sz w:val="18"/>
              </w:rPr>
              <w:t>FIN-78-01</w:t>
            </w:r>
          </w:p>
        </w:tc>
        <w:tc>
          <w:tcPr>
            <w:tcW w:type="dxa" w:w="3960"/>
            <w:shd w:fill="F2F7FA"/>
          </w:tcPr>
          <w:p>
            <w:pPr>
              <w:pStyle w:val="TableText"/>
              <w:keepNext w:val="0"/>
            </w:pPr>
            <w:r>
              <w:rPr>
                <w:rFonts w:ascii="Lato" w:hAnsi="Lato"/>
                <w:sz w:val="18"/>
              </w:rPr>
              <w:t>Review a capability with no applicability decision or accountable owner.</w:t>
            </w:r>
          </w:p>
        </w:tc>
        <w:tc>
          <w:tcPr>
            <w:tcW w:type="dxa" w:w="4647"/>
            <w:shd w:fill="F2F7FA"/>
          </w:tcPr>
          <w:p>
            <w:pPr>
              <w:pStyle w:val="TableText"/>
              <w:keepNext w:val="0"/>
            </w:pPr>
            <w:r>
              <w:rPr>
                <w:rFonts w:ascii="Lato" w:hAnsi="Lato"/>
                <w:sz w:val="18"/>
              </w:rPr>
              <w:t>The row remains unresolved and cannot count toward approved scope coverage.</w:t>
            </w:r>
          </w:p>
        </w:tc>
      </w:tr>
      <w:tr>
        <w:trPr>
          <w:cantSplit/>
        </w:trPr>
        <w:tc>
          <w:tcPr>
            <w:tcW w:type="dxa" w:w="1224"/>
            <w:shd w:fill="FFFFFF"/>
          </w:tcPr>
          <w:p>
            <w:pPr>
              <w:pStyle w:val="TableText"/>
              <w:keepNext w:val="0"/>
            </w:pPr>
            <w:r>
              <w:rPr>
                <w:rFonts w:ascii="Lato" w:hAnsi="Lato"/>
                <w:b/>
                <w:color w:val="163349"/>
                <w:sz w:val="18"/>
              </w:rPr>
              <w:t>FIN-78-02</w:t>
            </w:r>
          </w:p>
        </w:tc>
        <w:tc>
          <w:tcPr>
            <w:tcW w:type="dxa" w:w="3960"/>
            <w:shd w:fill="FFFFFF"/>
          </w:tcPr>
          <w:p>
            <w:pPr>
              <w:pStyle w:val="TableText"/>
              <w:keepNext w:val="0"/>
            </w:pPr>
            <w:r>
              <w:rPr>
                <w:rFonts w:ascii="Lato" w:hAnsi="Lato"/>
                <w:sz w:val="18"/>
              </w:rPr>
              <w:t>A feature is implemented but intentionally disabled for provider/policy reasons.</w:t>
            </w:r>
          </w:p>
        </w:tc>
        <w:tc>
          <w:tcPr>
            <w:tcW w:type="dxa" w:w="4647"/>
            <w:shd w:fill="FFFFFF"/>
          </w:tcPr>
          <w:p>
            <w:pPr>
              <w:pStyle w:val="TableText"/>
              <w:keepNext w:val="0"/>
            </w:pPr>
            <w:r>
              <w:rPr>
                <w:rFonts w:ascii="Lato" w:hAnsi="Lato"/>
                <w:sz w:val="18"/>
              </w:rPr>
              <w:t>Implementation, activation and verification statuses remain separate and truthful.</w:t>
            </w:r>
          </w:p>
        </w:tc>
      </w:tr>
      <w:tr>
        <w:trPr>
          <w:cantSplit/>
        </w:trPr>
        <w:tc>
          <w:tcPr>
            <w:tcW w:type="dxa" w:w="1224"/>
            <w:shd w:fill="F2F7FA"/>
          </w:tcPr>
          <w:p>
            <w:pPr>
              <w:pStyle w:val="TableText"/>
              <w:keepNext w:val="0"/>
            </w:pPr>
            <w:r>
              <w:rPr>
                <w:rFonts w:ascii="Lato" w:hAnsi="Lato"/>
                <w:b/>
                <w:color w:val="163349"/>
                <w:sz w:val="18"/>
              </w:rPr>
              <w:t>FIN-78-03</w:t>
            </w:r>
          </w:p>
        </w:tc>
        <w:tc>
          <w:tcPr>
            <w:tcW w:type="dxa" w:w="3960"/>
            <w:shd w:fill="F2F7FA"/>
          </w:tcPr>
          <w:p>
            <w:pPr>
              <w:pStyle w:val="TableText"/>
              <w:keepNext w:val="0"/>
            </w:pPr>
            <w:r>
              <w:rPr>
                <w:rFonts w:ascii="Lato" w:hAnsi="Lato"/>
                <w:sz w:val="18"/>
              </w:rPr>
              <w:t>An optional industry module becomes selected after the original scope approval.</w:t>
            </w:r>
          </w:p>
        </w:tc>
        <w:tc>
          <w:tcPr>
            <w:tcW w:type="dxa" w:w="4647"/>
            <w:shd w:fill="F2F7FA"/>
          </w:tcPr>
          <w:p>
            <w:pPr>
              <w:pStyle w:val="TableText"/>
              <w:keepNext w:val="0"/>
            </w:pPr>
            <w:r>
              <w:rPr>
                <w:rFonts w:ascii="Lato" w:hAnsi="Lato"/>
                <w:sz w:val="18"/>
              </w:rPr>
              <w:t>Full lifecycle, data/permission, tests, costs and operating ownership become required work.</w:t>
            </w:r>
          </w:p>
        </w:tc>
      </w:tr>
      <w:tr>
        <w:trPr>
          <w:cantSplit/>
        </w:trPr>
        <w:tc>
          <w:tcPr>
            <w:tcW w:type="dxa" w:w="1224"/>
            <w:shd w:fill="FFFFFF"/>
          </w:tcPr>
          <w:p>
            <w:pPr>
              <w:pStyle w:val="TableText"/>
              <w:keepNext w:val="0"/>
            </w:pPr>
            <w:r>
              <w:rPr>
                <w:rFonts w:ascii="Lato" w:hAnsi="Lato"/>
                <w:b/>
                <w:color w:val="163349"/>
                <w:sz w:val="18"/>
              </w:rPr>
              <w:t>FIN-78-04</w:t>
            </w:r>
          </w:p>
        </w:tc>
        <w:tc>
          <w:tcPr>
            <w:tcW w:type="dxa" w:w="3960"/>
            <w:shd w:fill="FFFFFF"/>
          </w:tcPr>
          <w:p>
            <w:pPr>
              <w:pStyle w:val="TableText"/>
              <w:keepNext w:val="0"/>
            </w:pPr>
            <w:r>
              <w:rPr>
                <w:rFonts w:ascii="Lato" w:hAnsi="Lato"/>
                <w:sz w:val="18"/>
              </w:rPr>
              <w:t>A new provider rule contradicts an inherited sample contract.</w:t>
            </w:r>
          </w:p>
        </w:tc>
        <w:tc>
          <w:tcPr>
            <w:tcW w:type="dxa" w:w="4647"/>
            <w:shd w:fill="FFFFFF"/>
          </w:tcPr>
          <w:p>
            <w:pPr>
              <w:pStyle w:val="TableText"/>
              <w:keepNext w:val="0"/>
            </w:pPr>
            <w:r>
              <w:rPr>
                <w:rFonts w:ascii="Lato" w:hAnsi="Lato"/>
                <w:sz w:val="18"/>
              </w:rPr>
              <w:t>A dated reviewed change identifies the governing source, migration and regression evidence.</w:t>
            </w:r>
          </w:p>
        </w:tc>
      </w:tr>
      <w:tr>
        <w:trPr>
          <w:cantSplit/>
        </w:trPr>
        <w:tc>
          <w:tcPr>
            <w:tcW w:type="dxa" w:w="1224"/>
            <w:shd w:fill="F2F7FA"/>
          </w:tcPr>
          <w:p>
            <w:pPr>
              <w:pStyle w:val="TableText"/>
              <w:keepNext w:val="0"/>
            </w:pPr>
            <w:r>
              <w:rPr>
                <w:rFonts w:ascii="Lato" w:hAnsi="Lato"/>
                <w:b/>
                <w:color w:val="163349"/>
                <w:sz w:val="18"/>
              </w:rPr>
              <w:t>FIN-78-05</w:t>
            </w:r>
          </w:p>
        </w:tc>
        <w:tc>
          <w:tcPr>
            <w:tcW w:type="dxa" w:w="3960"/>
            <w:shd w:fill="F2F7FA"/>
          </w:tcPr>
          <w:p>
            <w:pPr>
              <w:pStyle w:val="TableText"/>
              <w:keepNext w:val="0"/>
            </w:pPr>
            <w:r>
              <w:rPr>
                <w:rFonts w:ascii="Lato" w:hAnsi="Lato"/>
                <w:sz w:val="18"/>
              </w:rPr>
              <w:t>An experiment changes a form while a CRM/automation case remains active.</w:t>
            </w:r>
          </w:p>
        </w:tc>
        <w:tc>
          <w:tcPr>
            <w:tcW w:type="dxa" w:w="4647"/>
            <w:shd w:fill="F2F7FA"/>
          </w:tcPr>
          <w:p>
            <w:pPr>
              <w:pStyle w:val="TableText"/>
              <w:keepNext w:val="0"/>
            </w:pPr>
            <w:r>
              <w:rPr>
                <w:rFonts w:ascii="Lato" w:hAnsi="Lato"/>
                <w:sz w:val="18"/>
              </w:rPr>
              <w:t>Pinned revisions and valid context references preserve the original submission and correct downstream actions.</w:t>
            </w:r>
          </w:p>
        </w:tc>
      </w:tr>
      <w:tr>
        <w:trPr>
          <w:cantSplit/>
        </w:trPr>
        <w:tc>
          <w:tcPr>
            <w:tcW w:type="dxa" w:w="1224"/>
            <w:shd w:fill="FFFFFF"/>
          </w:tcPr>
          <w:p>
            <w:pPr>
              <w:pStyle w:val="TableText"/>
              <w:keepNext w:val="0"/>
            </w:pPr>
            <w:r>
              <w:rPr>
                <w:rFonts w:ascii="Lato" w:hAnsi="Lato"/>
                <w:b/>
                <w:color w:val="163349"/>
                <w:sz w:val="18"/>
              </w:rPr>
              <w:t>FIN-78-06</w:t>
            </w:r>
          </w:p>
        </w:tc>
        <w:tc>
          <w:tcPr>
            <w:tcW w:type="dxa" w:w="3960"/>
            <w:shd w:fill="FFFFFF"/>
          </w:tcPr>
          <w:p>
            <w:pPr>
              <w:pStyle w:val="TableText"/>
              <w:keepNext w:val="0"/>
            </w:pPr>
            <w:r>
              <w:rPr>
                <w:rFonts w:ascii="Lato" w:hAnsi="Lato"/>
                <w:sz w:val="18"/>
              </w:rPr>
              <w:t>A blog is trashed while an AI index/cache still references it.</w:t>
            </w:r>
          </w:p>
        </w:tc>
        <w:tc>
          <w:tcPr>
            <w:tcW w:type="dxa" w:w="4647"/>
            <w:shd w:fill="FFFFFF"/>
          </w:tcPr>
          <w:p>
            <w:pPr>
              <w:pStyle w:val="TableText"/>
              <w:keepNext w:val="0"/>
            </w:pPr>
            <w:r>
              <w:rPr>
                <w:rFonts w:ascii="Lato" w:hAnsi="Lato"/>
                <w:sz w:val="18"/>
              </w:rPr>
              <w:t>Authoritative publication checks prevent stale retrieval; source and attributable deletion history remain.</w:t>
            </w:r>
          </w:p>
        </w:tc>
      </w:tr>
      <w:tr>
        <w:trPr>
          <w:cantSplit/>
        </w:trPr>
        <w:tc>
          <w:tcPr>
            <w:tcW w:type="dxa" w:w="1224"/>
            <w:shd w:fill="F2F7FA"/>
          </w:tcPr>
          <w:p>
            <w:pPr>
              <w:pStyle w:val="TableText"/>
              <w:keepNext w:val="0"/>
            </w:pPr>
            <w:r>
              <w:rPr>
                <w:rFonts w:ascii="Lato" w:hAnsi="Lato"/>
                <w:b/>
                <w:color w:val="163349"/>
                <w:sz w:val="18"/>
              </w:rPr>
              <w:t>FIN-78-07</w:t>
            </w:r>
          </w:p>
        </w:tc>
        <w:tc>
          <w:tcPr>
            <w:tcW w:type="dxa" w:w="3960"/>
            <w:shd w:fill="F2F7FA"/>
          </w:tcPr>
          <w:p>
            <w:pPr>
              <w:pStyle w:val="TableText"/>
              <w:keepNext w:val="0"/>
            </w:pPr>
            <w:r>
              <w:rPr>
                <w:rFonts w:ascii="Lato" w:hAnsi="Lato"/>
                <w:sz w:val="18"/>
              </w:rPr>
              <w:t>Sign off using a test report from a different build, account or environment.</w:t>
            </w:r>
          </w:p>
        </w:tc>
        <w:tc>
          <w:tcPr>
            <w:tcW w:type="dxa" w:w="4647"/>
            <w:shd w:fill="F2F7FA"/>
          </w:tcPr>
          <w:p>
            <w:pPr>
              <w:pStyle w:val="TableText"/>
              <w:keepNext w:val="0"/>
            </w:pPr>
            <w:r>
              <w:rPr>
                <w:rFonts w:ascii="Lato" w:hAnsi="Lato"/>
                <w:sz w:val="18"/>
              </w:rPr>
              <w:t>Evidence manifest detects mismatch and requires the correct current verification.</w:t>
            </w:r>
          </w:p>
        </w:tc>
      </w:tr>
      <w:tr>
        <w:trPr>
          <w:cantSplit/>
        </w:trPr>
        <w:tc>
          <w:tcPr>
            <w:tcW w:type="dxa" w:w="1224"/>
            <w:shd w:fill="FFFFFF"/>
          </w:tcPr>
          <w:p>
            <w:pPr>
              <w:pStyle w:val="TableText"/>
              <w:keepNext w:val="0"/>
            </w:pPr>
            <w:r>
              <w:rPr>
                <w:rFonts w:ascii="Lato" w:hAnsi="Lato"/>
                <w:b/>
                <w:color w:val="163349"/>
                <w:sz w:val="18"/>
              </w:rPr>
              <w:t>FIN-78-08</w:t>
            </w:r>
          </w:p>
        </w:tc>
        <w:tc>
          <w:tcPr>
            <w:tcW w:type="dxa" w:w="3960"/>
            <w:shd w:fill="FFFFFF"/>
          </w:tcPr>
          <w:p>
            <w:pPr>
              <w:pStyle w:val="TableText"/>
              <w:keepNext w:val="0"/>
            </w:pPr>
            <w:r>
              <w:rPr>
                <w:rFonts w:ascii="Lato" w:hAnsi="Lato"/>
                <w:sz w:val="18"/>
              </w:rPr>
              <w:t>Attempt final launch with a critical privacy, lead-integrity or restore failure.</w:t>
            </w:r>
          </w:p>
        </w:tc>
        <w:tc>
          <w:tcPr>
            <w:tcW w:type="dxa" w:w="4647"/>
            <w:shd w:fill="FFFFFF"/>
          </w:tcPr>
          <w:p>
            <w:pPr>
              <w:pStyle w:val="TableText"/>
              <w:keepNext w:val="0"/>
            </w:pPr>
            <w:r>
              <w:rPr>
                <w:rFonts w:ascii="Lato" w:hAnsi="Lato"/>
                <w:sz w:val="18"/>
              </w:rPr>
              <w:t>Launch is blocked; a generic complete label or business waiver does not convert failure into a pass.</w:t>
            </w:r>
          </w:p>
        </w:tc>
      </w:tr>
    </w:tbl>
    <w:p>
      <w:pPr>
        <w:spacing w:after="40"/>
      </w:pPr>
      <w:r/>
    </w:p>
    <w:p>
      <w:pPr>
        <w:pStyle w:val="Heading1"/>
        <w:keepNext/>
      </w:pPr>
      <w:r>
        <w:t>Appendix O | Worked campaign, event and policy contracts</w:t>
      </w:r>
      <w:bookmarkStart w:id="525" w:name="final_Appendix_O___Worked_campaign__e"/>
      <w:bookmarkEnd w:id="525"/>
      <w:bookmarkStart w:id="643" w:name="tocfinal_app_O"/>
      <w:bookmarkEnd w:id="643"/>
    </w:p>
    <w:p>
      <w:pPr>
        <w:pStyle w:val="Heading2"/>
        <w:keepNext/>
      </w:pPr>
      <w:r>
        <w:t>O.1 Example internal campaign configuration</w:t>
      </w:r>
    </w:p>
    <w:p>
      <w:r>
        <w:t>The following is illustrative internal configuration, not a provider API request. Replace example IDs through approved site setup. It intentionally includes no real contact identifiers, secrets, precise location or live spending authorization.</w:t>
      </w:r>
    </w:p>
    <w:p>
      <w:pPr>
        <w:pStyle w:val="CodeBlock"/>
        <w:keepNext/>
        <w:spacing w:after="0"/>
      </w:pPr>
      <w:r>
        <w:t>{</w:t>
      </w:r>
    </w:p>
    <w:p>
      <w:pPr>
        <w:pStyle w:val="CodeBlock"/>
        <w:keepNext/>
        <w:spacing w:after="0"/>
      </w:pPr>
      <w:r>
        <w:t xml:space="preserve">  "schema_version": "campaign-plan/1",</w:t>
      </w:r>
    </w:p>
    <w:p>
      <w:pPr>
        <w:pStyle w:val="CodeBlock"/>
        <w:keepNext/>
        <w:spacing w:after="0"/>
      </w:pPr>
      <w:r>
        <w:t xml:space="preserve">  "site_id": "site_demo",</w:t>
      </w:r>
    </w:p>
    <w:p>
      <w:pPr>
        <w:pStyle w:val="CodeBlock"/>
        <w:keepNext/>
        <w:spacing w:after="0"/>
      </w:pPr>
      <w:r>
        <w:t xml:space="preserve">  "campaign_id": "cmp_consultation_01",</w:t>
      </w:r>
    </w:p>
    <w:p>
      <w:pPr>
        <w:pStyle w:val="CodeBlock"/>
        <w:keepNext/>
        <w:spacing w:after="0"/>
      </w:pPr>
      <w:r>
        <w:t xml:space="preserve">  "offer_revision": "offer_rev_07",</w:t>
      </w:r>
    </w:p>
    <w:p>
      <w:pPr>
        <w:pStyle w:val="CodeBlock"/>
        <w:keepNext/>
        <w:spacing w:after="0"/>
      </w:pPr>
      <w:r>
        <w:t xml:space="preserve">  "objective": "qualified_enquiry",</w:t>
      </w:r>
    </w:p>
    <w:p>
      <w:pPr>
        <w:pStyle w:val="CodeBlock"/>
        <w:keepNext/>
        <w:spacing w:after="0"/>
      </w:pPr>
      <w:r>
        <w:t xml:space="preserve">  "destination_path": "/consultation",</w:t>
      </w:r>
    </w:p>
    <w:p>
      <w:pPr>
        <w:pStyle w:val="CodeBlock"/>
        <w:keepNext/>
        <w:spacing w:after="0"/>
      </w:pPr>
      <w:r>
        <w:t xml:space="preserve">  "source": "google",</w:t>
      </w:r>
    </w:p>
    <w:p>
      <w:pPr>
        <w:pStyle w:val="CodeBlock"/>
        <w:keepNext/>
        <w:spacing w:after="0"/>
      </w:pPr>
      <w:r>
        <w:t xml:space="preserve">  "medium": "cpc",</w:t>
      </w:r>
    </w:p>
    <w:p>
      <w:pPr>
        <w:pStyle w:val="CodeBlock"/>
        <w:keepNext/>
        <w:spacing w:after="0"/>
      </w:pPr>
      <w:r>
        <w:t xml:space="preserve">  "effective_bidding_actions": ["action_qualified_enquiry"],</w:t>
      </w:r>
    </w:p>
    <w:p>
      <w:pPr>
        <w:pStyle w:val="CodeBlock"/>
        <w:keepNext/>
        <w:spacing w:after="0"/>
      </w:pPr>
      <w:r>
        <w:t xml:space="preserve">  "diagnostic_actions": ["pricing_view", "download_click"],</w:t>
      </w:r>
    </w:p>
    <w:p>
      <w:pPr>
        <w:pStyle w:val="CodeBlock"/>
        <w:keepNext/>
        <w:spacing w:after="0"/>
      </w:pPr>
      <w:r>
        <w:t xml:space="preserve">  "custom_goal_review_required": true,</w:t>
      </w:r>
    </w:p>
    <w:p>
      <w:pPr>
        <w:pStyle w:val="CodeBlock"/>
        <w:keepNext/>
        <w:spacing w:after="0"/>
      </w:pPr>
      <w:r>
        <w:t xml:space="preserve">  "budget_authority": "approval_reference_required",</w:t>
      </w:r>
    </w:p>
    <w:p>
      <w:pPr>
        <w:pStyle w:val="CodeBlock"/>
        <w:keepNext/>
        <w:spacing w:after="0"/>
      </w:pPr>
      <w:r>
        <w:t xml:space="preserve">  "external_write_enabled": false,</w:t>
      </w:r>
    </w:p>
    <w:p>
      <w:pPr>
        <w:pStyle w:val="CodeBlock"/>
        <w:keepNext/>
        <w:spacing w:after="0"/>
      </w:pPr>
      <w:r>
        <w:t xml:space="preserve">  "consent_policy_version": "policy_demo_03",</w:t>
      </w:r>
    </w:p>
    <w:p>
      <w:pPr>
        <w:pStyle w:val="CodeBlock"/>
        <w:keepNext/>
        <w:spacing w:after="0"/>
      </w:pPr>
      <w:r>
        <w:t xml:space="preserve">  "experiment_namespace": "landing_consultation",</w:t>
      </w:r>
    </w:p>
    <w:p>
      <w:pPr>
        <w:pStyle w:val="CodeBlock"/>
        <w:keepNext/>
        <w:spacing w:after="0"/>
      </w:pPr>
      <w:r>
        <w:t xml:space="preserve">  "response_team": "team_demo",</w:t>
      </w:r>
    </w:p>
    <w:p>
      <w:pPr>
        <w:pStyle w:val="CodeBlock"/>
        <w:keepNext/>
        <w:spacing w:after="0"/>
      </w:pPr>
      <w:r>
        <w:t xml:space="preserve">  "status": "draft"</w:t>
      </w:r>
    </w:p>
    <w:p>
      <w:pPr>
        <w:pStyle w:val="CodeBlock"/>
        <w:keepNext w:val="0"/>
        <w:spacing w:after="0"/>
      </w:pPr>
      <w:r>
        <w:t>}</w:t>
      </w:r>
    </w:p>
    <w:p>
      <w:r/>
    </w:p>
    <w:p>
      <w:r>
        <w:t>Acceptance: changing an offer revision invalidates the relevant preflight; editing the word qualified in a CMS label does not change the backend qualification definition. Publishing a landing page does not enable external campaign writes. The effective-goal resolver must prove that diagnostic events are not accidentally included through a custom goal.</w:t>
      </w:r>
    </w:p>
    <w:p>
      <w:pPr>
        <w:pStyle w:val="Heading2"/>
        <w:keepNext/>
      </w:pPr>
      <w:r>
        <w:t>O.2 Canonical internal event and representations</w:t>
      </w:r>
    </w:p>
    <w:p>
      <w:pPr>
        <w:pStyle w:val="CodeBlock"/>
        <w:keepNext/>
        <w:spacing w:after="0"/>
      </w:pPr>
      <w:r>
        <w:t>{</w:t>
      </w:r>
    </w:p>
    <w:p>
      <w:pPr>
        <w:pStyle w:val="CodeBlock"/>
        <w:keepNext/>
        <w:spacing w:after="0"/>
      </w:pPr>
      <w:r>
        <w:t xml:space="preserve">  "schema_version": "business-event/1",</w:t>
      </w:r>
    </w:p>
    <w:p>
      <w:pPr>
        <w:pStyle w:val="CodeBlock"/>
        <w:keepNext/>
        <w:spacing w:after="0"/>
      </w:pPr>
      <w:r>
        <w:t xml:space="preserve">  "business_event_id": "evt_demo_001",</w:t>
      </w:r>
    </w:p>
    <w:p>
      <w:pPr>
        <w:pStyle w:val="CodeBlock"/>
        <w:keepNext/>
        <w:spacing w:after="0"/>
      </w:pPr>
      <w:r>
        <w:t xml:space="preserve">  "event_type": "lead_accepted",</w:t>
      </w:r>
    </w:p>
    <w:p>
      <w:pPr>
        <w:pStyle w:val="CodeBlock"/>
        <w:keepNext/>
        <w:spacing w:after="0"/>
      </w:pPr>
      <w:r>
        <w:t xml:space="preserve">  "site_id": "site_demo",</w:t>
      </w:r>
    </w:p>
    <w:p>
      <w:pPr>
        <w:pStyle w:val="CodeBlock"/>
        <w:keepNext/>
        <w:spacing w:after="0"/>
      </w:pPr>
      <w:r>
        <w:t xml:space="preserve">  "record_ref": "lead_demo_001",</w:t>
      </w:r>
    </w:p>
    <w:p>
      <w:pPr>
        <w:pStyle w:val="CodeBlock"/>
        <w:keepNext/>
        <w:spacing w:after="0"/>
      </w:pPr>
      <w:r>
        <w:t xml:space="preserve">  "lifecycle_version": 1,</w:t>
      </w:r>
    </w:p>
    <w:p>
      <w:pPr>
        <w:pStyle w:val="CodeBlock"/>
        <w:keepNext/>
        <w:spacing w:after="0"/>
      </w:pPr>
      <w:r>
        <w:t xml:space="preserve">  "occurred_at": "2026-10-07T10:00:00Z",</w:t>
      </w:r>
    </w:p>
    <w:p>
      <w:pPr>
        <w:pStyle w:val="CodeBlock"/>
        <w:keepNext/>
        <w:spacing w:after="0"/>
      </w:pPr>
      <w:r>
        <w:t xml:space="preserve">  "source_channel": "website_chat",</w:t>
      </w:r>
    </w:p>
    <w:p>
      <w:pPr>
        <w:pStyle w:val="CodeBlock"/>
        <w:keepNext/>
        <w:spacing w:after="0"/>
      </w:pPr>
      <w:r>
        <w:t xml:space="preserve">  "context_refs": {</w:t>
      </w:r>
    </w:p>
    <w:p>
      <w:pPr>
        <w:pStyle w:val="CodeBlock"/>
        <w:keepNext/>
        <w:spacing w:after="0"/>
      </w:pPr>
      <w:r>
        <w:t xml:space="preserve">    "acquisition": "touch_demo_01",</w:t>
      </w:r>
    </w:p>
    <w:p>
      <w:pPr>
        <w:pStyle w:val="CodeBlock"/>
        <w:keepNext/>
        <w:spacing w:after="0"/>
      </w:pPr>
      <w:r>
        <w:t xml:space="preserve">    "experiment_assignment": "assignment_demo_01"</w:t>
      </w:r>
    </w:p>
    <w:p>
      <w:pPr>
        <w:pStyle w:val="CodeBlock"/>
        <w:keepNext/>
        <w:spacing w:after="0"/>
      </w:pPr>
      <w:r>
        <w:t xml:space="preserve">  },</w:t>
      </w:r>
    </w:p>
    <w:p>
      <w:pPr>
        <w:pStyle w:val="CodeBlock"/>
        <w:keepNext/>
        <w:spacing w:after="0"/>
      </w:pPr>
      <w:r>
        <w:t xml:space="preserve">  "consent_ref": "choice_demo_01",</w:t>
      </w:r>
    </w:p>
    <w:p>
      <w:pPr>
        <w:pStyle w:val="CodeBlock"/>
        <w:keepNext/>
        <w:spacing w:after="0"/>
      </w:pPr>
      <w:r>
        <w:t xml:space="preserve">  "privacy_class": "restricted_business",</w:t>
      </w:r>
    </w:p>
    <w:p>
      <w:pPr>
        <w:pStyle w:val="CodeBlock"/>
        <w:keepNext/>
        <w:spacing w:after="0"/>
      </w:pPr>
      <w:r>
        <w:t xml:space="preserve">  "destination_eligibility": "evaluate_at_dispatch"</w:t>
      </w:r>
    </w:p>
    <w:p>
      <w:pPr>
        <w:pStyle w:val="CodeBlock"/>
        <w:keepNext w:val="0"/>
        <w:spacing w:after="0"/>
      </w:pPr>
      <w:r>
        <w:t>}</w:t>
      </w:r>
    </w:p>
    <w:p>
      <w:r/>
    </w:p>
    <w:p>
      <w:r>
        <w:t>This event is not sent unchanged to GA4 or Meta. The consent reference is evidence, not an eternal permission token. Context references are scoped database links, not public credentials. The marketing event is constructed from an approved minimal projection; the transcript and contact fields stay in protected business records.</w:t>
      </w:r>
    </w:p>
    <w:p>
      <w:r>
        <w:t>For Meta, a permitted same-action browser/server representation reuses the agreed event name and stable event ID, with server event_time in seconds. For Google, deduplication follows the selected action/product contract, not the assumption that an internal UUID is universally sufficient. A later qualification has a new lifecycle event ID, not a rewritten original lead timestamp. A correction preserves the original fact plus an authorized adjustment.</w:t>
      </w:r>
    </w:p>
    <w:p>
      <w:pPr>
        <w:pStyle w:val="Heading2"/>
        <w:keepNext/>
      </w:pPr>
      <w:r>
        <w:t>O.3 Post-serialization dispatch policy</w:t>
      </w:r>
    </w:p>
    <w:p>
      <w:pPr>
        <w:pStyle w:val="CodeBlock"/>
        <w:keepNext/>
        <w:spacing w:after="0"/>
      </w:pPr>
      <w:r>
        <w:t>1. Load the trusted business event and destination contract version.</w:t>
      </w:r>
    </w:p>
    <w:p>
      <w:pPr>
        <w:pStyle w:val="CodeBlock"/>
        <w:keepNext/>
        <w:spacing w:after="0"/>
      </w:pPr>
      <w:r>
        <w:t>2. Resolve current site/account, purpose, consent, suppression and expiry.</w:t>
      </w:r>
    </w:p>
    <w:p>
      <w:pPr>
        <w:pStyle w:val="CodeBlock"/>
        <w:keepNext/>
        <w:spacing w:after="0"/>
      </w:pPr>
      <w:r>
        <w:t>3. Return suppressed when delivery is not eligible.</w:t>
      </w:r>
    </w:p>
    <w:p>
      <w:pPr>
        <w:pStyle w:val="CodeBlock"/>
        <w:keepNext/>
        <w:spacing w:after="0"/>
      </w:pPr>
      <w:r>
        <w:t>4. Build only the destination's approved field projection.</w:t>
      </w:r>
    </w:p>
    <w:p>
      <w:pPr>
        <w:pStyle w:val="CodeBlock"/>
        <w:keepNext/>
        <w:spacing w:after="0"/>
      </w:pPr>
      <w:r>
        <w:t>5. Normalize using destination-specific tested fixtures.</w:t>
      </w:r>
    </w:p>
    <w:p>
      <w:pPr>
        <w:pStyle w:val="CodeBlock"/>
        <w:keepNext/>
        <w:spacing w:after="0"/>
      </w:pPr>
      <w:r>
        <w:t>6. Serialize with a pinned SDK; disable automatic request enrichment.</w:t>
      </w:r>
    </w:p>
    <w:p>
      <w:pPr>
        <w:pStyle w:val="CodeBlock"/>
        <w:keepNext/>
        <w:spacing w:after="0"/>
      </w:pPr>
      <w:r>
        <w:t>7. Reject any unexpected key or prohibited sensitive value.</w:t>
      </w:r>
    </w:p>
    <w:p>
      <w:pPr>
        <w:pStyle w:val="CodeBlock"/>
        <w:keepNext/>
        <w:spacing w:after="0"/>
      </w:pPr>
      <w:r>
        <w:t>8. Recheck revocation/version changes at the dispatch boundary.</w:t>
      </w:r>
    </w:p>
    <w:p>
      <w:pPr>
        <w:pStyle w:val="CodeBlock"/>
        <w:keepNext/>
        <w:spacing w:after="0"/>
      </w:pPr>
      <w:r>
        <w:t>9. Send with original identity/time and record a safe receipt.</w:t>
      </w:r>
    </w:p>
    <w:p>
      <w:pPr>
        <w:pStyle w:val="CodeBlock"/>
        <w:keepNext w:val="0"/>
        <w:spacing w:after="0"/>
      </w:pPr>
      <w:r>
        <w:t>10. Reconcile uncertain or partial delivery without inventing success.</w:t>
      </w:r>
    </w:p>
    <w:p>
      <w:r/>
    </w:p>
    <w:p>
      <w:r>
        <w:t>The result of step 7 is a protected validation record containing contract/SDK versions and safe error codes, not a copy of the customer payload. A failed post-serialization check must not be bypassed through a generic retry button. The public form or chat already has its durable accepted result regardless of optional destination failure.</w:t>
      </w:r>
    </w:p>
    <w:p>
      <w:pPr>
        <w:pStyle w:val="Heading2"/>
        <w:keepNext/>
      </w:pPr>
      <w:r>
        <w:t>O.4 Internal route policy example</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2405"/>
        <w:gridCol w:w="2405"/>
        <w:gridCol w:w="2717"/>
      </w:tblGrid>
      <w:tr>
        <w:trPr>
          <w:cantSplit/>
          <w:tblHeader/>
        </w:trPr>
        <w:tc>
          <w:tcPr>
            <w:tcW w:type="dxa" w:w="2304"/>
            <w:shd w:fill="163349"/>
          </w:tcPr>
          <w:p>
            <w:pPr>
              <w:pStyle w:val="TableText"/>
              <w:keepNext/>
            </w:pPr>
            <w:r>
              <w:rPr>
                <w:rFonts w:ascii="Lato" w:hAnsi="Lato"/>
                <w:b/>
                <w:color w:val="FFFFFF"/>
                <w:sz w:val="18"/>
              </w:rPr>
              <w:t>Route family</w:t>
            </w:r>
          </w:p>
        </w:tc>
        <w:tc>
          <w:tcPr>
            <w:tcW w:type="dxa" w:w="2405"/>
            <w:shd w:fill="163349"/>
          </w:tcPr>
          <w:p>
            <w:pPr>
              <w:pStyle w:val="TableText"/>
              <w:keepNext/>
            </w:pPr>
            <w:r>
              <w:rPr>
                <w:rFonts w:ascii="Lato" w:hAnsi="Lato"/>
                <w:b/>
                <w:color w:val="FFFFFF"/>
                <w:sz w:val="18"/>
              </w:rPr>
              <w:t>Index policy</w:t>
            </w:r>
          </w:p>
        </w:tc>
        <w:tc>
          <w:tcPr>
            <w:tcW w:type="dxa" w:w="2405"/>
            <w:shd w:fill="163349"/>
          </w:tcPr>
          <w:p>
            <w:pPr>
              <w:pStyle w:val="TableText"/>
              <w:keepNext/>
            </w:pPr>
            <w:r>
              <w:rPr>
                <w:rFonts w:ascii="Lato" w:hAnsi="Lato"/>
                <w:b/>
                <w:color w:val="FFFFFF"/>
                <w:sz w:val="18"/>
              </w:rPr>
              <w:t>Cache policy</w:t>
            </w:r>
          </w:p>
        </w:tc>
        <w:tc>
          <w:tcPr>
            <w:tcW w:type="dxa" w:w="2717"/>
            <w:shd w:fill="163349"/>
          </w:tcPr>
          <w:p>
            <w:pPr>
              <w:pStyle w:val="TableText"/>
              <w:keepNext/>
            </w:pPr>
            <w:r>
              <w:rPr>
                <w:rFonts w:ascii="Lato" w:hAnsi="Lato"/>
                <w:b/>
                <w:color w:val="FFFFFF"/>
                <w:sz w:val="18"/>
              </w:rPr>
              <w:t>Measurement/access rule</w:t>
            </w:r>
          </w:p>
        </w:tc>
      </w:tr>
      <w:tr>
        <w:trPr>
          <w:cantSplit/>
        </w:trPr>
        <w:tc>
          <w:tcPr>
            <w:tcW w:type="dxa" w:w="2304"/>
            <w:shd w:fill="F2F7FA"/>
          </w:tcPr>
          <w:p>
            <w:pPr>
              <w:pStyle w:val="TableText"/>
              <w:keepNext w:val="0"/>
            </w:pPr>
            <w:r>
              <w:rPr>
                <w:rFonts w:ascii="Lato" w:hAnsi="Lato"/>
                <w:b/>
                <w:color w:val="163349"/>
                <w:sz w:val="18"/>
              </w:rPr>
              <w:t>/programmes/{slug}</w:t>
            </w:r>
          </w:p>
        </w:tc>
        <w:tc>
          <w:tcPr>
            <w:tcW w:type="dxa" w:w="2405"/>
            <w:shd w:fill="F2F7FA"/>
          </w:tcPr>
          <w:p>
            <w:pPr>
              <w:pStyle w:val="TableText"/>
              <w:keepNext w:val="0"/>
            </w:pPr>
            <w:r>
              <w:rPr>
                <w:rFonts w:ascii="Lato" w:hAnsi="Lato"/>
                <w:sz w:val="18"/>
              </w:rPr>
              <w:t>Canonical published route eligible for discovery</w:t>
            </w:r>
          </w:p>
        </w:tc>
        <w:tc>
          <w:tcPr>
            <w:tcW w:type="dxa" w:w="2405"/>
            <w:shd w:fill="F2F7FA"/>
          </w:tcPr>
          <w:p>
            <w:pPr>
              <w:pStyle w:val="TableText"/>
              <w:keepNext w:val="0"/>
            </w:pPr>
            <w:r>
              <w:rPr>
                <w:rFonts w:ascii="Lato" w:hAnsi="Lato"/>
                <w:sz w:val="18"/>
              </w:rPr>
              <w:t>Public site/locale/revision cache</w:t>
            </w:r>
          </w:p>
        </w:tc>
        <w:tc>
          <w:tcPr>
            <w:tcW w:type="dxa" w:w="2717"/>
            <w:shd w:fill="F2F7FA"/>
          </w:tcPr>
          <w:p>
            <w:pPr>
              <w:pStyle w:val="TableText"/>
              <w:keepNext w:val="0"/>
            </w:pPr>
            <w:r>
              <w:rPr>
                <w:rFonts w:ascii="Lato" w:hAnsi="Lato"/>
                <w:sz w:val="18"/>
              </w:rPr>
              <w:t>Consented behavior only; price validated in business actions.</w:t>
            </w:r>
          </w:p>
        </w:tc>
      </w:tr>
      <w:tr>
        <w:trPr>
          <w:cantSplit/>
        </w:trPr>
        <w:tc>
          <w:tcPr>
            <w:tcW w:type="dxa" w:w="2304"/>
            <w:shd w:fill="FFFFFF"/>
          </w:tcPr>
          <w:p>
            <w:pPr>
              <w:pStyle w:val="TableText"/>
              <w:keepNext w:val="0"/>
            </w:pPr>
            <w:r>
              <w:rPr>
                <w:rFonts w:ascii="Lato" w:hAnsi="Lato"/>
                <w:b/>
                <w:color w:val="163349"/>
                <w:sz w:val="18"/>
              </w:rPr>
              <w:t>/blog/{slug}</w:t>
            </w:r>
          </w:p>
        </w:tc>
        <w:tc>
          <w:tcPr>
            <w:tcW w:type="dxa" w:w="2405"/>
            <w:shd w:fill="FFFFFF"/>
          </w:tcPr>
          <w:p>
            <w:pPr>
              <w:pStyle w:val="TableText"/>
              <w:keepNext w:val="0"/>
            </w:pPr>
            <w:r>
              <w:rPr>
                <w:rFonts w:ascii="Lato" w:hAnsi="Lato"/>
                <w:sz w:val="18"/>
              </w:rPr>
              <w:t>Canonical published article; remove derived discovery on manual unpublish</w:t>
            </w:r>
          </w:p>
        </w:tc>
        <w:tc>
          <w:tcPr>
            <w:tcW w:type="dxa" w:w="2405"/>
            <w:shd w:fill="FFFFFF"/>
          </w:tcPr>
          <w:p>
            <w:pPr>
              <w:pStyle w:val="TableText"/>
              <w:keepNext w:val="0"/>
            </w:pPr>
            <w:r>
              <w:rPr>
                <w:rFonts w:ascii="Lato" w:hAnsi="Lato"/>
                <w:sz w:val="18"/>
              </w:rPr>
              <w:t>Public revision cache</w:t>
            </w:r>
          </w:p>
        </w:tc>
        <w:tc>
          <w:tcPr>
            <w:tcW w:type="dxa" w:w="2717"/>
            <w:shd w:fill="FFFFFF"/>
          </w:tcPr>
          <w:p>
            <w:pPr>
              <w:pStyle w:val="TableText"/>
              <w:keepNext w:val="0"/>
            </w:pPr>
            <w:r>
              <w:rPr>
                <w:rFonts w:ascii="Lato" w:hAnsi="Lato"/>
                <w:sz w:val="18"/>
              </w:rPr>
              <w:t>Source and trash never age-expire.</w:t>
            </w:r>
          </w:p>
        </w:tc>
      </w:tr>
      <w:tr>
        <w:trPr>
          <w:cantSplit/>
        </w:trPr>
        <w:tc>
          <w:tcPr>
            <w:tcW w:type="dxa" w:w="2304"/>
            <w:shd w:fill="F2F7FA"/>
          </w:tcPr>
          <w:p>
            <w:pPr>
              <w:pStyle w:val="TableText"/>
              <w:keepNext w:val="0"/>
            </w:pPr>
            <w:r>
              <w:rPr>
                <w:rFonts w:ascii="Lato" w:hAnsi="Lato"/>
                <w:b/>
                <w:color w:val="163349"/>
                <w:sz w:val="18"/>
              </w:rPr>
              <w:t>/campaigns/{slug}</w:t>
            </w:r>
          </w:p>
        </w:tc>
        <w:tc>
          <w:tcPr>
            <w:tcW w:type="dxa" w:w="2405"/>
            <w:shd w:fill="F2F7FA"/>
          </w:tcPr>
          <w:p>
            <w:pPr>
              <w:pStyle w:val="TableText"/>
              <w:keepNext w:val="0"/>
            </w:pPr>
            <w:r>
              <w:rPr>
                <w:rFonts w:ascii="Lato" w:hAnsi="Lato"/>
                <w:sz w:val="18"/>
              </w:rPr>
              <w:t>Explicit SEO decision for each campaign/variant</w:t>
            </w:r>
          </w:p>
        </w:tc>
        <w:tc>
          <w:tcPr>
            <w:tcW w:type="dxa" w:w="2405"/>
            <w:shd w:fill="F2F7FA"/>
          </w:tcPr>
          <w:p>
            <w:pPr>
              <w:pStyle w:val="TableText"/>
              <w:keepNext w:val="0"/>
            </w:pPr>
            <w:r>
              <w:rPr>
                <w:rFonts w:ascii="Lato" w:hAnsi="Lato"/>
                <w:sz w:val="18"/>
              </w:rPr>
              <w:t>Bounded approved variant key</w:t>
            </w:r>
          </w:p>
        </w:tc>
        <w:tc>
          <w:tcPr>
            <w:tcW w:type="dxa" w:w="2717"/>
            <w:shd w:fill="F2F7FA"/>
          </w:tcPr>
          <w:p>
            <w:pPr>
              <w:pStyle w:val="TableText"/>
              <w:keepNext w:val="0"/>
            </w:pPr>
            <w:r>
              <w:rPr>
                <w:rFonts w:ascii="Lato" w:hAnsi="Lato"/>
                <w:sz w:val="18"/>
              </w:rPr>
              <w:t>Preserve eligible acquisition; no private identity in key.</w:t>
            </w:r>
          </w:p>
        </w:tc>
      </w:tr>
      <w:tr>
        <w:trPr>
          <w:cantSplit/>
        </w:trPr>
        <w:tc>
          <w:tcPr>
            <w:tcW w:type="dxa" w:w="2304"/>
            <w:shd w:fill="FFFFFF"/>
          </w:tcPr>
          <w:p>
            <w:pPr>
              <w:pStyle w:val="TableText"/>
              <w:keepNext w:val="0"/>
            </w:pPr>
            <w:r>
              <w:rPr>
                <w:rFonts w:ascii="Lato" w:hAnsi="Lato"/>
                <w:b/>
                <w:color w:val="163349"/>
                <w:sz w:val="18"/>
              </w:rPr>
              <w:t>/search</w:t>
            </w:r>
          </w:p>
        </w:tc>
        <w:tc>
          <w:tcPr>
            <w:tcW w:type="dxa" w:w="2405"/>
            <w:shd w:fill="FFFFFF"/>
          </w:tcPr>
          <w:p>
            <w:pPr>
              <w:pStyle w:val="TableText"/>
              <w:keepNext w:val="0"/>
            </w:pPr>
            <w:r>
              <w:rPr>
                <w:rFonts w:ascii="Lato" w:hAnsi="Lato"/>
                <w:sz w:val="18"/>
              </w:rPr>
              <w:t>Deliberate crawl/index policy</w:t>
            </w:r>
          </w:p>
        </w:tc>
        <w:tc>
          <w:tcPr>
            <w:tcW w:type="dxa" w:w="2405"/>
            <w:shd w:fill="FFFFFF"/>
          </w:tcPr>
          <w:p>
            <w:pPr>
              <w:pStyle w:val="TableText"/>
              <w:keepNext w:val="0"/>
            </w:pPr>
            <w:r>
              <w:rPr>
                <w:rFonts w:ascii="Lato" w:hAnsi="Lato"/>
                <w:sz w:val="18"/>
              </w:rPr>
              <w:t>Bounded query/result policy</w:t>
            </w:r>
          </w:p>
        </w:tc>
        <w:tc>
          <w:tcPr>
            <w:tcW w:type="dxa" w:w="2717"/>
            <w:shd w:fill="FFFFFF"/>
          </w:tcPr>
          <w:p>
            <w:pPr>
              <w:pStyle w:val="TableText"/>
              <w:keepNext w:val="0"/>
            </w:pPr>
            <w:r>
              <w:rPr>
                <w:rFonts w:ascii="Lato" w:hAnsi="Lato"/>
                <w:sz w:val="18"/>
              </w:rPr>
              <w:t>No raw sensitive query in analytics.</w:t>
            </w:r>
          </w:p>
        </w:tc>
      </w:tr>
      <w:tr>
        <w:trPr>
          <w:cantSplit/>
        </w:trPr>
        <w:tc>
          <w:tcPr>
            <w:tcW w:type="dxa" w:w="2304"/>
            <w:shd w:fill="F2F7FA"/>
          </w:tcPr>
          <w:p>
            <w:pPr>
              <w:pStyle w:val="TableText"/>
              <w:keepNext w:val="0"/>
            </w:pPr>
            <w:r>
              <w:rPr>
                <w:rFonts w:ascii="Lato" w:hAnsi="Lato"/>
                <w:b/>
                <w:color w:val="163349"/>
                <w:sz w:val="18"/>
              </w:rPr>
              <w:t>/preview/{token}</w:t>
            </w:r>
          </w:p>
        </w:tc>
        <w:tc>
          <w:tcPr>
            <w:tcW w:type="dxa" w:w="2405"/>
            <w:shd w:fill="F2F7FA"/>
          </w:tcPr>
          <w:p>
            <w:pPr>
              <w:pStyle w:val="TableText"/>
              <w:keepNext w:val="0"/>
            </w:pPr>
            <w:r>
              <w:rPr>
                <w:rFonts w:ascii="Lato" w:hAnsi="Lato"/>
                <w:sz w:val="18"/>
              </w:rPr>
              <w:t>Private preview, no public indexing</w:t>
            </w:r>
          </w:p>
        </w:tc>
        <w:tc>
          <w:tcPr>
            <w:tcW w:type="dxa" w:w="2405"/>
            <w:shd w:fill="F2F7FA"/>
          </w:tcPr>
          <w:p>
            <w:pPr>
              <w:pStyle w:val="TableText"/>
              <w:keepNext w:val="0"/>
            </w:pPr>
            <w:r>
              <w:rPr>
                <w:rFonts w:ascii="Lato" w:hAnsi="Lato"/>
                <w:sz w:val="18"/>
              </w:rPr>
              <w:t>No shared public cache</w:t>
            </w:r>
          </w:p>
        </w:tc>
        <w:tc>
          <w:tcPr>
            <w:tcW w:type="dxa" w:w="2717"/>
            <w:shd w:fill="F2F7FA"/>
          </w:tcPr>
          <w:p>
            <w:pPr>
              <w:pStyle w:val="TableText"/>
              <w:keepNext w:val="0"/>
            </w:pPr>
            <w:r>
              <w:rPr>
                <w:rFonts w:ascii="Lato" w:hAnsi="Lato"/>
                <w:sz w:val="18"/>
              </w:rPr>
              <w:t>Expiring authorization; no production ad tags.</w:t>
            </w:r>
          </w:p>
        </w:tc>
      </w:tr>
      <w:tr>
        <w:trPr>
          <w:cantSplit/>
        </w:trPr>
        <w:tc>
          <w:tcPr>
            <w:tcW w:type="dxa" w:w="2304"/>
            <w:shd w:fill="FFFFFF"/>
          </w:tcPr>
          <w:p>
            <w:pPr>
              <w:pStyle w:val="TableText"/>
              <w:keepNext w:val="0"/>
            </w:pPr>
            <w:r>
              <w:rPr>
                <w:rFonts w:ascii="Lato" w:hAnsi="Lato"/>
                <w:b/>
                <w:color w:val="163349"/>
                <w:sz w:val="18"/>
              </w:rPr>
              <w:t>/account/*</w:t>
            </w:r>
          </w:p>
        </w:tc>
        <w:tc>
          <w:tcPr>
            <w:tcW w:type="dxa" w:w="2405"/>
            <w:shd w:fill="FFFFFF"/>
          </w:tcPr>
          <w:p>
            <w:pPr>
              <w:pStyle w:val="TableText"/>
              <w:keepNext w:val="0"/>
            </w:pPr>
            <w:r>
              <w:rPr>
                <w:rFonts w:ascii="Lato" w:hAnsi="Lato"/>
                <w:sz w:val="18"/>
              </w:rPr>
              <w:t>Private</w:t>
            </w:r>
          </w:p>
        </w:tc>
        <w:tc>
          <w:tcPr>
            <w:tcW w:type="dxa" w:w="2405"/>
            <w:shd w:fill="FFFFFF"/>
          </w:tcPr>
          <w:p>
            <w:pPr>
              <w:pStyle w:val="TableText"/>
              <w:keepNext w:val="0"/>
            </w:pPr>
            <w:r>
              <w:rPr>
                <w:rFonts w:ascii="Lato" w:hAnsi="Lato"/>
                <w:sz w:val="18"/>
              </w:rPr>
              <w:t>Protected response/session policy</w:t>
            </w:r>
          </w:p>
        </w:tc>
        <w:tc>
          <w:tcPr>
            <w:tcW w:type="dxa" w:w="2717"/>
            <w:shd w:fill="FFFFFF"/>
          </w:tcPr>
          <w:p>
            <w:pPr>
              <w:pStyle w:val="TableText"/>
              <w:keepNext w:val="0"/>
            </w:pPr>
            <w:r>
              <w:rPr>
                <w:rFonts w:ascii="Lato" w:hAnsi="Lato"/>
                <w:sz w:val="18"/>
              </w:rPr>
              <w:t>Object authorization; replay and ad tags off by default.</w:t>
            </w:r>
          </w:p>
        </w:tc>
      </w:tr>
      <w:tr>
        <w:trPr>
          <w:cantSplit/>
        </w:trPr>
        <w:tc>
          <w:tcPr>
            <w:tcW w:type="dxa" w:w="2304"/>
            <w:shd w:fill="F2F7FA"/>
          </w:tcPr>
          <w:p>
            <w:pPr>
              <w:pStyle w:val="TableText"/>
              <w:keepNext w:val="0"/>
            </w:pPr>
            <w:r>
              <w:rPr>
                <w:rFonts w:ascii="Lato" w:hAnsi="Lato"/>
                <w:b/>
                <w:color w:val="163349"/>
                <w:sz w:val="18"/>
              </w:rPr>
              <w:t>/downloads/{resource}</w:t>
            </w:r>
          </w:p>
        </w:tc>
        <w:tc>
          <w:tcPr>
            <w:tcW w:type="dxa" w:w="2405"/>
            <w:shd w:fill="F2F7FA"/>
          </w:tcPr>
          <w:p>
            <w:pPr>
              <w:pStyle w:val="TableText"/>
              <w:keepNext w:val="0"/>
            </w:pPr>
            <w:r>
              <w:rPr>
                <w:rFonts w:ascii="Lato" w:hAnsi="Lato"/>
                <w:sz w:val="18"/>
              </w:rPr>
              <w:t>Resource-specific access and file-header policy</w:t>
            </w:r>
          </w:p>
        </w:tc>
        <w:tc>
          <w:tcPr>
            <w:tcW w:type="dxa" w:w="2405"/>
            <w:shd w:fill="F2F7FA"/>
          </w:tcPr>
          <w:p>
            <w:pPr>
              <w:pStyle w:val="TableText"/>
              <w:keepNext w:val="0"/>
            </w:pPr>
            <w:r>
              <w:rPr>
                <w:rFonts w:ascii="Lato" w:hAnsi="Lato"/>
                <w:sz w:val="18"/>
              </w:rPr>
              <w:t>Public or signed private delivery</w:t>
            </w:r>
          </w:p>
        </w:tc>
        <w:tc>
          <w:tcPr>
            <w:tcW w:type="dxa" w:w="2717"/>
            <w:shd w:fill="F2F7FA"/>
          </w:tcPr>
          <w:p>
            <w:pPr>
              <w:pStyle w:val="TableText"/>
              <w:keepNext w:val="0"/>
            </w:pPr>
            <w:r>
              <w:rPr>
                <w:rFonts w:ascii="Lato" w:hAnsi="Lato"/>
                <w:sz w:val="18"/>
              </w:rPr>
              <w:t>Download click/authorization is not proof of reading.</w:t>
            </w:r>
          </w:p>
        </w:tc>
      </w:tr>
    </w:tbl>
    <w:p>
      <w:pPr>
        <w:spacing w:after="40"/>
      </w:pPr>
      <w:r/>
    </w:p>
    <w:p>
      <w:r>
        <w:t>These are example families, not a mandate to use identical slugs. Verify HTTP and rendered output through the actual edge. A robots rule does not substitute for account or resource authorization.</w:t>
      </w:r>
    </w:p>
    <w:p>
      <w:pPr>
        <w:pStyle w:val="Heading2"/>
        <w:keepNext/>
      </w:pPr>
      <w:r>
        <w:t>O.5 Scope and provenance vocabulary</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952"/>
        <w:gridCol w:w="6879"/>
      </w:tblGrid>
      <w:tr>
        <w:trPr>
          <w:cantSplit/>
          <w:tblHeader/>
        </w:trPr>
        <w:tc>
          <w:tcPr>
            <w:tcW w:type="dxa" w:w="2952"/>
            <w:shd w:fill="163349"/>
          </w:tcPr>
          <w:p>
            <w:pPr>
              <w:pStyle w:val="TableText"/>
              <w:keepNext/>
            </w:pPr>
            <w:r>
              <w:rPr>
                <w:rFonts w:ascii="Lato" w:hAnsi="Lato"/>
                <w:b/>
                <w:color w:val="FFFFFF"/>
                <w:sz w:val="18"/>
              </w:rPr>
              <w:t>Value</w:t>
            </w:r>
          </w:p>
        </w:tc>
        <w:tc>
          <w:tcPr>
            <w:tcW w:type="dxa" w:w="6879"/>
            <w:shd w:fill="163349"/>
          </w:tcPr>
          <w:p>
            <w:pPr>
              <w:pStyle w:val="TableText"/>
              <w:keepNext/>
            </w:pPr>
            <w:r>
              <w:rPr>
                <w:rFonts w:ascii="Lato" w:hAnsi="Lato"/>
                <w:b/>
                <w:color w:val="FFFFFF"/>
                <w:sz w:val="18"/>
              </w:rPr>
              <w:t>Meaning</w:t>
            </w:r>
          </w:p>
        </w:tc>
      </w:tr>
      <w:tr>
        <w:trPr>
          <w:cantSplit/>
        </w:trPr>
        <w:tc>
          <w:tcPr>
            <w:tcW w:type="dxa" w:w="2952"/>
            <w:shd w:fill="F2F7FA"/>
          </w:tcPr>
          <w:p>
            <w:pPr>
              <w:pStyle w:val="TableText"/>
              <w:keepNext w:val="0"/>
            </w:pPr>
            <w:r>
              <w:rPr>
                <w:rFonts w:ascii="Lato" w:hAnsi="Lato"/>
                <w:b/>
                <w:color w:val="163349"/>
                <w:sz w:val="18"/>
              </w:rPr>
              <w:t>Observed</w:t>
            </w:r>
          </w:p>
        </w:tc>
        <w:tc>
          <w:tcPr>
            <w:tcW w:type="dxa" w:w="6879"/>
            <w:shd w:fill="F2F7FA"/>
          </w:tcPr>
          <w:p>
            <w:pPr>
              <w:pStyle w:val="TableText"/>
              <w:keepNext w:val="0"/>
            </w:pPr>
            <w:r>
              <w:rPr>
                <w:rFonts w:ascii="Lato" w:hAnsi="Lato"/>
                <w:sz w:val="18"/>
              </w:rPr>
              <w:t>The approved system directly recorded the event or field at its stated boundary.</w:t>
            </w:r>
          </w:p>
        </w:tc>
      </w:tr>
      <w:tr>
        <w:trPr>
          <w:cantSplit/>
        </w:trPr>
        <w:tc>
          <w:tcPr>
            <w:tcW w:type="dxa" w:w="2952"/>
            <w:shd w:fill="FFFFFF"/>
          </w:tcPr>
          <w:p>
            <w:pPr>
              <w:pStyle w:val="TableText"/>
              <w:keepNext w:val="0"/>
            </w:pPr>
            <w:r>
              <w:rPr>
                <w:rFonts w:ascii="Lato" w:hAnsi="Lato"/>
                <w:b/>
                <w:color w:val="163349"/>
                <w:sz w:val="18"/>
              </w:rPr>
              <w:t>Declared</w:t>
            </w:r>
          </w:p>
        </w:tc>
        <w:tc>
          <w:tcPr>
            <w:tcW w:type="dxa" w:w="6879"/>
            <w:shd w:fill="FFFFFF"/>
          </w:tcPr>
          <w:p>
            <w:pPr>
              <w:pStyle w:val="TableText"/>
              <w:keepNext w:val="0"/>
            </w:pPr>
            <w:r>
              <w:rPr>
                <w:rFonts w:ascii="Lato" w:hAnsi="Lato"/>
                <w:sz w:val="18"/>
              </w:rPr>
              <w:t>The visitor or operator supplied it; verification may still be required.</w:t>
            </w:r>
          </w:p>
        </w:tc>
      </w:tr>
      <w:tr>
        <w:trPr>
          <w:cantSplit/>
        </w:trPr>
        <w:tc>
          <w:tcPr>
            <w:tcW w:type="dxa" w:w="2952"/>
            <w:shd w:fill="F2F7FA"/>
          </w:tcPr>
          <w:p>
            <w:pPr>
              <w:pStyle w:val="TableText"/>
              <w:keepNext w:val="0"/>
            </w:pPr>
            <w:r>
              <w:rPr>
                <w:rFonts w:ascii="Lato" w:hAnsi="Lato"/>
                <w:b/>
                <w:color w:val="163349"/>
                <w:sz w:val="18"/>
              </w:rPr>
              <w:t>Inferred</w:t>
            </w:r>
          </w:p>
        </w:tc>
        <w:tc>
          <w:tcPr>
            <w:tcW w:type="dxa" w:w="6879"/>
            <w:shd w:fill="F2F7FA"/>
          </w:tcPr>
          <w:p>
            <w:pPr>
              <w:pStyle w:val="TableText"/>
              <w:keepNext w:val="0"/>
            </w:pPr>
            <w:r>
              <w:rPr>
                <w:rFonts w:ascii="Lato" w:hAnsi="Lato"/>
                <w:sz w:val="18"/>
              </w:rPr>
              <w:t>A method estimated it; store method/version and uncertainty.</w:t>
            </w:r>
          </w:p>
        </w:tc>
      </w:tr>
      <w:tr>
        <w:trPr>
          <w:cantSplit/>
        </w:trPr>
        <w:tc>
          <w:tcPr>
            <w:tcW w:type="dxa" w:w="2952"/>
            <w:shd w:fill="FFFFFF"/>
          </w:tcPr>
          <w:p>
            <w:pPr>
              <w:pStyle w:val="TableText"/>
              <w:keepNext w:val="0"/>
            </w:pPr>
            <w:r>
              <w:rPr>
                <w:rFonts w:ascii="Lato" w:hAnsi="Lato"/>
                <w:b/>
                <w:color w:val="163349"/>
                <w:sz w:val="18"/>
              </w:rPr>
              <w:t>Verified</w:t>
            </w:r>
          </w:p>
        </w:tc>
        <w:tc>
          <w:tcPr>
            <w:tcW w:type="dxa" w:w="6879"/>
            <w:shd w:fill="FFFFFF"/>
          </w:tcPr>
          <w:p>
            <w:pPr>
              <w:pStyle w:val="TableText"/>
              <w:keepNext w:val="0"/>
            </w:pPr>
            <w:r>
              <w:rPr>
                <w:rFonts w:ascii="Lato" w:hAnsi="Lato"/>
                <w:sz w:val="18"/>
              </w:rPr>
              <w:t>Defined evidence satisfied a specific verification test; not universal identity certainty.</w:t>
            </w:r>
          </w:p>
        </w:tc>
      </w:tr>
      <w:tr>
        <w:trPr>
          <w:cantSplit/>
        </w:trPr>
        <w:tc>
          <w:tcPr>
            <w:tcW w:type="dxa" w:w="2952"/>
            <w:shd w:fill="F2F7FA"/>
          </w:tcPr>
          <w:p>
            <w:pPr>
              <w:pStyle w:val="TableText"/>
              <w:keepNext w:val="0"/>
            </w:pPr>
            <w:r>
              <w:rPr>
                <w:rFonts w:ascii="Lato" w:hAnsi="Lato"/>
                <w:b/>
                <w:color w:val="163349"/>
                <w:sz w:val="18"/>
              </w:rPr>
              <w:t>Unknown</w:t>
            </w:r>
          </w:p>
        </w:tc>
        <w:tc>
          <w:tcPr>
            <w:tcW w:type="dxa" w:w="6879"/>
            <w:shd w:fill="F2F7FA"/>
          </w:tcPr>
          <w:p>
            <w:pPr>
              <w:pStyle w:val="TableText"/>
              <w:keepNext w:val="0"/>
            </w:pPr>
            <w:r>
              <w:rPr>
                <w:rFonts w:ascii="Lato" w:hAnsi="Lato"/>
                <w:sz w:val="18"/>
              </w:rPr>
              <w:t>No reliable value is available.</w:t>
            </w:r>
          </w:p>
        </w:tc>
      </w:tr>
      <w:tr>
        <w:trPr>
          <w:cantSplit/>
        </w:trPr>
        <w:tc>
          <w:tcPr>
            <w:tcW w:type="dxa" w:w="2952"/>
            <w:shd w:fill="FFFFFF"/>
          </w:tcPr>
          <w:p>
            <w:pPr>
              <w:pStyle w:val="TableText"/>
              <w:keepNext w:val="0"/>
            </w:pPr>
            <w:r>
              <w:rPr>
                <w:rFonts w:ascii="Lato" w:hAnsi="Lato"/>
                <w:b/>
                <w:color w:val="163349"/>
                <w:sz w:val="18"/>
              </w:rPr>
              <w:t>Not collected</w:t>
            </w:r>
          </w:p>
        </w:tc>
        <w:tc>
          <w:tcPr>
            <w:tcW w:type="dxa" w:w="6879"/>
            <w:shd w:fill="FFFFFF"/>
          </w:tcPr>
          <w:p>
            <w:pPr>
              <w:pStyle w:val="TableText"/>
              <w:keepNext w:val="0"/>
            </w:pPr>
            <w:r>
              <w:rPr>
                <w:rFonts w:ascii="Lato" w:hAnsi="Lato"/>
                <w:sz w:val="18"/>
              </w:rPr>
              <w:t>The system intentionally did not collect it under the policy.</w:t>
            </w:r>
          </w:p>
        </w:tc>
      </w:tr>
      <w:tr>
        <w:trPr>
          <w:cantSplit/>
        </w:trPr>
        <w:tc>
          <w:tcPr>
            <w:tcW w:type="dxa" w:w="2952"/>
            <w:shd w:fill="F2F7FA"/>
          </w:tcPr>
          <w:p>
            <w:pPr>
              <w:pStyle w:val="TableText"/>
              <w:keepNext w:val="0"/>
            </w:pPr>
            <w:r>
              <w:rPr>
                <w:rFonts w:ascii="Lato" w:hAnsi="Lato"/>
                <w:b/>
                <w:color w:val="163349"/>
                <w:sz w:val="18"/>
              </w:rPr>
              <w:t>Expired/revoked</w:t>
            </w:r>
          </w:p>
        </w:tc>
        <w:tc>
          <w:tcPr>
            <w:tcW w:type="dxa" w:w="6879"/>
            <w:shd w:fill="F2F7FA"/>
          </w:tcPr>
          <w:p>
            <w:pPr>
              <w:pStyle w:val="TableText"/>
              <w:keepNext w:val="0"/>
            </w:pPr>
            <w:r>
              <w:rPr>
                <w:rFonts w:ascii="Lato" w:hAnsi="Lato"/>
                <w:sz w:val="18"/>
              </w:rPr>
              <w:t>An earlier reference can no longer authorize current use.</w:t>
            </w:r>
          </w:p>
        </w:tc>
      </w:tr>
      <w:tr>
        <w:trPr>
          <w:cantSplit/>
        </w:trPr>
        <w:tc>
          <w:tcPr>
            <w:tcW w:type="dxa" w:w="2952"/>
            <w:shd w:fill="FFFFFF"/>
          </w:tcPr>
          <w:p>
            <w:pPr>
              <w:pStyle w:val="TableText"/>
              <w:keepNext w:val="0"/>
            </w:pPr>
            <w:r>
              <w:rPr>
                <w:rFonts w:ascii="Lato" w:hAnsi="Lato"/>
                <w:b/>
                <w:color w:val="163349"/>
                <w:sz w:val="18"/>
              </w:rPr>
              <w:t>Provider attributed</w:t>
            </w:r>
          </w:p>
        </w:tc>
        <w:tc>
          <w:tcPr>
            <w:tcW w:type="dxa" w:w="6879"/>
            <w:shd w:fill="FFFFFF"/>
          </w:tcPr>
          <w:p>
            <w:pPr>
              <w:pStyle w:val="TableText"/>
              <w:keepNext w:val="0"/>
            </w:pPr>
            <w:r>
              <w:rPr>
                <w:rFonts w:ascii="Lato" w:hAnsi="Lato"/>
                <w:sz w:val="18"/>
              </w:rPr>
              <w:t>The provider assigned credit under its own model; not an additional business sale.</w:t>
            </w:r>
          </w:p>
        </w:tc>
      </w:tr>
    </w:tbl>
    <w:p>
      <w:pPr>
        <w:spacing w:after="40"/>
      </w:pPr>
      <w:r/>
    </w:p>
    <w:p>
      <w:r>
        <w:t>Do not replace unknown with direct, not collected with zero interest, or approximate location with precise coordinates. A log entry should explain the action and provenance without spreading raw protected details.</w:t>
      </w:r>
    </w:p>
    <w:p>
      <w:pPr>
        <w:pStyle w:val="Heading2"/>
        <w:keepNext/>
      </w:pPr>
      <w:r>
        <w:t>O.6 Example business-outcome scorecard</w:t>
      </w:r>
    </w:p>
    <w:p>
      <w:r>
        <w:t>For each period/cohort, show spend and currency; eligible measured visits; accepted unique enquiries under the declared unit; qualified enquiries; customer outcomes; refunds/cancellations; net realized value; contribution assumptions; acquisition cost; data freshness; source coverage and attribution method. Separate channel-attributed reports from the authoritative business total. Include a visible interpretation note and accountable owner for every metric.</w:t>
      </w:r>
    </w:p>
    <w:p>
      <w:pPr>
        <w:pStyle w:val="Heading1"/>
        <w:keepNext/>
      </w:pPr>
      <w:r>
        <w:t>Appendix P | Final project sign-off and release-evidence ledger</w:t>
      </w:r>
      <w:bookmarkStart w:id="526" w:name="final_Appendix_P___Final_project_sign"/>
      <w:bookmarkEnd w:id="526"/>
      <w:bookmarkStart w:id="644" w:name="tocfinal_app_P"/>
      <w:bookmarkEnd w:id="644"/>
    </w:p>
    <w:p>
      <w:pPr>
        <w:pStyle w:val="Heading2"/>
        <w:keepNext/>
      </w:pPr>
      <w:r>
        <w:t>P.1 Required project decisions</w:t>
      </w:r>
    </w:p>
    <w:tbl>
      <w:tblPr>
        <w:tblW w:type="auto" w:w="0"/>
        <w:tblLayout w:type="fixed"/>
        <w:tblLook w:firstColumn="1" w:firstRow="1" w:lastColumn="0" w:lastRow="0" w:noHBand="0" w:noVBand="1" w:val="04A0"/>
        <w:tblBorders>
          <w:top w:val="single" w:sz="4" w:color="D7E0E5"/>
          <w:left w:val="single" w:sz="4" w:color="D7E0E5"/>
          <w:bottom w:val="single" w:sz="4" w:color="D7E0E5"/>
          <w:right w:val="single" w:sz="4" w:color="D7E0E5"/>
          <w:insideH w:val="single" w:sz="4" w:color="D7E0E5"/>
          <w:insideV w:val="single" w:sz="4" w:color="D7E0E5"/>
        </w:tblBorders>
        <w:tblCellMar>
          <w:top w:w="75" w:type="dxa"/>
          <w:bottom w:w="75" w:type="dxa"/>
          <w:left w:w="90" w:type="dxa"/>
          <w:right w:w="90" w:type="dxa"/>
        </w:tblCellMar>
      </w:tblPr>
      <w:tblGrid>
        <w:gridCol w:w="2304"/>
        <w:gridCol w:w="3528"/>
        <w:gridCol w:w="3999"/>
      </w:tblGrid>
      <w:tr>
        <w:trPr>
          <w:cantSplit/>
          <w:tblHeader/>
        </w:trPr>
        <w:tc>
          <w:tcPr>
            <w:tcW w:type="dxa" w:w="2304"/>
            <w:shd w:fill="163349"/>
          </w:tcPr>
          <w:p>
            <w:pPr>
              <w:pStyle w:val="TableText"/>
              <w:keepNext/>
            </w:pPr>
            <w:r>
              <w:rPr>
                <w:rFonts w:ascii="Lato" w:hAnsi="Lato"/>
                <w:b/>
                <w:color w:val="FFFFFF"/>
                <w:sz w:val="18"/>
              </w:rPr>
              <w:t>Decision</w:t>
            </w:r>
          </w:p>
        </w:tc>
        <w:tc>
          <w:tcPr>
            <w:tcW w:type="dxa" w:w="3528"/>
            <w:shd w:fill="163349"/>
          </w:tcPr>
          <w:p>
            <w:pPr>
              <w:pStyle w:val="TableText"/>
              <w:keepNext/>
            </w:pPr>
            <w:r>
              <w:rPr>
                <w:rFonts w:ascii="Lato" w:hAnsi="Lato"/>
                <w:b/>
                <w:color w:val="FFFFFF"/>
                <w:sz w:val="18"/>
              </w:rPr>
              <w:t>Required evidence/owner</w:t>
            </w:r>
          </w:p>
        </w:tc>
        <w:tc>
          <w:tcPr>
            <w:tcW w:type="dxa" w:w="3999"/>
            <w:shd w:fill="163349"/>
          </w:tcPr>
          <w:p>
            <w:pPr>
              <w:pStyle w:val="TableText"/>
              <w:keepNext/>
            </w:pPr>
            <w:r>
              <w:rPr>
                <w:rFonts w:ascii="Lato" w:hAnsi="Lato"/>
                <w:b/>
                <w:color w:val="FFFFFF"/>
                <w:sz w:val="18"/>
              </w:rPr>
              <w:t>Initial status</w:t>
            </w:r>
          </w:p>
        </w:tc>
      </w:tr>
      <w:tr>
        <w:trPr>
          <w:cantSplit/>
        </w:trPr>
        <w:tc>
          <w:tcPr>
            <w:tcW w:type="dxa" w:w="2304"/>
            <w:shd w:fill="F2F7FA"/>
          </w:tcPr>
          <w:p>
            <w:pPr>
              <w:pStyle w:val="TableText"/>
              <w:keepNext w:val="0"/>
            </w:pPr>
            <w:r>
              <w:rPr>
                <w:rFonts w:ascii="Lato" w:hAnsi="Lato"/>
                <w:b/>
                <w:color w:val="163349"/>
                <w:sz w:val="18"/>
              </w:rPr>
              <w:t>Business and audience</w:t>
            </w:r>
          </w:p>
        </w:tc>
        <w:tc>
          <w:tcPr>
            <w:tcW w:type="dxa" w:w="3528"/>
            <w:shd w:fill="F2F7FA"/>
          </w:tcPr>
          <w:p>
            <w:pPr>
              <w:pStyle w:val="TableText"/>
              <w:keepNext w:val="0"/>
            </w:pPr>
            <w:r>
              <w:rPr>
                <w:rFonts w:ascii="Lato" w:hAnsi="Lato"/>
                <w:sz w:val="18"/>
              </w:rPr>
              <w:t>Legal entity, offers, markets, age considerations and accountable owner</w:t>
            </w:r>
          </w:p>
        </w:tc>
        <w:tc>
          <w:tcPr>
            <w:tcW w:type="dxa" w:w="3999"/>
            <w:shd w:fill="F2F7FA"/>
          </w:tcPr>
          <w:p>
            <w:pPr>
              <w:pStyle w:val="TableText"/>
              <w:keepNext w:val="0"/>
            </w:pPr>
            <w:r>
              <w:rPr>
                <w:rFonts w:ascii="Lato" w:hAnsi="Lato"/>
                <w:sz w:val="18"/>
              </w:rPr>
              <w:t>To be completed for the site.</w:t>
            </w:r>
          </w:p>
        </w:tc>
      </w:tr>
      <w:tr>
        <w:trPr>
          <w:cantSplit/>
        </w:trPr>
        <w:tc>
          <w:tcPr>
            <w:tcW w:type="dxa" w:w="2304"/>
            <w:shd w:fill="FFFFFF"/>
          </w:tcPr>
          <w:p>
            <w:pPr>
              <w:pStyle w:val="TableText"/>
              <w:keepNext w:val="0"/>
            </w:pPr>
            <w:r>
              <w:rPr>
                <w:rFonts w:ascii="Lato" w:hAnsi="Lato"/>
                <w:b/>
                <w:color w:val="163349"/>
                <w:sz w:val="18"/>
              </w:rPr>
              <w:t>Scope</w:t>
            </w:r>
          </w:p>
        </w:tc>
        <w:tc>
          <w:tcPr>
            <w:tcW w:type="dxa" w:w="3528"/>
            <w:shd w:fill="FFFFFF"/>
          </w:tcPr>
          <w:p>
            <w:pPr>
              <w:pStyle w:val="TableText"/>
              <w:keepNext w:val="0"/>
            </w:pPr>
            <w:r>
              <w:rPr>
                <w:rFonts w:ascii="Lato" w:hAnsi="Lato"/>
                <w:sz w:val="18"/>
              </w:rPr>
              <w:t>All 120 capability entries reviewed; industry modules and exclusions explained</w:t>
            </w:r>
          </w:p>
        </w:tc>
        <w:tc>
          <w:tcPr>
            <w:tcW w:type="dxa" w:w="3999"/>
            <w:shd w:fill="FFFFFF"/>
          </w:tcPr>
          <w:p>
            <w:pPr>
              <w:pStyle w:val="TableText"/>
              <w:keepNext w:val="0"/>
            </w:pPr>
            <w:r>
              <w:rPr>
                <w:rFonts w:ascii="Lato" w:hAnsi="Lato"/>
                <w:sz w:val="18"/>
              </w:rPr>
              <w:t>To be completed for the site.</w:t>
            </w:r>
          </w:p>
        </w:tc>
      </w:tr>
      <w:tr>
        <w:trPr>
          <w:cantSplit/>
        </w:trPr>
        <w:tc>
          <w:tcPr>
            <w:tcW w:type="dxa" w:w="2304"/>
            <w:shd w:fill="F2F7FA"/>
          </w:tcPr>
          <w:p>
            <w:pPr>
              <w:pStyle w:val="TableText"/>
              <w:keepNext w:val="0"/>
            </w:pPr>
            <w:r>
              <w:rPr>
                <w:rFonts w:ascii="Lato" w:hAnsi="Lato"/>
                <w:b/>
                <w:color w:val="163349"/>
                <w:sz w:val="18"/>
              </w:rPr>
              <w:t>Content and claims</w:t>
            </w:r>
          </w:p>
        </w:tc>
        <w:tc>
          <w:tcPr>
            <w:tcW w:type="dxa" w:w="3528"/>
            <w:shd w:fill="F2F7FA"/>
          </w:tcPr>
          <w:p>
            <w:pPr>
              <w:pStyle w:val="TableText"/>
              <w:keepNext w:val="0"/>
            </w:pPr>
            <w:r>
              <w:rPr>
                <w:rFonts w:ascii="Lato" w:hAnsi="Lato"/>
                <w:sz w:val="18"/>
              </w:rPr>
              <w:t>Real assets, rights, pricing, proof, reviewers and publication policy</w:t>
            </w:r>
          </w:p>
        </w:tc>
        <w:tc>
          <w:tcPr>
            <w:tcW w:type="dxa" w:w="3999"/>
            <w:shd w:fill="F2F7FA"/>
          </w:tcPr>
          <w:p>
            <w:pPr>
              <w:pStyle w:val="TableText"/>
              <w:keepNext w:val="0"/>
            </w:pPr>
            <w:r>
              <w:rPr>
                <w:rFonts w:ascii="Lato" w:hAnsi="Lato"/>
                <w:sz w:val="18"/>
              </w:rPr>
              <w:t>To be completed for the site.</w:t>
            </w:r>
          </w:p>
        </w:tc>
      </w:tr>
      <w:tr>
        <w:trPr>
          <w:cantSplit/>
        </w:trPr>
        <w:tc>
          <w:tcPr>
            <w:tcW w:type="dxa" w:w="2304"/>
            <w:shd w:fill="FFFFFF"/>
          </w:tcPr>
          <w:p>
            <w:pPr>
              <w:pStyle w:val="TableText"/>
              <w:keepNext w:val="0"/>
            </w:pPr>
            <w:r>
              <w:rPr>
                <w:rFonts w:ascii="Lato" w:hAnsi="Lato"/>
                <w:b/>
                <w:color w:val="163349"/>
                <w:sz w:val="18"/>
              </w:rPr>
              <w:t>Manual deletion</w:t>
            </w:r>
          </w:p>
        </w:tc>
        <w:tc>
          <w:tcPr>
            <w:tcW w:type="dxa" w:w="3528"/>
            <w:shd w:fill="FFFFFF"/>
          </w:tcPr>
          <w:p>
            <w:pPr>
              <w:pStyle w:val="TableText"/>
              <w:keepNext w:val="0"/>
            </w:pPr>
            <w:r>
              <w:rPr>
                <w:rFonts w:ascii="Lato" w:hAnsi="Lato"/>
                <w:sz w:val="18"/>
              </w:rPr>
              <w:t>Manual-only default; independent purge approval and any single-owner exception</w:t>
            </w:r>
          </w:p>
        </w:tc>
        <w:tc>
          <w:tcPr>
            <w:tcW w:type="dxa" w:w="3999"/>
            <w:shd w:fill="FFFFFF"/>
          </w:tcPr>
          <w:p>
            <w:pPr>
              <w:pStyle w:val="TableText"/>
              <w:keepNext w:val="0"/>
            </w:pPr>
            <w:r>
              <w:rPr>
                <w:rFonts w:ascii="Lato" w:hAnsi="Lato"/>
                <w:sz w:val="18"/>
              </w:rPr>
              <w:t>To be confirmed; no automatic purge.</w:t>
            </w:r>
          </w:p>
        </w:tc>
      </w:tr>
      <w:tr>
        <w:trPr>
          <w:cantSplit/>
        </w:trPr>
        <w:tc>
          <w:tcPr>
            <w:tcW w:type="dxa" w:w="2304"/>
            <w:shd w:fill="F2F7FA"/>
          </w:tcPr>
          <w:p>
            <w:pPr>
              <w:pStyle w:val="TableText"/>
              <w:keepNext w:val="0"/>
            </w:pPr>
            <w:r>
              <w:rPr>
                <w:rFonts w:ascii="Lato" w:hAnsi="Lato"/>
                <w:b/>
                <w:color w:val="163349"/>
                <w:sz w:val="18"/>
              </w:rPr>
              <w:t>Data and privacy</w:t>
            </w:r>
          </w:p>
        </w:tc>
        <w:tc>
          <w:tcPr>
            <w:tcW w:type="dxa" w:w="3528"/>
            <w:shd w:fill="F2F7FA"/>
          </w:tcPr>
          <w:p>
            <w:pPr>
              <w:pStyle w:val="TableText"/>
              <w:keepNext w:val="0"/>
            </w:pPr>
            <w:r>
              <w:rPr>
                <w:rFonts w:ascii="Lato" w:hAnsi="Lato"/>
                <w:sz w:val="18"/>
              </w:rPr>
              <w:t>Field purposes, legal/provider review, access, retention and rights workflow</w:t>
            </w:r>
          </w:p>
        </w:tc>
        <w:tc>
          <w:tcPr>
            <w:tcW w:type="dxa" w:w="3999"/>
            <w:shd w:fill="F2F7FA"/>
          </w:tcPr>
          <w:p>
            <w:pPr>
              <w:pStyle w:val="TableText"/>
              <w:keepNext w:val="0"/>
            </w:pPr>
            <w:r>
              <w:rPr>
                <w:rFonts w:ascii="Lato" w:hAnsi="Lato"/>
                <w:sz w:val="18"/>
              </w:rPr>
              <w:t>To be completed for the site.</w:t>
            </w:r>
          </w:p>
        </w:tc>
      </w:tr>
      <w:tr>
        <w:trPr>
          <w:cantSplit/>
        </w:trPr>
        <w:tc>
          <w:tcPr>
            <w:tcW w:type="dxa" w:w="2304"/>
            <w:shd w:fill="FFFFFF"/>
          </w:tcPr>
          <w:p>
            <w:pPr>
              <w:pStyle w:val="TableText"/>
              <w:keepNext w:val="0"/>
            </w:pPr>
            <w:r>
              <w:rPr>
                <w:rFonts w:ascii="Lato" w:hAnsi="Lato"/>
                <w:b/>
                <w:color w:val="163349"/>
                <w:sz w:val="18"/>
              </w:rPr>
              <w:t>Architecture</w:t>
            </w:r>
          </w:p>
        </w:tc>
        <w:tc>
          <w:tcPr>
            <w:tcW w:type="dxa" w:w="3528"/>
            <w:shd w:fill="FFFFFF"/>
          </w:tcPr>
          <w:p>
            <w:pPr>
              <w:pStyle w:val="TableText"/>
              <w:keepNext w:val="0"/>
            </w:pPr>
            <w:r>
              <w:rPr>
                <w:rFonts w:ascii="Lato" w:hAnsi="Lato"/>
                <w:sz w:val="18"/>
              </w:rPr>
              <w:t>Supported versions, deployment profile, integrations, capacity and exit plan</w:t>
            </w:r>
          </w:p>
        </w:tc>
        <w:tc>
          <w:tcPr>
            <w:tcW w:type="dxa" w:w="3999"/>
            <w:shd w:fill="FFFFFF"/>
          </w:tcPr>
          <w:p>
            <w:pPr>
              <w:pStyle w:val="TableText"/>
              <w:keepNext w:val="0"/>
            </w:pPr>
            <w:r>
              <w:rPr>
                <w:rFonts w:ascii="Lato" w:hAnsi="Lato"/>
                <w:sz w:val="18"/>
              </w:rPr>
              <w:t>To be completed for the site.</w:t>
            </w:r>
          </w:p>
        </w:tc>
      </w:tr>
      <w:tr>
        <w:trPr>
          <w:cantSplit/>
        </w:trPr>
        <w:tc>
          <w:tcPr>
            <w:tcW w:type="dxa" w:w="2304"/>
            <w:shd w:fill="F2F7FA"/>
          </w:tcPr>
          <w:p>
            <w:pPr>
              <w:pStyle w:val="TableText"/>
              <w:keepNext w:val="0"/>
            </w:pPr>
            <w:r>
              <w:rPr>
                <w:rFonts w:ascii="Lato" w:hAnsi="Lato"/>
                <w:b/>
                <w:color w:val="163349"/>
                <w:sz w:val="18"/>
              </w:rPr>
              <w:t>Marketing and ads</w:t>
            </w:r>
          </w:p>
        </w:tc>
        <w:tc>
          <w:tcPr>
            <w:tcW w:type="dxa" w:w="3528"/>
            <w:shd w:fill="F2F7FA"/>
          </w:tcPr>
          <w:p>
            <w:pPr>
              <w:pStyle w:val="TableText"/>
              <w:keepNext w:val="0"/>
            </w:pPr>
            <w:r>
              <w:rPr>
                <w:rFonts w:ascii="Lato" w:hAnsi="Lato"/>
                <w:sz w:val="18"/>
              </w:rPr>
              <w:t>Goals, campaign/creative/offer map, accounts, spend authority and effective settings</w:t>
            </w:r>
          </w:p>
        </w:tc>
        <w:tc>
          <w:tcPr>
            <w:tcW w:type="dxa" w:w="3999"/>
            <w:shd w:fill="F2F7FA"/>
          </w:tcPr>
          <w:p>
            <w:pPr>
              <w:pStyle w:val="TableText"/>
              <w:keepNext w:val="0"/>
            </w:pPr>
            <w:r>
              <w:rPr>
                <w:rFonts w:ascii="Lato" w:hAnsi="Lato"/>
                <w:sz w:val="18"/>
              </w:rPr>
              <w:t>To be completed before live activation.</w:t>
            </w:r>
          </w:p>
        </w:tc>
      </w:tr>
      <w:tr>
        <w:trPr>
          <w:cantSplit/>
        </w:trPr>
        <w:tc>
          <w:tcPr>
            <w:tcW w:type="dxa" w:w="2304"/>
            <w:shd w:fill="FFFFFF"/>
          </w:tcPr>
          <w:p>
            <w:pPr>
              <w:pStyle w:val="TableText"/>
              <w:keepNext w:val="0"/>
            </w:pPr>
            <w:r>
              <w:rPr>
                <w:rFonts w:ascii="Lato" w:hAnsi="Lato"/>
                <w:b/>
                <w:color w:val="163349"/>
                <w:sz w:val="18"/>
              </w:rPr>
              <w:t>Operations</w:t>
            </w:r>
          </w:p>
        </w:tc>
        <w:tc>
          <w:tcPr>
            <w:tcW w:type="dxa" w:w="3528"/>
            <w:shd w:fill="FFFFFF"/>
          </w:tcPr>
          <w:p>
            <w:pPr>
              <w:pStyle w:val="TableText"/>
              <w:keepNext w:val="0"/>
            </w:pPr>
            <w:r>
              <w:rPr>
                <w:rFonts w:ascii="Lato" w:hAnsi="Lato"/>
                <w:sz w:val="18"/>
              </w:rPr>
              <w:t>Support staffing, alerts, recovery objectives, costs and maintenance ownership</w:t>
            </w:r>
          </w:p>
        </w:tc>
        <w:tc>
          <w:tcPr>
            <w:tcW w:type="dxa" w:w="3999"/>
            <w:shd w:fill="FFFFFF"/>
          </w:tcPr>
          <w:p>
            <w:pPr>
              <w:pStyle w:val="TableText"/>
              <w:keepNext w:val="0"/>
            </w:pPr>
            <w:r>
              <w:rPr>
                <w:rFonts w:ascii="Lato" w:hAnsi="Lato"/>
                <w:sz w:val="18"/>
              </w:rPr>
              <w:t>To be completed before launch.</w:t>
            </w:r>
          </w:p>
        </w:tc>
      </w:tr>
    </w:tbl>
    <w:p>
      <w:pPr>
        <w:spacing w:after="40"/>
      </w:pPr>
      <w:r/>
    </w:p>
    <w:p>
      <w:pPr>
        <w:pStyle w:val="Heading2"/>
        <w:keepNext/>
      </w:pPr>
      <w:r>
        <w:t>P.2 Requirement evidence schema</w:t>
      </w:r>
    </w:p>
    <w:p>
      <w:pPr>
        <w:pStyle w:val="CodeBlock"/>
        <w:keepNext/>
        <w:spacing w:after="0"/>
      </w:pPr>
      <w:r>
        <w:t>requirement_id; controlling_section; capability_id; source_version;</w:t>
      </w:r>
    </w:p>
    <w:p>
      <w:pPr>
        <w:pStyle w:val="CodeBlock"/>
        <w:keepNext/>
        <w:spacing w:after="0"/>
      </w:pPr>
      <w:r>
        <w:t>applicability; rationale; specification_status; implementation_status;</w:t>
      </w:r>
    </w:p>
    <w:p>
      <w:pPr>
        <w:pStyle w:val="CodeBlock"/>
        <w:keepNext/>
        <w:spacing w:after="0"/>
      </w:pPr>
      <w:r>
        <w:t>activation_status; verification_status; accountable_owner;</w:t>
      </w:r>
    </w:p>
    <w:p>
      <w:pPr>
        <w:pStyle w:val="CodeBlock"/>
        <w:keepNext/>
        <w:spacing w:after="0"/>
      </w:pPr>
      <w:r>
        <w:t>public_workflow; owner_workflow; api_or_service; tables_and_constraints;</w:t>
      </w:r>
    </w:p>
    <w:p>
      <w:pPr>
        <w:pStyle w:val="CodeBlock"/>
        <w:keepNext/>
        <w:spacing w:after="0"/>
      </w:pPr>
      <w:r>
        <w:t>permission_and_data_policy; failure_behavior; automated_test_reference;</w:t>
      </w:r>
    </w:p>
    <w:p>
      <w:pPr>
        <w:pStyle w:val="CodeBlock"/>
        <w:keepNext/>
        <w:spacing w:after="0"/>
      </w:pPr>
      <w:r>
        <w:t>manual_provider_evidence; build_config_versions; residual_risk;</w:t>
      </w:r>
    </w:p>
    <w:p>
      <w:pPr>
        <w:pStyle w:val="CodeBlock"/>
        <w:keepNext w:val="0"/>
        <w:spacing w:after="0"/>
      </w:pPr>
      <w:r>
        <w:t>approver; decision_date; next_review_trigger</w:t>
      </w:r>
    </w:p>
    <w:p>
      <w:r/>
    </w:p>
    <w:p>
      <w:r>
        <w:t>Allowed verification outcomes are Passed, Failed, Blocked, Not executed and Not Applicable with rationale. Implementation status separately records Not implemented, In progress and Implemented. Do not mark a critical requirement passed because it is merely described in this document.</w:t>
      </w:r>
    </w:p>
    <w:p>
      <w:pPr>
        <w:pStyle w:val="Heading2"/>
        <w:keepNext/>
      </w:pPr>
      <w:r>
        <w:t>P.3 Evidence packet contents</w:t>
      </w:r>
    </w:p>
    <w:p>
      <w:r>
        <w:t>Include source/build identifiers; installed runtime/SDK versions; migrations; content and offer manifest; sitemap/route crawl; privacy/consent map; effective campaign goals; final serialized event fixtures; real integration diagnostics; deduplication/correction evidence; owner task results; accessibility/performance/load/security results; backup/restore and deletion-ledger reconciliation; domain/account recovery; cost controls; known issues; approvals and support contacts.</w:t>
      </w:r>
    </w:p>
    <w:p>
      <w:r>
        <w:t>Store sensitive evidence in a restricted repository or document store. An evidence link must be readable by the authorized reviewer, not publicly accessible by accident. Screenshots should mask personal data and secrets. Ensure the actual test date, environment and configuration are visible so a stale staging pass cannot stand in for current production proof.</w:t>
      </w:r>
    </w:p>
    <w:p>
      <w:pPr>
        <w:pStyle w:val="Heading2"/>
        <w:keepNext/>
      </w:pPr>
      <w:r>
        <w:t>P.4 Final release decision</w:t>
      </w:r>
    </w:p>
    <w:p>
      <w:r>
        <w:t>The accountable business owner, technical lead, marketing lead and privacy/security reviewer approve their respective areas. Record the exact edition and project scope, release version, critical gate results, accepted noncritical exceptions, expiry/review dates and production activation plan. A refusal or legal restriction on optional tracking may be a correct operating state; an unresolved mandatory privacy, security, lead-integrity or recovery failure is not.</w:t>
      </w:r>
    </w:p>
    <w:p>
      <w:r>
        <w:t>Final baseline edition: 1.3. Project/site: __________. Build/configuration: __________. Scope manifest: __________. Evidence location: __________. Business approval: __________. Technical approval: __________. Marketing approval: __________. Privacy/security review: __________. Date: __________. Activation decision: __________.</w:t>
      </w:r>
    </w:p>
    <w:p>
      <w:pPr>
        <w:pStyle w:val="Heading2"/>
        <w:keepNext/>
      </w:pPr>
      <w:r>
        <w:t>P.5 What has and has not been verified by this deliverable</w:t>
      </w:r>
    </w:p>
    <w:p>
      <w:r>
        <w:t>The deliverable consolidates the supplied documents, compares source text, records deliberate clarifications and supplies expanded implementation/testing requirements. The file's structure, reference navigation and rendered layout are checked during preparation. No live website, ad account, CRM, legal position, payment integration or marketing campaign is certified by preparing this document. Their verification is the explicit project release work above.</w:t>
      </w:r>
    </w:p>
    <w:p>
      <w:r>
        <w:t>Use this single merged edition as the reference. Preserve the approved project snapshot and append dated decisions when the business or an external platform changes. This is how the website remains complete against its actual obligations without pretending that a static file can guarantee every future requirement or auction result.</w:t>
      </w:r>
    </w:p>
    <w:p>
      <w:pPr>
        <w:pStyle w:val="Heading1"/>
        <w:pageBreakBefore/>
        <w:spacing w:before="400"/>
        <w:pBdr>
          <w:bottom w:val="single" w:sz="8" w:color="087F83" w:space="8"/>
        </w:pBdr>
      </w:pPr>
      <w:bookmarkStart w:id="41" w:name="chapter_39"/>
      <w:bookmarkStart w:id="337" w:name="v12_sources"/>
      <w:r>
        <w:t>Sources | Primary guidance and verification notes</w:t>
      </w:r>
      <w:bookmarkEnd w:id="41"/>
      <w:bookmarkEnd w:id="337"/>
      <w:bookmarkStart w:id="645" w:name="tocfinal_sources"/>
      <w:bookmarkEnd w:id="645"/>
    </w:p>
    <w:p>
      <w:pPr>
        <w:pStyle w:val="SmallNote"/>
        <w:spacing w:after="80"/>
      </w:pPr>
      <w:r>
        <w:t>Final edition research note: R01–R106 are inherited source references. R107–R128 are the final expansion references, reviewed on 7 October 2026 unless explicitly labeled limited retrieval. Appendix M distinguishes document comparison, newly consulted official guidance, proposed engineering requirements and account-level evidence still to be obtained. A link or SDK symbol is not proof of live account eligibility.</w:t>
      </w:r>
    </w:p>
    <w:p>
      <w:pPr>
        <w:pStyle w:val="Heading2"/>
      </w:pPr>
      <w:r>
        <w:t>How to use the references</w:t>
      </w:r>
    </w:p>
    <w:p>
      <w:pPr>
        <w:pStyle w:val="SmallNote"/>
        <w:spacing w:after="80"/>
      </w:pPr>
      <w:r>
        <w:t>Version 1.2 research note: the supplied v1.1 Chapters 01–41, Appendices A–G and references R01–R61 are retained with targeted integration notes. R62–R106 document the new primary research and explicit verification links for preparation dated 7 October 2026. Selected high-impact inherited topics were rechecked. This is not a claim that every historical statement, legal jurisdiction or private account was fully revalidated. Appendix L records the boundaries.</w:t>
      </w:r>
    </w:p>
    <w:p>
      <w:r>
        <w:t>References support provider facts and external standards. Lifecycle designs, permission defaults, proposed targets, schema examples and acceptance tests are engineering specifications, not quotations or executed results. Baseline preparation was dated 6 October 2026; the v1.2 expansion is dated 7 October 2026. URLs and API support may change; validate the actual account before activation.</w:t>
      </w:r>
    </w:p>
    <w:p>
      <w:r>
        <w:t>Google and other publicly accessible primary documentation were consulted for the cited topics. Meta overview material was available, but several detailed developer/API pages returned rate-limit errors. References R19 and R46 are implementation verification links, not claims that their full current specifications were successfully retrieved. Confirm them through authenticated official access and record the API versions and tests used.</w:t>
      </w:r>
    </w:p>
    <w:p>
      <w:r>
        <w:t>The India Gazette reference supports the existence and phased commencement of the 2025 rules; it is not a complete legal compliance assessment. Current notifications, amendments, sector requirements, and the project's applicability still need qualified review. Retention examples, budgets, schedules, and recovery targets in this document are explicitly proposed project decisions.</w:t>
      </w:r>
    </w:p>
    <w:p>
      <w:pPr>
        <w:keepNext/>
        <w:spacing w:before="80" w:after="60"/>
      </w:pPr>
      <w:bookmarkStart w:id="42" w:name="ref_R01"/>
      <w:bookmarkEnd w:id="42"/>
      <w:r>
        <w:rPr>
          <w:b/>
          <w:color w:val="087F83"/>
          <w:sz w:val="20"/>
        </w:rPr>
        <w:t xml:space="preserve">[R01] </w:t>
      </w:r>
      <w:hyperlink r:id="rId11">
        <w:r>
          <w:rPr>
            <w:color w:val="163349"/>
            <w:rFonts w:ascii="Lato" w:hAnsi="Lato"/>
            <w:b/>
            <w:sz w:val="20"/>
          </w:rPr>
          <w:t>Google Ads Help — About Quality Score</w:t>
        </w:r>
      </w:hyperlink>
    </w:p>
    <w:p>
      <w:pPr>
        <w:pStyle w:val="ReferenceNote"/>
      </w:pPr>
      <w:r>
        <w:t>Quality Score is diagnostic and is not an auction input.</w:t>
      </w:r>
    </w:p>
    <w:p>
      <w:pPr>
        <w:keepNext/>
        <w:spacing w:before="80" w:after="60"/>
      </w:pPr>
      <w:bookmarkStart w:id="43" w:name="ref_R02"/>
      <w:bookmarkEnd w:id="43"/>
      <w:r>
        <w:rPr>
          <w:b/>
          <w:color w:val="087F83"/>
          <w:sz w:val="20"/>
        </w:rPr>
        <w:t xml:space="preserve">[R02] </w:t>
      </w:r>
      <w:hyperlink r:id="rId12">
        <w:r>
          <w:rPr>
            <w:color w:val="163349"/>
            <w:rFonts w:ascii="Lato" w:hAnsi="Lato"/>
            <w:b/>
            <w:sz w:val="20"/>
          </w:rPr>
          <w:t>Google Ads Help — About the ad auction</w:t>
        </w:r>
      </w:hyperlink>
    </w:p>
    <w:p>
      <w:pPr>
        <w:pStyle w:val="ReferenceNote"/>
      </w:pPr>
      <w:r>
        <w:t>Auction factors and limits of website-only optimization.</w:t>
      </w:r>
    </w:p>
    <w:p>
      <w:pPr>
        <w:keepNext/>
        <w:spacing w:before="80" w:after="60"/>
      </w:pPr>
      <w:bookmarkStart w:id="44" w:name="ref_R03"/>
      <w:bookmarkEnd w:id="44"/>
      <w:r>
        <w:rPr>
          <w:b/>
          <w:color w:val="087F83"/>
          <w:sz w:val="20"/>
        </w:rPr>
        <w:t xml:space="preserve">[R03] </w:t>
      </w:r>
      <w:hyperlink r:id="rId13">
        <w:r>
          <w:rPr>
            <w:color w:val="163349"/>
            <w:rFonts w:ascii="Lato" w:hAnsi="Lato"/>
            <w:b/>
            <w:sz w:val="20"/>
          </w:rPr>
          <w:t>Google Search Central — Page experience</w:t>
        </w:r>
      </w:hyperlink>
    </w:p>
    <w:p>
      <w:pPr>
        <w:pStyle w:val="ReferenceNote"/>
      </w:pPr>
      <w:r>
        <w:t>Page experience, Core Web Vitals, and no top-ranking guarantee.</w:t>
      </w:r>
    </w:p>
    <w:p>
      <w:pPr>
        <w:keepNext/>
        <w:spacing w:before="80" w:after="60"/>
      </w:pPr>
      <w:bookmarkStart w:id="45" w:name="ref_R04"/>
      <w:bookmarkEnd w:id="45"/>
      <w:r>
        <w:rPr>
          <w:b/>
          <w:color w:val="087F83"/>
          <w:sz w:val="20"/>
        </w:rPr>
        <w:t xml:space="preserve">[R04] </w:t>
      </w:r>
      <w:hyperlink r:id="rId14">
        <w:r>
          <w:rPr>
            <w:color w:val="163349"/>
            <w:rFonts w:ascii="Lato" w:hAnsi="Lato"/>
            <w:b/>
            <w:sz w:val="20"/>
          </w:rPr>
          <w:t>web.dev — Web Vitals</w:t>
        </w:r>
      </w:hyperlink>
    </w:p>
    <w:p>
      <w:pPr>
        <w:pStyle w:val="ReferenceNote"/>
      </w:pPr>
      <w:r>
        <w:t>Core Web Vitals thresholds and field measurement.</w:t>
      </w:r>
    </w:p>
    <w:p>
      <w:pPr>
        <w:keepNext/>
        <w:spacing w:before="80" w:after="60"/>
      </w:pPr>
      <w:bookmarkStart w:id="46" w:name="ref_R05"/>
      <w:bookmarkEnd w:id="46"/>
      <w:r>
        <w:rPr>
          <w:b/>
          <w:color w:val="087F83"/>
          <w:sz w:val="20"/>
        </w:rPr>
        <w:t xml:space="preserve">[R05] </w:t>
      </w:r>
      <w:hyperlink r:id="rId15">
        <w:r>
          <w:rPr>
            <w:color w:val="163349"/>
            <w:rFonts w:ascii="Lato" w:hAnsi="Lato"/>
            <w:b/>
            <w:sz w:val="20"/>
          </w:rPr>
          <w:t>Google Advertising Policies — Destination requirements</w:t>
        </w:r>
      </w:hyperlink>
    </w:p>
    <w:p>
      <w:pPr>
        <w:pStyle w:val="ReferenceNote"/>
      </w:pPr>
      <w:r>
        <w:t>Destination functionality and usability; confirm account-specific policy requirements.</w:t>
      </w:r>
    </w:p>
    <w:p>
      <w:pPr>
        <w:keepNext/>
        <w:spacing w:before="80" w:after="60"/>
      </w:pPr>
      <w:bookmarkStart w:id="47" w:name="ref_R06"/>
      <w:bookmarkEnd w:id="47"/>
      <w:r>
        <w:rPr>
          <w:b/>
          <w:color w:val="087F83"/>
          <w:sz w:val="20"/>
        </w:rPr>
        <w:t xml:space="preserve">[R06] </w:t>
      </w:r>
      <w:hyperlink r:id="rId16">
        <w:r>
          <w:rPr>
            <w:color w:val="163349"/>
            <w:rFonts w:ascii="Lato" w:hAnsi="Lato"/>
            <w:b/>
            <w:sz w:val="20"/>
          </w:rPr>
          <w:t>Google Search Central — Helpful, reliable, people-first content</w:t>
        </w:r>
      </w:hyperlink>
    </w:p>
    <w:p>
      <w:pPr>
        <w:pStyle w:val="ReferenceNote"/>
      </w:pPr>
      <w:r>
        <w:t>Editorial quality and customer-centered content.</w:t>
      </w:r>
    </w:p>
    <w:p>
      <w:pPr>
        <w:keepNext/>
        <w:spacing w:before="80" w:after="60"/>
      </w:pPr>
      <w:bookmarkStart w:id="48" w:name="ref_R07"/>
      <w:bookmarkEnd w:id="48"/>
      <w:r>
        <w:rPr>
          <w:b/>
          <w:color w:val="087F83"/>
          <w:sz w:val="20"/>
        </w:rPr>
        <w:t xml:space="preserve">[R07] </w:t>
      </w:r>
      <w:hyperlink r:id="rId17">
        <w:r>
          <w:rPr>
            <w:color w:val="163349"/>
            <w:rFonts w:ascii="Lato" w:hAnsi="Lato"/>
            <w:b/>
            <w:sz w:val="20"/>
          </w:rPr>
          <w:t>Google Search Central — Spam policies</w:t>
        </w:r>
      </w:hyperlink>
    </w:p>
    <w:p>
      <w:pPr>
        <w:pStyle w:val="ReferenceNote"/>
      </w:pPr>
      <w:r>
        <w:t>Manipulative practices, doorway pages, and scaled content abuse.</w:t>
      </w:r>
    </w:p>
    <w:p>
      <w:pPr>
        <w:keepNext/>
        <w:spacing w:before="80" w:after="60"/>
      </w:pPr>
      <w:bookmarkStart w:id="49" w:name="ref_R08"/>
      <w:bookmarkEnd w:id="49"/>
      <w:r>
        <w:rPr>
          <w:b/>
          <w:color w:val="087F83"/>
          <w:sz w:val="20"/>
        </w:rPr>
        <w:t xml:space="preserve">[R08] </w:t>
      </w:r>
      <w:hyperlink r:id="rId18">
        <w:r>
          <w:rPr>
            <w:color w:val="163349"/>
            <w:rFonts w:ascii="Lato" w:hAnsi="Lato"/>
            <w:b/>
            <w:sz w:val="20"/>
          </w:rPr>
          <w:t>Google Search Central — Structured data policies</w:t>
        </w:r>
      </w:hyperlink>
    </w:p>
    <w:p>
      <w:pPr>
        <w:pStyle w:val="ReferenceNote"/>
      </w:pPr>
      <w:r>
        <w:t>Markup relevance and rich-result eligibility limits.</w:t>
      </w:r>
    </w:p>
    <w:p>
      <w:pPr>
        <w:keepNext/>
        <w:spacing w:before="80" w:after="60"/>
      </w:pPr>
      <w:bookmarkStart w:id="50" w:name="ref_R09"/>
      <w:bookmarkEnd w:id="50"/>
      <w:r>
        <w:rPr>
          <w:b/>
          <w:color w:val="087F83"/>
          <w:sz w:val="20"/>
        </w:rPr>
        <w:t xml:space="preserve">[R09] </w:t>
      </w:r>
      <w:hyperlink r:id="rId19">
        <w:r>
          <w:rPr>
            <w:color w:val="163349"/>
            <w:rFonts w:ascii="Lato" w:hAnsi="Lato"/>
            <w:b/>
            <w:sz w:val="20"/>
          </w:rPr>
          <w:t>Google Search Central — Consolidate duplicate URLs</w:t>
        </w:r>
      </w:hyperlink>
    </w:p>
    <w:p>
      <w:pPr>
        <w:pStyle w:val="ReferenceNote"/>
      </w:pPr>
      <w:r>
        <w:t>Canonicalization signals and duplicate-URL handling.</w:t>
      </w:r>
    </w:p>
    <w:p>
      <w:pPr>
        <w:keepNext/>
        <w:spacing w:before="80" w:after="60"/>
      </w:pPr>
      <w:bookmarkStart w:id="51" w:name="ref_R10"/>
      <w:bookmarkEnd w:id="51"/>
      <w:r>
        <w:rPr>
          <w:b/>
          <w:color w:val="087F83"/>
          <w:sz w:val="20"/>
        </w:rPr>
        <w:t xml:space="preserve">[R10] </w:t>
      </w:r>
      <w:hyperlink r:id="rId20">
        <w:r>
          <w:rPr>
            <w:color w:val="163349"/>
            <w:rFonts w:ascii="Lato" w:hAnsi="Lato"/>
            <w:b/>
            <w:sz w:val="20"/>
          </w:rPr>
          <w:t>Google Search Central — Localized versions</w:t>
        </w:r>
      </w:hyperlink>
    </w:p>
    <w:p>
      <w:pPr>
        <w:pStyle w:val="ReferenceNote"/>
      </w:pPr>
      <w:r>
        <w:t>Language/region alternatives and hreflang guidance.</w:t>
      </w:r>
    </w:p>
    <w:p>
      <w:pPr>
        <w:keepNext/>
        <w:spacing w:before="80" w:after="60"/>
      </w:pPr>
      <w:bookmarkStart w:id="52" w:name="ref_R11"/>
      <w:bookmarkEnd w:id="52"/>
      <w:r>
        <w:rPr>
          <w:b/>
          <w:color w:val="087F83"/>
          <w:sz w:val="20"/>
        </w:rPr>
        <w:t xml:space="preserve">[R11] </w:t>
      </w:r>
      <w:hyperlink r:id="rId21">
        <w:r>
          <w:rPr>
            <w:color w:val="163349"/>
            <w:rFonts w:ascii="Lato" w:hAnsi="Lato"/>
            <w:b/>
            <w:sz w:val="20"/>
          </w:rPr>
          <w:t>Google Search Central — AI features and your website</w:t>
        </w:r>
      </w:hyperlink>
    </w:p>
    <w:p>
      <w:pPr>
        <w:pStyle w:val="ReferenceNote"/>
      </w:pPr>
      <w:r>
        <w:t>Search fundamentals and absence of special AI-only eligibility requirements.</w:t>
      </w:r>
    </w:p>
    <w:p>
      <w:pPr>
        <w:keepNext/>
        <w:spacing w:before="80" w:after="60"/>
      </w:pPr>
      <w:bookmarkStart w:id="53" w:name="ref_R12"/>
      <w:bookmarkEnd w:id="53"/>
      <w:r>
        <w:rPr>
          <w:b/>
          <w:color w:val="087F83"/>
          <w:sz w:val="20"/>
        </w:rPr>
        <w:t xml:space="preserve">[R12] </w:t>
      </w:r>
      <w:hyperlink r:id="rId22">
        <w:r>
          <w:rPr>
            <w:color w:val="163349"/>
            <w:rFonts w:ascii="Lato" w:hAnsi="Lato"/>
            <w:b/>
            <w:sz w:val="20"/>
          </w:rPr>
          <w:t>Google Search Central — Documentation updates</w:t>
        </w:r>
      </w:hyperlink>
    </w:p>
    <w:p>
      <w:pPr>
        <w:pStyle w:val="ReferenceNote"/>
      </w:pPr>
      <w:r>
        <w:t>2026 FAQ rich-results discontinuation and llms.txt clarification; recheck ongoing changes.</w:t>
      </w:r>
    </w:p>
    <w:p>
      <w:pPr>
        <w:keepNext/>
        <w:spacing w:before="80" w:after="60"/>
      </w:pPr>
      <w:bookmarkStart w:id="54" w:name="ref_R13"/>
      <w:bookmarkEnd w:id="54"/>
      <w:r>
        <w:rPr>
          <w:b/>
          <w:color w:val="087F83"/>
          <w:sz w:val="20"/>
        </w:rPr>
        <w:t xml:space="preserve">[R13] </w:t>
      </w:r>
      <w:hyperlink r:id="rId23">
        <w:r>
          <w:rPr>
            <w:color w:val="163349"/>
            <w:rFonts w:ascii="Lato" w:hAnsi="Lato"/>
            <w:b/>
            <w:sz w:val="20"/>
          </w:rPr>
          <w:t>Google Ads Help — Enhanced conversions</w:t>
        </w:r>
      </w:hyperlink>
    </w:p>
    <w:p>
      <w:pPr>
        <w:pStyle w:val="ReferenceNote"/>
      </w:pPr>
      <w:r>
        <w:t>Permitted first-party data use for enhanced conversions.</w:t>
      </w:r>
    </w:p>
    <w:p>
      <w:pPr>
        <w:keepNext/>
        <w:spacing w:before="80" w:after="60"/>
      </w:pPr>
      <w:bookmarkStart w:id="55" w:name="ref_R14"/>
      <w:bookmarkEnd w:id="55"/>
      <w:r>
        <w:rPr>
          <w:b/>
          <w:color w:val="087F83"/>
          <w:sz w:val="20"/>
        </w:rPr>
        <w:t xml:space="preserve">[R14] </w:t>
      </w:r>
      <w:hyperlink r:id="rId24">
        <w:r>
          <w:rPr>
            <w:color w:val="163349"/>
            <w:rFonts w:ascii="Lato" w:hAnsi="Lato"/>
            <w:b/>
            <w:sz w:val="20"/>
          </w:rPr>
          <w:t>Google Data Manager API — Google Ads offline conversions</w:t>
        </w:r>
      </w:hyperlink>
    </w:p>
    <w:p>
      <w:pPr>
        <w:pStyle w:val="ReferenceNote"/>
      </w:pPr>
      <w:r>
        <w:t>Current documented integration path for offline conversions and enhanced conversions for leads.</w:t>
      </w:r>
    </w:p>
    <w:p>
      <w:pPr>
        <w:keepNext/>
        <w:spacing w:before="80" w:after="60"/>
      </w:pPr>
      <w:bookmarkStart w:id="56" w:name="ref_R15"/>
      <w:bookmarkEnd w:id="56"/>
      <w:r>
        <w:rPr>
          <w:b/>
          <w:color w:val="087F83"/>
          <w:sz w:val="20"/>
        </w:rPr>
        <w:t xml:space="preserve">[R15] </w:t>
      </w:r>
      <w:hyperlink r:id="rId25">
        <w:r>
          <w:rPr>
            <w:color w:val="163349"/>
            <w:rFonts w:ascii="Lato" w:hAnsi="Lato"/>
            <w:b/>
            <w:sz w:val="20"/>
          </w:rPr>
          <w:t>Google Ads Help — Minimize duplicate conversions</w:t>
        </w:r>
      </w:hyperlink>
    </w:p>
    <w:p>
      <w:pPr>
        <w:pStyle w:val="ReferenceNote"/>
      </w:pPr>
      <w:r>
        <w:t>Transaction-ID deduplication guidance; conversion-action settings still matter.</w:t>
      </w:r>
    </w:p>
    <w:p>
      <w:pPr>
        <w:keepNext/>
        <w:spacing w:before="80" w:after="60"/>
      </w:pPr>
      <w:bookmarkStart w:id="57" w:name="ref_R16"/>
      <w:bookmarkEnd w:id="57"/>
      <w:r>
        <w:rPr>
          <w:b/>
          <w:color w:val="087F83"/>
          <w:sz w:val="20"/>
        </w:rPr>
        <w:t xml:space="preserve">[R16] </w:t>
      </w:r>
      <w:hyperlink r:id="rId26">
        <w:r>
          <w:rPr>
            <w:color w:val="163349"/>
            <w:rFonts w:ascii="Lato" w:hAnsi="Lato"/>
            <w:b/>
            <w:sz w:val="20"/>
          </w:rPr>
          <w:t>Google Ads API — Manage offline conversions</w:t>
        </w:r>
      </w:hyperlink>
    </w:p>
    <w:p>
      <w:pPr>
        <w:pStyle w:val="ReferenceNote"/>
      </w:pPr>
      <w:r>
        <w:t>2026 changes and restrictions affecting older offline-upload integration paths.</w:t>
      </w:r>
    </w:p>
    <w:p>
      <w:pPr>
        <w:keepNext/>
        <w:spacing w:before="80" w:after="60"/>
      </w:pPr>
      <w:bookmarkStart w:id="58" w:name="ref_R17"/>
      <w:bookmarkEnd w:id="58"/>
      <w:r>
        <w:rPr>
          <w:b/>
          <w:color w:val="087F83"/>
          <w:sz w:val="20"/>
        </w:rPr>
        <w:t xml:space="preserve">[R17] </w:t>
      </w:r>
      <w:hyperlink r:id="rId27">
        <w:r>
          <w:rPr>
            <w:color w:val="163349"/>
            <w:rFonts w:ascii="Lato" w:hAnsi="Lato"/>
            <w:b/>
            <w:sz w:val="20"/>
          </w:rPr>
          <w:t>Meta Business Help — About Conversions API</w:t>
        </w:r>
      </w:hyperlink>
    </w:p>
    <w:p>
      <w:pPr>
        <w:pStyle w:val="ReferenceNote"/>
      </w:pPr>
      <w:r>
        <w:t>Primary overview of server-connected business event data; overview/search material accessible.</w:t>
      </w:r>
    </w:p>
    <w:p>
      <w:pPr>
        <w:keepNext/>
        <w:spacing w:before="80" w:after="60"/>
      </w:pPr>
      <w:bookmarkStart w:id="59" w:name="ref_R18"/>
      <w:bookmarkEnd w:id="59"/>
      <w:r>
        <w:rPr>
          <w:b/>
          <w:color w:val="087F83"/>
          <w:sz w:val="20"/>
        </w:rPr>
        <w:t xml:space="preserve">[R18] </w:t>
      </w:r>
      <w:hyperlink r:id="rId28">
        <w:r>
          <w:rPr>
            <w:color w:val="163349"/>
            <w:rFonts w:ascii="Lato" w:hAnsi="Lato"/>
            <w:b/>
            <w:sz w:val="20"/>
          </w:rPr>
          <w:t>Meta Business — How machine learning delivers ads</w:t>
        </w:r>
      </w:hyperlink>
    </w:p>
    <w:p>
      <w:pPr>
        <w:pStyle w:val="ReferenceNote"/>
      </w:pPr>
      <w:r>
        <w:t>Primary explanation of delivery factors beyond the website; overview/search material accessible.</w:t>
      </w:r>
    </w:p>
    <w:p>
      <w:pPr>
        <w:keepNext/>
        <w:spacing w:before="80" w:after="60"/>
      </w:pPr>
      <w:bookmarkStart w:id="60" w:name="ref_R19"/>
      <w:bookmarkEnd w:id="60"/>
      <w:r>
        <w:rPr>
          <w:b/>
          <w:color w:val="087F83"/>
          <w:sz w:val="20"/>
        </w:rPr>
        <w:t xml:space="preserve">[R19] </w:t>
      </w:r>
      <w:hyperlink r:id="rId29">
        <w:r>
          <w:rPr>
            <w:color w:val="163349"/>
            <w:rFonts w:ascii="Lato" w:hAnsi="Lato"/>
            <w:b/>
            <w:sz w:val="20"/>
          </w:rPr>
          <w:t>Meta for Developers — Deduplicate Pixel and server events</w:t>
        </w:r>
      </w:hyperlink>
    </w:p>
    <w:p>
      <w:pPr>
        <w:pStyle w:val="ReferenceNote"/>
      </w:pPr>
      <w:r>
        <w:t>Implementation verification link. Full page retrieval was rate-limited; validate current contract in authenticated documentation and Events Manager.</w:t>
      </w:r>
    </w:p>
    <w:p>
      <w:pPr>
        <w:keepNext/>
        <w:spacing w:before="80" w:after="60"/>
      </w:pPr>
      <w:bookmarkStart w:id="61" w:name="ref_R20"/>
      <w:bookmarkEnd w:id="61"/>
      <w:r>
        <w:rPr>
          <w:b/>
          <w:color w:val="087F83"/>
          <w:sz w:val="20"/>
        </w:rPr>
        <w:t xml:space="preserve">[R20] </w:t>
      </w:r>
      <w:hyperlink r:id="rId30">
        <w:r>
          <w:rPr>
            <w:color w:val="163349"/>
            <w:rFonts w:ascii="Lato" w:hAnsi="Lato"/>
            <w:b/>
            <w:sz w:val="20"/>
          </w:rPr>
          <w:t>Meta Business Help — Information restricted in business tools</w:t>
        </w:r>
      </w:hyperlink>
    </w:p>
    <w:p>
      <w:pPr>
        <w:pStyle w:val="ReferenceNote"/>
      </w:pPr>
      <w:r>
        <w:t>Review permitted/prohibited event data and sensitive-business context against current Meta terms.</w:t>
      </w:r>
    </w:p>
    <w:p>
      <w:pPr>
        <w:keepNext/>
        <w:spacing w:before="80" w:after="60"/>
      </w:pPr>
      <w:bookmarkStart w:id="62" w:name="ref_R21"/>
      <w:bookmarkEnd w:id="62"/>
      <w:r>
        <w:rPr>
          <w:b/>
          <w:color w:val="087F83"/>
          <w:sz w:val="20"/>
        </w:rPr>
        <w:t xml:space="preserve">[R21] </w:t>
      </w:r>
      <w:hyperlink r:id="rId31">
        <w:r>
          <w:rPr>
            <w:color w:val="163349"/>
            <w:rFonts w:ascii="Lato" w:hAnsi="Lato"/>
            <w:b/>
            <w:sz w:val="20"/>
          </w:rPr>
          <w:t>Google Tag Platform — Set up consent mode</w:t>
        </w:r>
      </w:hyperlink>
    </w:p>
    <w:p>
      <w:pPr>
        <w:pStyle w:val="ReferenceNote"/>
      </w:pPr>
      <w:r>
        <w:t>Consent signals, defaults/updates, and tag implementation ordering.</w:t>
      </w:r>
    </w:p>
    <w:p>
      <w:pPr>
        <w:keepNext/>
        <w:spacing w:before="80" w:after="60"/>
      </w:pPr>
      <w:bookmarkStart w:id="63" w:name="ref_R22"/>
      <w:bookmarkEnd w:id="63"/>
      <w:r>
        <w:rPr>
          <w:b/>
          <w:color w:val="087F83"/>
          <w:sz w:val="20"/>
        </w:rPr>
        <w:t xml:space="preserve">[R22] </w:t>
      </w:r>
      <w:hyperlink r:id="rId32">
        <w:r>
          <w:rPr>
            <w:color w:val="163349"/>
            <w:rFonts w:ascii="Lato" w:hAnsi="Lato"/>
            <w:b/>
            <w:sz w:val="20"/>
          </w:rPr>
          <w:t>Google Analytics Help — Avoid sending PII</w:t>
        </w:r>
      </w:hyperlink>
    </w:p>
    <w:p>
      <w:pPr>
        <w:pStyle w:val="ReferenceNote"/>
      </w:pPr>
      <w:r>
        <w:t>Restrictions on personally identifiable information in Analytics.</w:t>
      </w:r>
    </w:p>
    <w:p>
      <w:pPr>
        <w:keepNext/>
        <w:spacing w:before="80" w:after="60"/>
      </w:pPr>
      <w:bookmarkStart w:id="64" w:name="ref_R23"/>
      <w:bookmarkEnd w:id="64"/>
      <w:r>
        <w:rPr>
          <w:b/>
          <w:color w:val="087F83"/>
          <w:sz w:val="20"/>
        </w:rPr>
        <w:t xml:space="preserve">[R23] </w:t>
      </w:r>
      <w:hyperlink r:id="rId33">
        <w:r>
          <w:rPr>
            <w:color w:val="163349"/>
            <w:rFonts w:ascii="Lato" w:hAnsi="Lato"/>
            <w:b/>
            <w:sz w:val="20"/>
          </w:rPr>
          <w:t>Google Analytics Help — Enhanced measurement events</w:t>
        </w:r>
      </w:hyperlink>
    </w:p>
    <w:p>
      <w:pPr>
        <w:pStyle w:val="ReferenceNote"/>
      </w:pPr>
      <w:r>
        <w:t>Automatic event behavior, including scroll measurement; avoid duplicate custom instrumentation.</w:t>
      </w:r>
    </w:p>
    <w:p>
      <w:pPr>
        <w:keepNext/>
        <w:spacing w:before="80" w:after="60"/>
      </w:pPr>
      <w:bookmarkStart w:id="65" w:name="ref_R24"/>
      <w:bookmarkEnd w:id="65"/>
      <w:r>
        <w:rPr>
          <w:b/>
          <w:color w:val="087F83"/>
          <w:sz w:val="20"/>
        </w:rPr>
        <w:t xml:space="preserve">[R24] </w:t>
      </w:r>
      <w:hyperlink r:id="rId34">
        <w:r>
          <w:rPr>
            <w:color w:val="163349"/>
            <w:rFonts w:ascii="Lato" w:hAnsi="Lato"/>
            <w:b/>
            <w:sz w:val="20"/>
          </w:rPr>
          <w:t>Google Tag Manager Help — Element Visibility trigger</w:t>
        </w:r>
      </w:hyperlink>
    </w:p>
    <w:p>
      <w:pPr>
        <w:pStyle w:val="ReferenceNote"/>
      </w:pPr>
      <w:r>
        <w:t>Element visibility configuration and duration behavior.</w:t>
      </w:r>
    </w:p>
    <w:p>
      <w:pPr>
        <w:keepNext/>
        <w:spacing w:before="80" w:after="60"/>
      </w:pPr>
      <w:bookmarkStart w:id="66" w:name="ref_R25"/>
      <w:bookmarkEnd w:id="66"/>
      <w:r>
        <w:rPr>
          <w:b/>
          <w:color w:val="087F83"/>
          <w:sz w:val="20"/>
        </w:rPr>
        <w:t xml:space="preserve">[R25] </w:t>
      </w:r>
      <w:hyperlink r:id="rId35">
        <w:r>
          <w:rPr>
            <w:color w:val="163349"/>
            <w:rFonts w:ascii="Lato" w:hAnsi="Lato"/>
            <w:b/>
            <w:sz w:val="20"/>
          </w:rPr>
          <w:t>Google Analytics Help — Event collection limits</w:t>
        </w:r>
      </w:hyperlink>
    </w:p>
    <w:p>
      <w:pPr>
        <w:pStyle w:val="ReferenceNote"/>
      </w:pPr>
      <w:r>
        <w:t>Validate current destination collection limits when mapping event schemas.</w:t>
      </w:r>
    </w:p>
    <w:p>
      <w:pPr>
        <w:keepNext/>
        <w:spacing w:before="80" w:after="60"/>
      </w:pPr>
      <w:bookmarkStart w:id="67" w:name="ref_R26"/>
      <w:bookmarkEnd w:id="67"/>
      <w:r>
        <w:rPr>
          <w:b/>
          <w:color w:val="087F83"/>
          <w:sz w:val="20"/>
        </w:rPr>
        <w:t xml:space="preserve">[R26] </w:t>
      </w:r>
      <w:hyperlink r:id="rId36">
        <w:r>
          <w:rPr>
            <w:color w:val="163349"/>
            <w:rFonts w:ascii="Lato" w:hAnsi="Lato"/>
            <w:b/>
            <w:sz w:val="20"/>
          </w:rPr>
          <w:t>Google Tag Platform — The data layer</w:t>
        </w:r>
      </w:hyperlink>
    </w:p>
    <w:p>
      <w:pPr>
        <w:pStyle w:val="ReferenceNote"/>
      </w:pPr>
      <w:r>
        <w:t>dataLayer initialization, push-based updates, and event handling.</w:t>
      </w:r>
    </w:p>
    <w:p>
      <w:pPr>
        <w:keepNext/>
        <w:spacing w:before="80" w:after="60"/>
      </w:pPr>
      <w:bookmarkStart w:id="68" w:name="ref_R27"/>
      <w:bookmarkEnd w:id="68"/>
      <w:r>
        <w:rPr>
          <w:b/>
          <w:color w:val="087F83"/>
          <w:sz w:val="20"/>
        </w:rPr>
        <w:t xml:space="preserve">[R27] </w:t>
      </w:r>
      <w:hyperlink r:id="rId37">
        <w:r>
          <w:rPr>
            <w:color w:val="163349"/>
            <w:rFonts w:ascii="Lato" w:hAnsi="Lato"/>
            <w:b/>
            <w:sz w:val="20"/>
          </w:rPr>
          <w:t>Google Analytics Developers — Single-page applications</w:t>
        </w:r>
      </w:hyperlink>
    </w:p>
    <w:p>
      <w:pPr>
        <w:pStyle w:val="ReferenceNote"/>
      </w:pPr>
      <w:r>
        <w:t>Navigation/page-view measurement for SPAs.</w:t>
      </w:r>
    </w:p>
    <w:p>
      <w:pPr>
        <w:keepNext/>
        <w:spacing w:before="80" w:after="60"/>
      </w:pPr>
      <w:bookmarkStart w:id="69" w:name="ref_R28"/>
      <w:bookmarkEnd w:id="69"/>
      <w:r>
        <w:rPr>
          <w:b/>
          <w:color w:val="087F83"/>
          <w:sz w:val="20"/>
        </w:rPr>
        <w:t xml:space="preserve">[R28] </w:t>
      </w:r>
      <w:hyperlink r:id="rId38">
        <w:r>
          <w:rPr>
            <w:color w:val="163349"/>
            <w:rFonts w:ascii="Lato" w:hAnsi="Lato"/>
            <w:b/>
            <w:sz w:val="20"/>
          </w:rPr>
          <w:t>Next.js documentation — Self-hosting</w:t>
        </w:r>
      </w:hyperlink>
    </w:p>
    <w:p>
      <w:pPr>
        <w:pStyle w:val="ReferenceNote"/>
      </w:pPr>
      <w:r>
        <w:t>Self-hosted deployment, cache coordination, proxies, and public environment configuration.</w:t>
      </w:r>
    </w:p>
    <w:p>
      <w:pPr>
        <w:keepNext/>
        <w:spacing w:before="80" w:after="60"/>
      </w:pPr>
      <w:bookmarkStart w:id="70" w:name="ref_R29"/>
      <w:bookmarkEnd w:id="70"/>
      <w:r>
        <w:rPr>
          <w:b/>
          <w:color w:val="087F83"/>
          <w:sz w:val="20"/>
        </w:rPr>
        <w:t xml:space="preserve">[R29] </w:t>
      </w:r>
      <w:hyperlink r:id="rId39">
        <w:r>
          <w:rPr>
            <w:color w:val="163349"/>
            <w:rFonts w:ascii="Lato" w:hAnsi="Lato"/>
            <w:b/>
            <w:sz w:val="20"/>
          </w:rPr>
          <w:t>Next.js documentation — revalidateTag</w:t>
        </w:r>
      </w:hyperlink>
    </w:p>
    <w:p>
      <w:pPr>
        <w:pStyle w:val="ReferenceNote"/>
      </w:pPr>
      <w:r>
        <w:t>Version-sensitive content cache invalidation; test the pinned framework version.</w:t>
      </w:r>
    </w:p>
    <w:p>
      <w:pPr>
        <w:keepNext/>
        <w:spacing w:before="80" w:after="60"/>
      </w:pPr>
      <w:bookmarkStart w:id="71" w:name="ref_R30"/>
      <w:bookmarkEnd w:id="71"/>
      <w:r>
        <w:rPr>
          <w:b/>
          <w:color w:val="087F83"/>
          <w:sz w:val="20"/>
        </w:rPr>
        <w:t xml:space="preserve">[R30] </w:t>
      </w:r>
      <w:hyperlink r:id="rId40">
        <w:r>
          <w:rPr>
            <w:color w:val="163349"/>
            <w:rFonts w:ascii="Lato" w:hAnsi="Lato"/>
            <w:b/>
            <w:sz w:val="20"/>
          </w:rPr>
          <w:t>Google Analytics Developers — Measurement Protocol</w:t>
        </w:r>
      </w:hyperlink>
    </w:p>
    <w:p>
      <w:pPr>
        <w:pStyle w:val="ReferenceNote"/>
      </w:pPr>
      <w:r>
        <w:t>Server event collection supplements tagging; validate the current supported ingestion path.</w:t>
      </w:r>
    </w:p>
    <w:p>
      <w:pPr>
        <w:keepNext/>
        <w:spacing w:before="80" w:after="60"/>
      </w:pPr>
      <w:bookmarkStart w:id="72" w:name="ref_R31"/>
      <w:bookmarkEnd w:id="72"/>
      <w:r>
        <w:rPr>
          <w:b/>
          <w:color w:val="087F83"/>
          <w:sz w:val="20"/>
        </w:rPr>
        <w:t xml:space="preserve">[R31] </w:t>
      </w:r>
      <w:hyperlink r:id="rId41">
        <w:r>
          <w:rPr>
            <w:color w:val="163349"/>
            <w:rFonts w:ascii="Lato" w:hAnsi="Lato"/>
            <w:b/>
            <w:sz w:val="20"/>
          </w:rPr>
          <w:t>W3C — Web Content Accessibility Guidelines 2.2</w:t>
        </w:r>
      </w:hyperlink>
    </w:p>
    <w:p>
      <w:pPr>
        <w:pStyle w:val="ReferenceNote"/>
      </w:pPr>
      <w:r>
        <w:t>Accessibility conformance framework and success criteria.</w:t>
      </w:r>
    </w:p>
    <w:p>
      <w:pPr>
        <w:keepNext/>
        <w:spacing w:before="80" w:after="60"/>
      </w:pPr>
      <w:bookmarkStart w:id="73" w:name="ref_R32"/>
      <w:bookmarkEnd w:id="73"/>
      <w:r>
        <w:rPr>
          <w:b/>
          <w:color w:val="087F83"/>
          <w:sz w:val="20"/>
        </w:rPr>
        <w:t xml:space="preserve">[R32] </w:t>
      </w:r>
      <w:hyperlink r:id="rId42">
        <w:r>
          <w:rPr>
            <w:color w:val="163349"/>
            <w:rFonts w:ascii="Lato" w:hAnsi="Lato"/>
            <w:b/>
            <w:sz w:val="20"/>
          </w:rPr>
          <w:t>Strapi documentation — Draft and Publish</w:t>
        </w:r>
      </w:hyperlink>
    </w:p>
    <w:p>
      <w:pPr>
        <w:pStyle w:val="ReferenceNote"/>
      </w:pPr>
      <w:r>
        <w:t>Example CMS capability; verify all required edition/plan entitlements separately.</w:t>
      </w:r>
    </w:p>
    <w:p>
      <w:pPr>
        <w:keepNext/>
        <w:spacing w:before="80" w:after="60"/>
      </w:pPr>
      <w:bookmarkStart w:id="74" w:name="ref_R33"/>
      <w:bookmarkEnd w:id="74"/>
      <w:r>
        <w:rPr>
          <w:b/>
          <w:color w:val="087F83"/>
          <w:sz w:val="20"/>
        </w:rPr>
        <w:t xml:space="preserve">[R33] </w:t>
      </w:r>
      <w:hyperlink r:id="rId43">
        <w:r>
          <w:rPr>
            <w:color w:val="163349"/>
            <w:rFonts w:ascii="Lato" w:hAnsi="Lato"/>
            <w:b/>
            <w:sz w:val="20"/>
          </w:rPr>
          <w:t>PostgreSQL documentation — Row security policies</w:t>
        </w:r>
      </w:hyperlink>
    </w:p>
    <w:p>
      <w:pPr>
        <w:pStyle w:val="ReferenceNote"/>
      </w:pPr>
      <w:r>
        <w:t>Row-level policy behavior, roles, and privileged-user caveats.</w:t>
      </w:r>
    </w:p>
    <w:p>
      <w:pPr>
        <w:keepNext/>
        <w:spacing w:before="80" w:after="60"/>
      </w:pPr>
      <w:bookmarkStart w:id="75" w:name="ref_R34"/>
      <w:bookmarkEnd w:id="75"/>
      <w:r>
        <w:rPr>
          <w:b/>
          <w:color w:val="087F83"/>
          <w:sz w:val="20"/>
        </w:rPr>
        <w:t xml:space="preserve">[R34] </w:t>
      </w:r>
      <w:hyperlink r:id="rId44">
        <w:r>
          <w:rPr>
            <w:color w:val="163349"/>
            <w:rFonts w:ascii="Lato" w:hAnsi="Lato"/>
            <w:b/>
            <w:sz w:val="20"/>
          </w:rPr>
          <w:t>OWASP — Application Security Verification Standard</w:t>
        </w:r>
      </w:hyperlink>
    </w:p>
    <w:p>
      <w:pPr>
        <w:pStyle w:val="ReferenceNote"/>
      </w:pPr>
      <w:r>
        <w:t>Risk-appropriate security verification requirements.</w:t>
      </w:r>
    </w:p>
    <w:p>
      <w:pPr>
        <w:keepNext/>
        <w:spacing w:before="80" w:after="60"/>
      </w:pPr>
      <w:bookmarkStart w:id="76" w:name="ref_R35"/>
      <w:bookmarkEnd w:id="76"/>
      <w:r>
        <w:rPr>
          <w:b/>
          <w:color w:val="087F83"/>
          <w:sz w:val="20"/>
        </w:rPr>
        <w:t xml:space="preserve">[R35] </w:t>
      </w:r>
      <w:hyperlink r:id="rId45">
        <w:r>
          <w:rPr>
            <w:color w:val="163349"/>
            <w:rFonts w:ascii="Lato" w:hAnsi="Lato"/>
            <w:b/>
            <w:sz w:val="20"/>
          </w:rPr>
          <w:t>NestJS documentation — Authentication</w:t>
        </w:r>
      </w:hyperlink>
    </w:p>
    <w:p>
      <w:pPr>
        <w:pStyle w:val="ReferenceNote"/>
      </w:pPr>
      <w:r>
        <w:t>Framework authentication integration patterns; application authorization remains a project responsibility.</w:t>
      </w:r>
    </w:p>
    <w:p>
      <w:pPr>
        <w:keepNext/>
        <w:spacing w:before="80" w:after="60"/>
      </w:pPr>
      <w:bookmarkStart w:id="77" w:name="ref_R36"/>
      <w:bookmarkEnd w:id="77"/>
      <w:r>
        <w:rPr>
          <w:b/>
          <w:color w:val="087F83"/>
          <w:sz w:val="20"/>
        </w:rPr>
        <w:t xml:space="preserve">[R36] </w:t>
      </w:r>
      <w:hyperlink r:id="rId46">
        <w:r>
          <w:rPr>
            <w:color w:val="163349"/>
            <w:rFonts w:ascii="Lato" w:hAnsi="Lato"/>
            <w:b/>
            <w:sz w:val="20"/>
          </w:rPr>
          <w:t>Kubernetes documentation — Secrets</w:t>
        </w:r>
      </w:hyperlink>
    </w:p>
    <w:p>
      <w:pPr>
        <w:pStyle w:val="ReferenceNote"/>
      </w:pPr>
      <w:r>
        <w:t>Secret storage, representation, and protection considerations.</w:t>
      </w:r>
    </w:p>
    <w:p>
      <w:pPr>
        <w:keepNext/>
        <w:spacing w:before="80" w:after="60"/>
      </w:pPr>
      <w:bookmarkStart w:id="78" w:name="ref_R37"/>
      <w:bookmarkEnd w:id="78"/>
      <w:r>
        <w:rPr>
          <w:b/>
          <w:color w:val="087F83"/>
          <w:sz w:val="20"/>
        </w:rPr>
        <w:t xml:space="preserve">[R37] </w:t>
      </w:r>
      <w:hyperlink r:id="rId47">
        <w:r>
          <w:rPr>
            <w:color w:val="163349"/>
            <w:rFonts w:ascii="Lato" w:hAnsi="Lato"/>
            <w:b/>
            <w:sz w:val="20"/>
          </w:rPr>
          <w:t>Stripe documentation — Webhooks</w:t>
        </w:r>
      </w:hyperlink>
    </w:p>
    <w:p>
      <w:pPr>
        <w:pStyle w:val="ReferenceNote"/>
      </w:pPr>
      <w:r>
        <w:t>Signature verification and robust payment event handling.</w:t>
      </w:r>
    </w:p>
    <w:p>
      <w:pPr>
        <w:keepNext/>
        <w:spacing w:before="80" w:after="60"/>
      </w:pPr>
      <w:bookmarkStart w:id="79" w:name="ref_R38"/>
      <w:bookmarkEnd w:id="79"/>
      <w:r>
        <w:rPr>
          <w:b/>
          <w:color w:val="087F83"/>
          <w:sz w:val="20"/>
        </w:rPr>
        <w:t xml:space="preserve">[R38] </w:t>
      </w:r>
      <w:hyperlink r:id="rId48">
        <w:r>
          <w:rPr>
            <w:color w:val="163349"/>
            <w:rFonts w:ascii="Lato" w:hAnsi="Lato"/>
            <w:b/>
            <w:sz w:val="20"/>
          </w:rPr>
          <w:t>Redis documentation — Persistence</w:t>
        </w:r>
      </w:hyperlink>
    </w:p>
    <w:p>
      <w:pPr>
        <w:pStyle w:val="ReferenceNote"/>
      </w:pPr>
      <w:r>
        <w:t>Persistence tradeoffs; do not treat a disposable cache as the sole business record.</w:t>
      </w:r>
    </w:p>
    <w:p>
      <w:pPr>
        <w:keepNext/>
        <w:spacing w:before="80" w:after="60"/>
      </w:pPr>
      <w:bookmarkStart w:id="80" w:name="ref_R39"/>
      <w:bookmarkEnd w:id="80"/>
      <w:r>
        <w:rPr>
          <w:b/>
          <w:color w:val="087F83"/>
          <w:sz w:val="20"/>
        </w:rPr>
        <w:t xml:space="preserve">[R39] </w:t>
      </w:r>
      <w:hyperlink r:id="rId49">
        <w:r>
          <w:rPr>
            <w:color w:val="163349"/>
            <w:rFonts w:ascii="Lato" w:hAnsi="Lato"/>
            <w:b/>
            <w:sz w:val="20"/>
          </w:rPr>
          <w:t>Microsoft Clarity documentation — Masking</w:t>
        </w:r>
      </w:hyperlink>
    </w:p>
    <w:p>
      <w:pPr>
        <w:pStyle w:val="ReferenceNote"/>
      </w:pPr>
      <w:r>
        <w:t>Replay masking controls; site-specific review and testing remain necessary.</w:t>
      </w:r>
    </w:p>
    <w:p>
      <w:pPr>
        <w:keepNext/>
        <w:spacing w:before="80" w:after="60"/>
      </w:pPr>
      <w:bookmarkStart w:id="81" w:name="ref_R40"/>
      <w:bookmarkEnd w:id="81"/>
      <w:r>
        <w:rPr>
          <w:b/>
          <w:color w:val="087F83"/>
          <w:sz w:val="20"/>
        </w:rPr>
        <w:t xml:space="preserve">[R40] </w:t>
      </w:r>
      <w:hyperlink r:id="rId50">
        <w:r>
          <w:rPr>
            <w:color w:val="163349"/>
            <w:rFonts w:ascii="Lato" w:hAnsi="Lato"/>
            <w:b/>
            <w:sz w:val="20"/>
          </w:rPr>
          <w:t>UK ICO — Cookies and similar technologies</w:t>
        </w:r>
      </w:hyperlink>
    </w:p>
    <w:p>
      <w:pPr>
        <w:pStyle w:val="ReferenceNote"/>
      </w:pPr>
      <w:r>
        <w:t>Regulator guidance for jurisdictional assessment; not a universal legal rule for every audience.</w:t>
      </w:r>
    </w:p>
    <w:p>
      <w:pPr>
        <w:keepNext/>
        <w:spacing w:before="80" w:after="60"/>
      </w:pPr>
      <w:bookmarkStart w:id="82" w:name="ref_R41"/>
      <w:bookmarkEnd w:id="82"/>
      <w:r>
        <w:rPr>
          <w:b/>
          <w:color w:val="087F83"/>
          <w:sz w:val="20"/>
        </w:rPr>
        <w:t xml:space="preserve">[R41] </w:t>
      </w:r>
      <w:hyperlink r:id="rId51">
        <w:r>
          <w:rPr>
            <w:color w:val="163349"/>
            <w:rFonts w:ascii="Lato" w:hAnsi="Lato"/>
            <w:b/>
            <w:sz w:val="20"/>
          </w:rPr>
          <w:t>MeitY / Gazette of India — Digital Personal Data Protection Rules, 2025</w:t>
        </w:r>
      </w:hyperlink>
    </w:p>
    <w:p>
      <w:pPr>
        <w:pStyle w:val="ReferenceNote"/>
      </w:pPr>
      <w:r>
        <w:t>Official Gazette, including English commencement provisions on PDF page 24. Check related notifications, amendments, and applicability with counsel.</w:t>
      </w:r>
    </w:p>
    <w:p>
      <w:pPr>
        <w:keepNext/>
        <w:spacing w:before="80" w:after="60"/>
      </w:pPr>
      <w:bookmarkStart w:id="83" w:name="ref_R42"/>
      <w:bookmarkEnd w:id="83"/>
      <w:r>
        <w:rPr>
          <w:b/>
          <w:color w:val="087F83"/>
          <w:sz w:val="20"/>
        </w:rPr>
        <w:t xml:space="preserve">[R42] </w:t>
      </w:r>
      <w:hyperlink r:id="rId52">
        <w:r>
          <w:rPr>
            <w:color w:val="163349"/>
            <w:rFonts w:ascii="Lato" w:hAnsi="Lato"/>
            <w:b/>
            <w:sz w:val="20"/>
          </w:rPr>
          <w:t>HashiCorp Terraform — Manage sensitive data</w:t>
        </w:r>
      </w:hyperlink>
    </w:p>
    <w:p>
      <w:pPr>
        <w:pStyle w:val="ReferenceNote"/>
      </w:pPr>
      <w:r>
        <w:t>Sensitive values and infrastructure-state protection.</w:t>
      </w:r>
    </w:p>
    <w:p>
      <w:pPr>
        <w:keepNext/>
        <w:spacing w:before="80" w:after="60"/>
      </w:pPr>
      <w:bookmarkStart w:id="84" w:name="ref_R43"/>
      <w:bookmarkEnd w:id="84"/>
      <w:r>
        <w:rPr>
          <w:b/>
          <w:color w:val="087F83"/>
          <w:sz w:val="20"/>
        </w:rPr>
        <w:t xml:space="preserve">[R43] </w:t>
      </w:r>
      <w:hyperlink r:id="rId53">
        <w:r>
          <w:rPr>
            <w:color w:val="163349"/>
            <w:rFonts w:ascii="Lato" w:hAnsi="Lato"/>
            <w:b/>
            <w:sz w:val="20"/>
          </w:rPr>
          <w:t>Docker documentation — Building best practices</w:t>
        </w:r>
      </w:hyperlink>
    </w:p>
    <w:p>
      <w:pPr>
        <w:pStyle w:val="ReferenceNote"/>
      </w:pPr>
      <w:r>
        <w:t>Container build hygiene, image construction, and maintainability.</w:t>
      </w:r>
    </w:p>
    <w:p>
      <w:pPr>
        <w:keepNext/>
        <w:spacing w:before="80" w:after="60"/>
      </w:pPr>
      <w:bookmarkStart w:id="85" w:name="ref_R44"/>
      <w:bookmarkEnd w:id="85"/>
      <w:r>
        <w:rPr>
          <w:b/>
          <w:color w:val="087F83"/>
          <w:sz w:val="20"/>
        </w:rPr>
        <w:t xml:space="preserve">[R44] </w:t>
      </w:r>
      <w:hyperlink r:id="rId54">
        <w:r>
          <w:rPr>
            <w:color w:val="163349"/>
            <w:rFonts w:ascii="Lato" w:hAnsi="Lato"/>
            <w:b/>
            <w:sz w:val="20"/>
          </w:rPr>
          <w:t>OpenTelemetry — What is OpenTelemetry?</w:t>
        </w:r>
      </w:hyperlink>
    </w:p>
    <w:p>
      <w:pPr>
        <w:pStyle w:val="ReferenceNote"/>
      </w:pPr>
      <w:r>
        <w:t>Vendor-neutral observability instrumentation foundation.</w:t>
      </w:r>
    </w:p>
    <w:p>
      <w:pPr>
        <w:keepNext/>
        <w:spacing w:before="80" w:after="60"/>
      </w:pPr>
      <w:bookmarkStart w:id="86" w:name="ref_R45"/>
      <w:bookmarkEnd w:id="86"/>
      <w:r>
        <w:rPr>
          <w:b/>
          <w:color w:val="087F83"/>
          <w:sz w:val="20"/>
        </w:rPr>
        <w:t xml:space="preserve">[R45] </w:t>
      </w:r>
      <w:hyperlink r:id="rId55">
        <w:r>
          <w:rPr>
            <w:color w:val="163349"/>
            <w:rFonts w:ascii="Lato" w:hAnsi="Lato"/>
            <w:b/>
            <w:sz w:val="20"/>
          </w:rPr>
          <w:t>Google Ads API — Reporting overview</w:t>
        </w:r>
      </w:hyperlink>
    </w:p>
    <w:p>
      <w:pPr>
        <w:pStyle w:val="ReferenceNote"/>
      </w:pPr>
      <w:r>
        <w:t>Performance reporting through the Google Ads API, distinct from conversion ingestion.</w:t>
      </w:r>
    </w:p>
    <w:p>
      <w:pPr>
        <w:keepNext/>
        <w:spacing w:before="80" w:after="60"/>
      </w:pPr>
      <w:bookmarkStart w:id="87" w:name="ref_R46"/>
      <w:bookmarkEnd w:id="87"/>
      <w:r>
        <w:rPr>
          <w:b/>
          <w:color w:val="087F83"/>
          <w:sz w:val="20"/>
        </w:rPr>
        <w:t xml:space="preserve">[R46] </w:t>
      </w:r>
      <w:hyperlink r:id="rId56">
        <w:r>
          <w:rPr>
            <w:color w:val="163349"/>
            <w:rFonts w:ascii="Lato" w:hAnsi="Lato"/>
            <w:b/>
            <w:sz w:val="20"/>
          </w:rPr>
          <w:t>Meta for Developers — Marketing API Insights</w:t>
        </w:r>
      </w:hyperlink>
    </w:p>
    <w:p>
      <w:pPr>
        <w:pStyle w:val="ReferenceNote"/>
      </w:pPr>
      <w:r>
        <w:t>Implementation verification link. Full page retrieval was rate-limited; authenticate and validate current permissions, versions, metrics, and report behavior.</w:t>
      </w:r>
    </w:p>
    <w:p>
      <w:pPr>
        <w:pStyle w:val="Heading2"/>
        <w:keepNext/>
        <w:widowControl/>
      </w:pPr>
      <w:r>
        <w:t>Version 1.1 | Additional primary references</w:t>
      </w:r>
    </w:p>
    <w:p>
      <w:pPr>
        <w:keepNext/>
      </w:pPr>
      <w:bookmarkStart w:id="98" w:name="ref_R47"/>
      <w:bookmarkEnd w:id="98"/>
      <w:hyperlink r:id="rId59">
        <w:r>
          <w:rPr>
            <w:color w:val="087F83"/>
            <w:b/>
          </w:rPr>
          <w:t>[R47] Google Search Central — A/B testing best practices</w:t>
        </w:r>
      </w:hyperlink>
    </w:p>
    <w:p>
      <w:pPr>
        <w:pStyle w:val="ReferenceNote"/>
        <w:widowControl/>
      </w:pPr>
      <w:r>
        <w:t>Temporary split-test redirects, canonical signals, avoiding cloaking and ending tests. Consulted for Chapter 34.</w:t>
      </w:r>
    </w:p>
    <w:p>
      <w:pPr>
        <w:keepNext/>
      </w:pPr>
      <w:bookmarkStart w:id="99" w:name="ref_R48"/>
      <w:bookmarkEnd w:id="99"/>
      <w:hyperlink r:id="rId60">
        <w:r>
          <w:rPr>
            <w:color w:val="087F83"/>
            <w:b/>
          </w:rPr>
          <w:t>[R48] Google Analytics Help — URL builders and campaign data</w:t>
        </w:r>
      </w:hyperlink>
    </w:p>
    <w:p>
      <w:pPr>
        <w:pStyle w:val="ReferenceNote"/>
        <w:widowControl/>
      </w:pPr>
      <w:r>
        <w:t>UTM meanings, naming/case sensitivity and current reporting limitations for creative-format/marketing-tactic fields. Consulted for Chapter 35.</w:t>
      </w:r>
    </w:p>
    <w:p>
      <w:pPr>
        <w:keepNext/>
      </w:pPr>
      <w:bookmarkStart w:id="100" w:name="ref_R49"/>
      <w:bookmarkEnd w:id="100"/>
      <w:hyperlink r:id="rId61">
        <w:r>
          <w:rPr>
            <w:color w:val="087F83"/>
            <w:b/>
          </w:rPr>
          <w:t>[R49] Google Ads Help — About auto-tagging</w:t>
        </w:r>
      </w:hyperlink>
    </w:p>
    <w:p>
      <w:pPr>
        <w:pStyle w:val="ReferenceNote"/>
        <w:widowControl/>
      </w:pPr>
      <w:r>
        <w:t>GCLID, redirect preservation and documented GA4 auto/manual-tagging precedence. Confirm account-specific configuration.</w:t>
      </w:r>
    </w:p>
    <w:p>
      <w:pPr>
        <w:keepNext/>
      </w:pPr>
      <w:bookmarkStart w:id="101" w:name="ref_R50"/>
      <w:bookmarkEnd w:id="101"/>
      <w:hyperlink r:id="rId62">
        <w:r>
          <w:rPr>
            <w:color w:val="087F83"/>
            <w:b/>
          </w:rPr>
          <w:t>[R50] W3C — Geolocation specification</w:t>
        </w:r>
      </w:hyperlink>
    </w:p>
    <w:p>
      <w:pPr>
        <w:pStyle w:val="ReferenceNote"/>
        <w:widowControl/>
      </w:pPr>
      <w:r>
        <w:t>Express permission, secure contexts, permissions policy, coordinates/accuracy and request errors. Snapshot consulted; current implementation must be tested across browsers.</w:t>
      </w:r>
    </w:p>
    <w:p>
      <w:pPr>
        <w:keepNext/>
      </w:pPr>
      <w:bookmarkStart w:id="102" w:name="ref_R51"/>
      <w:bookmarkEnd w:id="102"/>
      <w:hyperlink r:id="rId63">
        <w:r>
          <w:rPr>
            <w:color w:val="087F83"/>
            <w:b/>
          </w:rPr>
          <w:t>[R51] MaxMind — Geolocation accuracy</w:t>
        </w:r>
      </w:hyperlink>
    </w:p>
    <w:p>
      <w:pPr>
        <w:pStyle w:val="ReferenceNote"/>
        <w:widowControl/>
      </w:pPr>
      <w:r>
        <w:t>IP-location limits, VPN/mobile ambiguity, approximate accuracy radius and fallback. No exact-person/address claim.</w:t>
      </w:r>
    </w:p>
    <w:p>
      <w:pPr>
        <w:keepNext/>
      </w:pPr>
      <w:bookmarkStart w:id="103" w:name="ref_R52"/>
      <w:bookmarkEnd w:id="103"/>
      <w:hyperlink r:id="rId64">
        <w:r>
          <w:rPr>
            <w:color w:val="087F83"/>
            <w:b/>
          </w:rPr>
          <w:t>[R52] Express — Behind proxies</w:t>
        </w:r>
      </w:hyperlink>
    </w:p>
    <w:p>
      <w:pPr>
        <w:pStyle w:val="ReferenceNote"/>
        <w:widowControl/>
      </w:pPr>
      <w:r>
        <w:t>Trusted proxy topology, forwarding-header spoofing risks and IP extraction behavior. Apply only to the selected adapter/topology.</w:t>
      </w:r>
    </w:p>
    <w:p>
      <w:pPr>
        <w:keepNext/>
      </w:pPr>
      <w:bookmarkStart w:id="104" w:name="ref_R53"/>
      <w:bookmarkEnd w:id="104"/>
      <w:hyperlink r:id="rId65">
        <w:r>
          <w:rPr>
            <w:color w:val="087F83"/>
            <w:b/>
          </w:rPr>
          <w:t>[R53] OWASP — Logging Cheat Sheet</w:t>
        </w:r>
      </w:hyperlink>
    </w:p>
    <w:p>
      <w:pPr>
        <w:pStyle w:val="ReferenceNote"/>
        <w:widowControl/>
      </w:pPr>
      <w:r>
        <w:t>Logging coverage, event attributes, exclusion of sensitive data, protection and verification. The project must define its own scoped audit contract.</w:t>
      </w:r>
    </w:p>
    <w:p>
      <w:pPr>
        <w:keepNext/>
      </w:pPr>
      <w:bookmarkStart w:id="105" w:name="ref_R54"/>
      <w:bookmarkEnd w:id="105"/>
      <w:hyperlink r:id="rId66">
        <w:r>
          <w:rPr>
            <w:color w:val="087F83"/>
            <w:b/>
          </w:rPr>
          <w:t>[R54] AWS S3 — Object Lock</w:t>
        </w:r>
      </w:hyperlink>
    </w:p>
    <w:p>
      <w:pPr>
        <w:pStyle w:val="ReferenceNote"/>
        <w:widowControl/>
      </w:pPr>
      <w:r>
        <w:t>Version-level WORM retention, governance/compliance and delete-marker caveats. An optional implementation, not a mandatory cloud dependency.</w:t>
      </w:r>
    </w:p>
    <w:p>
      <w:pPr>
        <w:keepNext/>
      </w:pPr>
      <w:bookmarkStart w:id="106" w:name="ref_R55"/>
      <w:bookmarkEnd w:id="106"/>
      <w:hyperlink r:id="rId67">
        <w:r>
          <w:rPr>
            <w:color w:val="087F83"/>
            <w:b/>
          </w:rPr>
          <w:t>[R55] Microsoft Research — Diagnosing sample-ratio mismatch</w:t>
        </w:r>
      </w:hyperlink>
    </w:p>
    <w:p>
      <w:pPr>
        <w:pStyle w:val="ReferenceNote"/>
        <w:widowControl/>
      </w:pPr>
      <w:r>
        <w:t>Quality checks and biased/triggered experiment-population risks. Project analysis thresholds require statistical review.</w:t>
      </w:r>
    </w:p>
    <w:p>
      <w:pPr>
        <w:keepNext/>
      </w:pPr>
      <w:bookmarkStart w:id="107" w:name="ref_R56"/>
      <w:bookmarkEnd w:id="107"/>
      <w:hyperlink r:id="rId68">
        <w:r>
          <w:rPr>
            <w:color w:val="087F83"/>
            <w:b/>
          </w:rPr>
          <w:t>[R56] OWASP — LLM prompt-injection prevention</w:t>
        </w:r>
      </w:hyperlink>
    </w:p>
    <w:p>
      <w:pPr>
        <w:pStyle w:val="ReferenceNote"/>
        <w:widowControl/>
      </w:pPr>
      <w:r>
        <w:t>Defense-in-depth for untrusted model inputs and tool use; prompts do not replace application authorization.</w:t>
      </w:r>
    </w:p>
    <w:p>
      <w:pPr>
        <w:keepNext/>
      </w:pPr>
      <w:bookmarkStart w:id="108" w:name="ref_R57"/>
      <w:bookmarkEnd w:id="108"/>
      <w:hyperlink r:id="rId69">
        <w:r>
          <w:rPr>
            <w:color w:val="087F83"/>
            <w:b/>
          </w:rPr>
          <w:t>[R57] MDN — Window.postMessage</w:t>
        </w:r>
      </w:hyperlink>
    </w:p>
    <w:p>
      <w:pPr>
        <w:pStyle w:val="ReferenceNote"/>
        <w:widowControl/>
      </w:pPr>
      <w:r>
        <w:t>Exact target origin and validation of message origin/source/schema for embedded chat integration.</w:t>
      </w:r>
    </w:p>
    <w:p>
      <w:pPr>
        <w:keepNext/>
      </w:pPr>
      <w:bookmarkStart w:id="109" w:name="ref_R58"/>
      <w:bookmarkEnd w:id="109"/>
      <w:hyperlink r:id="rId70">
        <w:r>
          <w:rPr>
            <w:color w:val="087F83"/>
            <w:b/>
          </w:rPr>
          <w:t>[R58] Google Analytics Help — Regional data and privacy</w:t>
        </w:r>
      </w:hyperlink>
    </w:p>
    <w:p>
      <w:pPr>
        <w:pStyle w:val="ReferenceNote"/>
        <w:widowControl/>
      </w:pPr>
      <w:r>
        <w:t>EU/Switzerland/UK-specific IP and location-processing description and regional controls. Do not generalize the page into a universal raw-IP export capability.</w:t>
      </w:r>
    </w:p>
    <w:p>
      <w:pPr>
        <w:keepNext/>
      </w:pPr>
      <w:bookmarkStart w:id="110" w:name="ref_R59"/>
      <w:bookmarkEnd w:id="110"/>
      <w:hyperlink r:id="rId71">
        <w:r>
          <w:rPr>
            <w:color w:val="087F83"/>
            <w:b/>
          </w:rPr>
          <w:t>[R59] PostgreSQL documentation — GRANT</w:t>
        </w:r>
      </w:hyperlink>
    </w:p>
    <w:p>
      <w:pPr>
        <w:pStyle w:val="ReferenceNote"/>
        <w:widowControl/>
      </w:pPr>
      <w:r>
        <w:t>Database privilege separation. Actual source-content preservation also needs transition logic, privileged-access governance and tests.</w:t>
      </w:r>
    </w:p>
    <w:p>
      <w:pPr>
        <w:keepNext/>
      </w:pPr>
      <w:bookmarkStart w:id="111" w:name="ref_R60"/>
      <w:bookmarkEnd w:id="111"/>
      <w:hyperlink r:id="rId72">
        <w:r>
          <w:rPr>
            <w:color w:val="087F83"/>
            <w:b/>
          </w:rPr>
          <w:t>[R60] statsmodels — Two-proportion sample-size calculation</w:t>
        </w:r>
      </w:hyperlink>
    </w:p>
    <w:p>
      <w:pPr>
        <w:pStyle w:val="ReferenceNote"/>
        <w:widowControl/>
      </w:pPr>
      <w:r>
        <w:t>Normal-approximation sample-size inputs and assumptions. The 4%-to-5% example is this document’s calculated illustration, not measured website performance.</w:t>
      </w:r>
    </w:p>
    <w:p>
      <w:pPr>
        <w:keepNext/>
      </w:pPr>
      <w:bookmarkStart w:id="112" w:name="ref_R61"/>
      <w:bookmarkEnd w:id="112"/>
      <w:hyperlink r:id="rId73">
        <w:r>
          <w:rPr>
            <w:color w:val="087F83"/>
            <w:b/>
          </w:rPr>
          <w:t>[R61] Playwright — Emulation and geolocation</w:t>
        </w:r>
      </w:hyperlink>
    </w:p>
    <w:p>
      <w:pPr>
        <w:pStyle w:val="ReferenceNote"/>
        <w:widowControl/>
      </w:pPr>
      <w:r>
        <w:t>Official automated browser test capability for location/permission fixtures. Real mobile/in-app browser checks remain required.</w:t>
      </w:r>
    </w:p>
    <w:p>
      <w:pPr>
        <w:pStyle w:val="Heading2"/>
      </w:pPr>
      <w:r>
        <w:t>Additional primary sources and verification links | R62–R106</w:t>
      </w:r>
    </w:p>
    <w:p>
      <w:pPr>
        <w:pStyle w:val="SmallNote"/>
        <w:spacing w:after="80"/>
      </w:pPr>
      <w:r>
        <w:t>Consulted sources were accessed during the v1.2 preparation. Entries explicitly marked ACCOUNT VERIFICATION REQUIRED were not fully retrievable publicly and must be checked through authorized official access before implementation. No private account was accessed or changed.</w:t>
      </w:r>
    </w:p>
    <w:p>
      <w:pPr>
        <w:keepNext/>
        <w:spacing w:before="140" w:after="60"/>
      </w:pPr>
      <w:bookmarkStart w:id="215" w:name="ref_R62"/>
      <w:bookmarkEnd w:id="215"/>
      <w:hyperlink r:id="rId74" w:history="1">
        <w:r>
          <w:rPr>
            <w:color w:val="087F83"/>
            <w:b/>
          </w:rPr>
          <w:t>[R62] Gmail Help — Email sender guidelines</w:t>
        </w:r>
      </w:hyperlink>
    </w:p>
    <w:p>
      <w:pPr>
        <w:pStyle w:val="ReferenceNote"/>
        <w:keepLines/>
      </w:pPr>
      <w:r>
        <w:t>Consulted primary guidance: sender authentication, alignment and bulk-marketing unsubscribe requirements; validate actual volume and message type.</w:t>
      </w:r>
    </w:p>
    <w:p>
      <w:pPr>
        <w:keepNext/>
        <w:spacing w:before="140" w:after="60"/>
      </w:pPr>
      <w:bookmarkStart w:id="216" w:name="ref_R63"/>
      <w:bookmarkEnd w:id="216"/>
      <w:hyperlink r:id="rId75" w:history="1">
        <w:r>
          <w:rPr>
            <w:color w:val="087F83"/>
            <w:b/>
          </w:rPr>
          <w:t>[R63] IETF RFC 8058 — Signaling One-Click Functionality for List Email Headers</w:t>
        </w:r>
      </w:hyperlink>
    </w:p>
    <w:p>
      <w:pPr>
        <w:pStyle w:val="ReferenceNote"/>
        <w:keepLines/>
      </w:pPr>
      <w:r>
        <w:t>Consulted primary specification: one-click POST, opaque reference and required signed headers.</w:t>
      </w:r>
    </w:p>
    <w:p>
      <w:pPr>
        <w:keepNext/>
        <w:spacing w:before="140" w:after="60"/>
      </w:pPr>
      <w:bookmarkStart w:id="217" w:name="ref_R64"/>
      <w:bookmarkEnd w:id="217"/>
      <w:hyperlink r:id="rId76" w:history="1">
        <w:r>
          <w:rPr>
            <w:color w:val="087F83"/>
            <w:b/>
          </w:rPr>
          <w:t>[R64] ICANN — Domain-name holder transfer FAQs</w:t>
        </w:r>
      </w:hyperlink>
    </w:p>
    <w:p>
      <w:pPr>
        <w:pStyle w:val="ReferenceNote"/>
        <w:keepLines/>
      </w:pPr>
      <w:r>
        <w:t>Consulted primary guidance: domain transfer and authorization; registrar-specific procedures remain launch decisions.</w:t>
      </w:r>
    </w:p>
    <w:p>
      <w:pPr>
        <w:keepNext/>
        <w:spacing w:before="140" w:after="60"/>
      </w:pPr>
      <w:bookmarkStart w:id="218" w:name="ref_R65"/>
      <w:bookmarkEnd w:id="218"/>
      <w:hyperlink r:id="rId77" w:history="1">
        <w:r>
          <w:rPr>
            <w:color w:val="087F83"/>
            <w:b/>
          </w:rPr>
          <w:t>[R65] Cloudflare — DNSSEC documentation</w:t>
        </w:r>
      </w:hyperlink>
    </w:p>
    <w:p>
      <w:pPr>
        <w:pStyle w:val="ReferenceNote"/>
        <w:keepLines/>
      </w:pPr>
      <w:r>
        <w:t>Consulted provider documentation: coordinated DNSSEC configuration; not a mandatory vendor choice.</w:t>
      </w:r>
    </w:p>
    <w:p>
      <w:pPr>
        <w:keepNext/>
        <w:spacing w:before="140" w:after="60"/>
      </w:pPr>
      <w:bookmarkStart w:id="219" w:name="ref_R66"/>
      <w:bookmarkEnd w:id="219"/>
      <w:hyperlink r:id="rId78" w:history="1">
        <w:r>
          <w:rPr>
            <w:color w:val="087F83"/>
            <w:b/>
          </w:rPr>
          <w:t>[R66] Let’s Encrypt — Integration guide</w:t>
        </w:r>
      </w:hyperlink>
    </w:p>
    <w:p>
      <w:pPr>
        <w:pStyle w:val="ReferenceNote"/>
        <w:keepLines/>
      </w:pPr>
      <w:r>
        <w:t>Consulted provider documentation: certificate automation/integration; actual renewal and challenge paths require testing.</w:t>
      </w:r>
    </w:p>
    <w:p>
      <w:pPr>
        <w:keepNext/>
        <w:spacing w:before="140" w:after="60"/>
      </w:pPr>
      <w:bookmarkStart w:id="220" w:name="ref_R67"/>
      <w:bookmarkEnd w:id="220"/>
      <w:hyperlink r:id="rId79" w:history="1">
        <w:r>
          <w:rPr>
            <w:color w:val="087F83"/>
            <w:b/>
          </w:rPr>
          <w:t>[R67] W3C — Authoring Tool Accessibility Guidelines 2.0</w:t>
        </w:r>
      </w:hyperlink>
    </w:p>
    <w:p>
      <w:pPr>
        <w:pStyle w:val="ReferenceNote"/>
        <w:keepLines/>
      </w:pPr>
      <w:r>
        <w:t>Consulted standard: authoring-tool accessibility and support for accessible output; no automatic conformance claim.</w:t>
      </w:r>
    </w:p>
    <w:p>
      <w:pPr>
        <w:keepNext/>
        <w:spacing w:before="140" w:after="60"/>
      </w:pPr>
      <w:bookmarkStart w:id="221" w:name="ref_R68"/>
      <w:bookmarkEnd w:id="221"/>
      <w:hyperlink r:id="rId80" w:history="1">
        <w:r>
          <w:rPr>
            <w:color w:val="087F83"/>
            <w:b/>
          </w:rPr>
          <w:t>[R68] Google Advertising Policies — Customer Match policies</w:t>
        </w:r>
      </w:hyperlink>
    </w:p>
    <w:p>
      <w:pPr>
        <w:pStyle w:val="ReferenceNote"/>
        <w:keepLines/>
      </w:pPr>
      <w:r>
        <w:t>Consulted primary policy: permitted first-party list use and account/data eligibility require current verification.</w:t>
      </w:r>
    </w:p>
    <w:p>
      <w:pPr>
        <w:keepNext/>
        <w:spacing w:before="140" w:after="60"/>
      </w:pPr>
      <w:bookmarkStart w:id="222" w:name="ref_R69"/>
      <w:bookmarkEnd w:id="222"/>
      <w:hyperlink r:id="rId81" w:history="1">
        <w:r>
          <w:rPr>
            <w:color w:val="087F83"/>
            <w:b/>
          </w:rPr>
          <w:t>[R69] Google Advertising Policies — Personalized advertising</w:t>
        </w:r>
      </w:hyperlink>
    </w:p>
    <w:p>
      <w:pPr>
        <w:pStyle w:val="ReferenceNote"/>
        <w:keepLines/>
      </w:pPr>
      <w:r>
        <w:t>Consulted primary policy: restricted targeting and sensitive categories; do not infer universal eligibility.</w:t>
      </w:r>
    </w:p>
    <w:p>
      <w:pPr>
        <w:keepNext/>
        <w:spacing w:before="140" w:after="60"/>
      </w:pPr>
      <w:bookmarkStart w:id="223" w:name="ref_R70"/>
      <w:bookmarkEnd w:id="223"/>
      <w:hyperlink r:id="rId82" w:history="1">
        <w:r>
          <w:rPr>
            <w:color w:val="087F83"/>
            <w:b/>
          </w:rPr>
          <w:t>[R70] Google Ads Help — Create website visitor data segments</w:t>
        </w:r>
      </w:hyperlink>
    </w:p>
    <w:p>
      <w:pPr>
        <w:pStyle w:val="ReferenceNote"/>
        <w:keepLines/>
      </w:pPr>
      <w:r>
        <w:t>Consulted primary guidance: audience setup is separate from conversion instrumentation.</w:t>
      </w:r>
    </w:p>
    <w:p>
      <w:pPr>
        <w:keepNext/>
        <w:spacing w:before="140" w:after="60"/>
      </w:pPr>
      <w:bookmarkStart w:id="224" w:name="ref_R71"/>
      <w:bookmarkEnd w:id="224"/>
      <w:hyperlink r:id="rId83" w:history="1">
        <w:r>
          <w:rPr>
            <w:color w:val="087F83"/>
            <w:b/>
          </w:rPr>
          <w:t>[R71] Google Ads Help — About AI Max for Search campaigns</w:t>
        </w:r>
      </w:hyperlink>
    </w:p>
    <w:p>
      <w:pPr>
        <w:pStyle w:val="ReferenceNote"/>
        <w:keepLines/>
      </w:pPr>
      <w:r>
        <w:t>Official indexed guidance consulted: matching and text/URL automation. Confirm live account/API support; no uplift promise is adopted.</w:t>
      </w:r>
    </w:p>
    <w:p>
      <w:pPr>
        <w:keepNext/>
        <w:spacing w:before="140" w:after="60"/>
      </w:pPr>
      <w:bookmarkStart w:id="225" w:name="ref_R72"/>
      <w:bookmarkEnd w:id="225"/>
      <w:hyperlink r:id="rId84" w:history="1">
        <w:r>
          <w:rPr>
            <w:color w:val="087F83"/>
            <w:b/>
          </w:rPr>
          <w:t>[R72] Google Ads Help — About keyword matching options</w:t>
        </w:r>
      </w:hyperlink>
    </w:p>
    <w:p>
      <w:pPr>
        <w:pStyle w:val="ReferenceNote"/>
        <w:keepLines/>
      </w:pPr>
      <w:r>
        <w:t>Consulted primary guidance: match semantics and distinct negative-keyword behavior.</w:t>
      </w:r>
    </w:p>
    <w:p>
      <w:pPr>
        <w:keepNext/>
        <w:spacing w:before="140" w:after="60"/>
      </w:pPr>
      <w:bookmarkStart w:id="226" w:name="ref_R73"/>
      <w:bookmarkEnd w:id="226"/>
      <w:hyperlink r:id="rId85" w:history="1">
        <w:r>
          <w:rPr>
            <w:color w:val="087F83"/>
            <w:b/>
          </w:rPr>
          <w:t>[R73] Google Ads Help — About Smart Bidding</w:t>
        </w:r>
      </w:hyperlink>
    </w:p>
    <w:p>
      <w:pPr>
        <w:pStyle w:val="ReferenceNote"/>
        <w:keepLines/>
      </w:pPr>
      <w:r>
        <w:t>Consulted primary guidance: current strategy semantics vary by campaign; verify current labels and eligibility.</w:t>
      </w:r>
    </w:p>
    <w:p>
      <w:pPr>
        <w:keepNext/>
        <w:spacing w:before="140" w:after="60"/>
      </w:pPr>
      <w:bookmarkStart w:id="227" w:name="ref_R74"/>
      <w:bookmarkEnd w:id="227"/>
      <w:hyperlink r:id="rId86" w:history="1">
        <w:r>
          <w:rPr>
            <w:color w:val="087F83"/>
            <w:b/>
          </w:rPr>
          <w:t>[R74] Google Ads Help — About average daily budgets</w:t>
        </w:r>
      </w:hyperlink>
    </w:p>
    <w:p>
      <w:pPr>
        <w:pStyle w:val="ReferenceNote"/>
        <w:keepLines/>
      </w:pPr>
      <w:r>
        <w:t>Consulted primary guidance: average daily budget is not a universal hard daily cap; check actual billing rules.</w:t>
      </w:r>
    </w:p>
    <w:p>
      <w:pPr>
        <w:keepNext/>
        <w:spacing w:before="140" w:after="60"/>
      </w:pPr>
      <w:bookmarkStart w:id="228" w:name="ref_R75"/>
      <w:bookmarkEnd w:id="228"/>
      <w:hyperlink r:id="rId87" w:history="1">
        <w:r>
          <w:rPr>
            <w:color w:val="087F83"/>
            <w:b/>
          </w:rPr>
          <w:t>[R75] Google Ads Help — About experiments</w:t>
        </w:r>
      </w:hyperlink>
    </w:p>
    <w:p>
      <w:pPr>
        <w:pStyle w:val="ReferenceNote"/>
        <w:keepLines/>
      </w:pPr>
      <w:r>
        <w:t>Consulted primary guidance: supported campaign experimentation; does not replace statistical design.</w:t>
      </w:r>
    </w:p>
    <w:p>
      <w:pPr>
        <w:keepNext/>
        <w:spacing w:before="140" w:after="60"/>
      </w:pPr>
      <w:bookmarkStart w:id="229" w:name="ref_R76"/>
      <w:bookmarkEnd w:id="229"/>
      <w:hyperlink r:id="rId88" w:history="1">
        <w:r>
          <w:rPr>
            <w:color w:val="087F83"/>
            <w:b/>
          </w:rPr>
          <w:t>[R76] Meta Business Help — Advertising objective selection</w:t>
        </w:r>
      </w:hyperlink>
    </w:p>
    <w:p>
      <w:pPr>
        <w:pStyle w:val="ReferenceNote"/>
        <w:keepLines/>
      </w:pPr>
      <w:r>
        <w:t>ACCOUNT VERIFICATION REQUIRED: public retrieval led to login; current objective/performance-goal settings were not independently confirmed.</w:t>
      </w:r>
    </w:p>
    <w:p>
      <w:pPr>
        <w:keepNext/>
        <w:spacing w:before="140" w:after="60"/>
      </w:pPr>
      <w:bookmarkStart w:id="230" w:name="ref_R77"/>
      <w:bookmarkEnd w:id="230"/>
      <w:hyperlink r:id="rId89" w:history="1">
        <w:r>
          <w:rPr>
            <w:color w:val="087F83"/>
            <w:b/>
          </w:rPr>
          <w:t>[R77] Meta Transparency Center — Advertising Standards</w:t>
        </w:r>
      </w:hyperlink>
    </w:p>
    <w:p>
      <w:pPr>
        <w:pStyle w:val="ReferenceNote"/>
        <w:keepLines/>
      </w:pPr>
      <w:r>
        <w:t>ACCOUNT/POLICY VERIFICATION REQUIRED: public content retrieval failed during preparation; validate applicable restrictions before launch.</w:t>
      </w:r>
    </w:p>
    <w:p>
      <w:pPr>
        <w:keepNext/>
        <w:spacing w:before="140" w:after="60"/>
      </w:pPr>
      <w:bookmarkStart w:id="231" w:name="ref_R78"/>
      <w:bookmarkEnd w:id="231"/>
      <w:hyperlink r:id="rId90" w:history="1">
        <w:r>
          <w:rPr>
            <w:color w:val="087F83"/>
            <w:b/>
          </w:rPr>
          <w:t>[R78] Meta — Customer List Custom Audiences Terms</w:t>
        </w:r>
      </w:hyperlink>
    </w:p>
    <w:p>
      <w:pPr>
        <w:pStyle w:val="ReferenceNote"/>
        <w:keepLines/>
      </w:pPr>
      <w:r>
        <w:t>ACCOUNT VERIFICATION REQUIRED: public retrieval led to login; validate actual terms, data rights and eligibility.</w:t>
      </w:r>
    </w:p>
    <w:p>
      <w:pPr>
        <w:keepNext/>
        <w:spacing w:before="140" w:after="60"/>
      </w:pPr>
      <w:bookmarkStart w:id="232" w:name="ref_R79"/>
      <w:bookmarkEnd w:id="232"/>
      <w:hyperlink r:id="rId91" w:history="1">
        <w:r>
          <w:rPr>
            <w:color w:val="087F83"/>
            <w:b/>
          </w:rPr>
          <w:t>[R79] Meta for Developers — Retrieving lead ads data</w:t>
        </w:r>
      </w:hyperlink>
    </w:p>
    <w:p>
      <w:pPr>
        <w:pStyle w:val="ReferenceNote"/>
        <w:keepLines/>
      </w:pPr>
      <w:r>
        <w:t>ACCOUNT VERIFICATION REQUIRED: detailed retrieval was unavailable; implement only from current supported scopes, callbacks and account tests.</w:t>
      </w:r>
    </w:p>
    <w:p>
      <w:pPr>
        <w:keepNext/>
        <w:spacing w:before="140" w:after="60"/>
      </w:pPr>
      <w:bookmarkStart w:id="233" w:name="ref_R80"/>
      <w:bookmarkEnd w:id="233"/>
      <w:hyperlink r:id="rId92" w:history="1">
        <w:r>
          <w:rPr>
            <w:color w:val="087F83"/>
            <w:b/>
          </w:rPr>
          <w:t>[R80] Meta for Developers — CAPI server event parameters</w:t>
        </w:r>
      </w:hyperlink>
    </w:p>
    <w:p>
      <w:pPr>
        <w:pStyle w:val="ReferenceNote"/>
        <w:keepLines/>
      </w:pPr>
      <w:r>
        <w:t>ACCOUNT VERIFICATION REQUIRED: official result located but complete current parameter specification was not retrieved; do not assume limits or field rules.</w:t>
      </w:r>
    </w:p>
    <w:p>
      <w:pPr>
        <w:keepNext/>
        <w:spacing w:before="140" w:after="60"/>
      </w:pPr>
      <w:bookmarkStart w:id="234" w:name="ref_R81"/>
      <w:bookmarkEnd w:id="234"/>
      <w:hyperlink r:id="rId93" w:history="1">
        <w:r>
          <w:rPr>
            <w:color w:val="087F83"/>
            <w:b/>
          </w:rPr>
          <w:t>[R81] Google Merchant Center Help — Product data specification</w:t>
        </w:r>
      </w:hyperlink>
    </w:p>
    <w:p>
      <w:pPr>
        <w:pStyle w:val="ReferenceNote"/>
        <w:keepLines/>
      </w:pPr>
      <w:r>
        <w:t>Consulted primary specification: item fields and destination validation; product-type requirements vary.</w:t>
      </w:r>
    </w:p>
    <w:p>
      <w:pPr>
        <w:keepNext/>
        <w:spacing w:before="140" w:after="60"/>
      </w:pPr>
      <w:bookmarkStart w:id="235" w:name="ref_R82"/>
      <w:bookmarkEnd w:id="235"/>
      <w:hyperlink r:id="rId94" w:history="1">
        <w:r>
          <w:rPr>
            <w:color w:val="087F83"/>
            <w:b/>
          </w:rPr>
          <w:t>[R82] Google for Developers — Migrate to Merchant API</w:t>
        </w:r>
      </w:hyperlink>
    </w:p>
    <w:p>
      <w:pPr>
        <w:pStyle w:val="ReferenceNote"/>
        <w:keepLines/>
      </w:pPr>
      <w:r>
        <w:t>Consulted primary guidance: current Merchant API migration; verify supported authentication/version at implementation.</w:t>
      </w:r>
    </w:p>
    <w:p>
      <w:pPr>
        <w:keepNext/>
        <w:spacing w:before="140" w:after="60"/>
      </w:pPr>
      <w:bookmarkStart w:id="236" w:name="ref_R83"/>
      <w:bookmarkEnd w:id="236"/>
      <w:hyperlink r:id="rId95" w:history="1">
        <w:r>
          <w:rPr>
            <w:color w:val="087F83"/>
            <w:b/>
          </w:rPr>
          <w:t>[R83] Google Search Central — Faceted navigation management</w:t>
        </w:r>
      </w:hyperlink>
    </w:p>
    <w:p>
      <w:pPr>
        <w:pStyle w:val="ReferenceNote"/>
        <w:keepLines/>
      </w:pPr>
      <w:r>
        <w:t>Consulted primary guidance: faceted URL discovery/crawl controls and meaningful indexable combinations.</w:t>
      </w:r>
    </w:p>
    <w:p>
      <w:pPr>
        <w:keepNext/>
        <w:spacing w:before="140" w:after="60"/>
      </w:pPr>
      <w:bookmarkStart w:id="237" w:name="ref_R84"/>
      <w:bookmarkEnd w:id="237"/>
      <w:hyperlink r:id="rId96" w:history="1">
        <w:r>
          <w:rPr>
            <w:color w:val="087F83"/>
            <w:b/>
          </w:rPr>
          <w:t>[R84] Google Search Central — Pagination and incremental loading</w:t>
        </w:r>
      </w:hyperlink>
    </w:p>
    <w:p>
      <w:pPr>
        <w:pStyle w:val="ReferenceNote"/>
        <w:keepLines/>
      </w:pPr>
      <w:r>
        <w:t>Consulted primary guidance: crawlable pagination and incremental loading; do not rely solely on button interaction.</w:t>
      </w:r>
    </w:p>
    <w:p>
      <w:pPr>
        <w:keepNext/>
        <w:spacing w:before="140" w:after="60"/>
      </w:pPr>
      <w:bookmarkStart w:id="238" w:name="ref_R85"/>
      <w:bookmarkEnd w:id="238"/>
      <w:hyperlink r:id="rId97" w:history="1">
        <w:r>
          <w:rPr>
            <w:color w:val="087F83"/>
            <w:b/>
          </w:rPr>
          <w:t>[R85] Google Search Central — Google Images best practices</w:t>
        </w:r>
      </w:hyperlink>
    </w:p>
    <w:p>
      <w:pPr>
        <w:pStyle w:val="ReferenceNote"/>
        <w:keepLines/>
      </w:pPr>
      <w:r>
        <w:t>Consulted primary guidance: image discovery, context and markup.</w:t>
      </w:r>
    </w:p>
    <w:p>
      <w:pPr>
        <w:keepNext/>
        <w:spacing w:before="140" w:after="60"/>
      </w:pPr>
      <w:bookmarkStart w:id="239" w:name="ref_R86"/>
      <w:bookmarkEnd w:id="239"/>
      <w:hyperlink r:id="rId98" w:history="1">
        <w:r>
          <w:rPr>
            <w:color w:val="087F83"/>
            <w:b/>
          </w:rPr>
          <w:t>[R86] Google Search Central — Video SEO best practices</w:t>
        </w:r>
      </w:hyperlink>
    </w:p>
    <w:p>
      <w:pPr>
        <w:pStyle w:val="ReferenceNote"/>
        <w:keepLines/>
      </w:pPr>
      <w:r>
        <w:t>Consulted primary guidance: video pages, metadata and discoverability; no video-result guarantee.</w:t>
      </w:r>
    </w:p>
    <w:p>
      <w:pPr>
        <w:keepNext/>
        <w:spacing w:before="140" w:after="60"/>
      </w:pPr>
      <w:bookmarkStart w:id="240" w:name="ref_R87"/>
      <w:bookmarkEnd w:id="240"/>
      <w:hyperlink r:id="rId99" w:history="1">
        <w:r>
          <w:rPr>
            <w:color w:val="087F83"/>
            <w:b/>
          </w:rPr>
          <w:t>[R87] Google Business Profile Help — Guidelines for representing your business</w:t>
        </w:r>
      </w:hyperlink>
    </w:p>
    <w:p>
      <w:pPr>
        <w:pStyle w:val="ReferenceNote"/>
        <w:keepLines/>
      </w:pPr>
      <w:r>
        <w:t>Consulted primary guidance: accurate real-business representation and location eligibility.</w:t>
      </w:r>
    </w:p>
    <w:p>
      <w:pPr>
        <w:keepNext/>
        <w:spacing w:before="140" w:after="60"/>
      </w:pPr>
      <w:bookmarkStart w:id="241" w:name="ref_R88"/>
      <w:bookmarkEnd w:id="241"/>
      <w:hyperlink r:id="rId100" w:history="1">
        <w:r>
          <w:rPr>
            <w:color w:val="087F83"/>
            <w:b/>
          </w:rPr>
          <w:t>[R88] Google Search Central — Using the Indexing API</w:t>
        </w:r>
      </w:hyperlink>
    </w:p>
    <w:p>
      <w:pPr>
        <w:pStyle w:val="ReferenceNote"/>
        <w:keepLines/>
      </w:pPr>
      <w:r>
        <w:t>Consulted primary guidance: restricted to eligible JobPosting and BroadcastEvent within VideoObject, not ordinary blog indexing.</w:t>
      </w:r>
    </w:p>
    <w:p>
      <w:pPr>
        <w:keepNext/>
        <w:spacing w:before="140" w:after="60"/>
      </w:pPr>
      <w:bookmarkStart w:id="242" w:name="ref_R89"/>
      <w:bookmarkEnd w:id="242"/>
      <w:hyperlink r:id="rId101" w:history="1">
        <w:r>
          <w:rPr>
            <w:color w:val="087F83"/>
            <w:b/>
          </w:rPr>
          <w:t>[R89] Google Analytics Help — BigQuery export</w:t>
        </w:r>
      </w:hyperlink>
    </w:p>
    <w:p>
      <w:pPr>
        <w:pStyle w:val="ReferenceNote"/>
        <w:keepLines/>
      </w:pPr>
      <w:r>
        <w:t>Consulted primary guidance: export setup and limits; validate data/reporting differences in the actual property.</w:t>
      </w:r>
    </w:p>
    <w:p>
      <w:pPr>
        <w:keepNext/>
        <w:spacing w:before="140" w:after="60"/>
      </w:pPr>
      <w:bookmarkStart w:id="243" w:name="ref_R90"/>
      <w:bookmarkEnd w:id="243"/>
      <w:hyperlink r:id="rId102" w:history="1">
        <w:r>
          <w:rPr>
            <w:color w:val="087F83"/>
            <w:b/>
          </w:rPr>
          <w:t>[R90] California Department of Justice — CCPA and GPC FAQs</w:t>
        </w:r>
      </w:hyperlink>
    </w:p>
    <w:p>
      <w:pPr>
        <w:pStyle w:val="ReferenceNote"/>
        <w:keepLines/>
      </w:pPr>
      <w:r>
        <w:t>Consulted official guidance: covered-business rights/opt-out signal handling; not a worldwide legal opinion.</w:t>
      </w:r>
    </w:p>
    <w:p>
      <w:pPr>
        <w:keepNext/>
        <w:spacing w:before="140" w:after="60"/>
      </w:pPr>
      <w:bookmarkStart w:id="244" w:name="ref_R91"/>
      <w:bookmarkEnd w:id="244"/>
      <w:hyperlink r:id="rId103" w:history="1">
        <w:r>
          <w:rPr>
            <w:color w:val="087F83"/>
            <w:b/>
          </w:rPr>
          <w:t>[R91] OWASP — Third Party JavaScript Management Cheat Sheet</w:t>
        </w:r>
      </w:hyperlink>
    </w:p>
    <w:p>
      <w:pPr>
        <w:pStyle w:val="ReferenceNote"/>
        <w:keepLines/>
      </w:pPr>
      <w:r>
        <w:t>Consulted security guidance: third-party script risk and governance.</w:t>
      </w:r>
    </w:p>
    <w:p>
      <w:pPr>
        <w:keepNext/>
        <w:spacing w:before="140" w:after="60"/>
      </w:pPr>
      <w:bookmarkStart w:id="245" w:name="ref_R92"/>
      <w:bookmarkEnd w:id="245"/>
      <w:hyperlink r:id="rId104" w:history="1">
        <w:r>
          <w:rPr>
            <w:color w:val="087F83"/>
            <w:b/>
          </w:rPr>
          <w:t>[R92] NIST — Secure Software Development Framework</w:t>
        </w:r>
      </w:hyperlink>
    </w:p>
    <w:p>
      <w:pPr>
        <w:pStyle w:val="ReferenceNote"/>
        <w:keepLines/>
      </w:pPr>
      <w:r>
        <w:t>Consulted primary framework: secure development programme; record the adopted standard/version and evidence.</w:t>
      </w:r>
    </w:p>
    <w:p>
      <w:pPr>
        <w:keepNext/>
        <w:spacing w:before="140" w:after="60"/>
      </w:pPr>
      <w:bookmarkStart w:id="246" w:name="ref_R93"/>
      <w:bookmarkEnd w:id="246"/>
      <w:hyperlink r:id="rId105" w:history="1">
        <w:r>
          <w:rPr>
            <w:color w:val="087F83"/>
            <w:b/>
          </w:rPr>
          <w:t>[R93] OWASP — API Security Top 10, 2023 edition</w:t>
        </w:r>
      </w:hyperlink>
    </w:p>
    <w:p>
      <w:pPr>
        <w:pStyle w:val="ReferenceNote"/>
        <w:keepLines/>
      </w:pPr>
      <w:r>
        <w:t>Consulted primary risk catalogue: authorization, resource consumption and integration risks; not an exhaustive test or certification.</w:t>
      </w:r>
    </w:p>
    <w:p>
      <w:pPr>
        <w:keepNext/>
        <w:spacing w:before="140" w:after="60"/>
      </w:pPr>
      <w:bookmarkStart w:id="247" w:name="ref_R94"/>
      <w:bookmarkEnd w:id="247"/>
      <w:hyperlink r:id="rId106" w:history="1">
        <w:r>
          <w:rPr>
            <w:color w:val="087F83"/>
            <w:b/>
          </w:rPr>
          <w:t>[R94] IETF RFC 9700 — Best Current Practice for OAuth 2.0 Security</w:t>
        </w:r>
      </w:hyperlink>
    </w:p>
    <w:p>
      <w:pPr>
        <w:pStyle w:val="ReferenceNote"/>
        <w:keepLines/>
      </w:pPr>
      <w:r>
        <w:t>Consulted primary security specification: supported authorization flows and token/redirect protection.</w:t>
      </w:r>
    </w:p>
    <w:p>
      <w:pPr>
        <w:keepNext/>
        <w:spacing w:before="140" w:after="60"/>
      </w:pPr>
      <w:bookmarkStart w:id="248" w:name="ref_R95"/>
      <w:bookmarkEnd w:id="248"/>
      <w:hyperlink r:id="rId107" w:history="1">
        <w:r>
          <w:rPr>
            <w:color w:val="087F83"/>
            <w:b/>
          </w:rPr>
          <w:t>[R95] PCI SSC — Payment Page Security and Preventing E-Skimming</w:t>
        </w:r>
      </w:hyperlink>
    </w:p>
    <w:p>
      <w:pPr>
        <w:pStyle w:val="ReferenceNote"/>
        <w:keepLines/>
      </w:pPr>
      <w:r>
        <w:t>Consulted official guidance: script authorization, integrity and tamper monitoring; determine actual compliance scope with qualified reviewers.</w:t>
      </w:r>
    </w:p>
    <w:p>
      <w:pPr>
        <w:keepNext/>
        <w:spacing w:before="140" w:after="60"/>
      </w:pPr>
      <w:bookmarkStart w:id="249" w:name="ref_R96"/>
      <w:bookmarkEnd w:id="249"/>
      <w:hyperlink r:id="rId108" w:history="1">
        <w:r>
          <w:rPr>
            <w:color w:val="087F83"/>
            <w:b/>
          </w:rPr>
          <w:t>[R96] PostgreSQL — Continuous archiving and point-in-time recovery</w:t>
        </w:r>
      </w:hyperlink>
    </w:p>
    <w:p>
      <w:pPr>
        <w:pStyle w:val="ReferenceNote"/>
        <w:keepLines/>
      </w:pPr>
      <w:r>
        <w:t>Consulted primary documentation: base backup/WAL recovery design; a real restore test remains required.</w:t>
      </w:r>
    </w:p>
    <w:p>
      <w:pPr>
        <w:keepNext/>
        <w:spacing w:before="140" w:after="60"/>
      </w:pPr>
      <w:bookmarkStart w:id="250" w:name="ref_R97"/>
      <w:bookmarkEnd w:id="250"/>
      <w:hyperlink r:id="rId109" w:history="1">
        <w:r>
          <w:rPr>
            <w:color w:val="087F83"/>
            <w:b/>
          </w:rPr>
          <w:t>[R97] Google Search Central — Build and submit a sitemap</w:t>
        </w:r>
      </w:hyperlink>
    </w:p>
    <w:p>
      <w:pPr>
        <w:pStyle w:val="ReferenceNote"/>
        <w:keepLines/>
      </w:pPr>
      <w:r>
        <w:t>Consulted primary guidance: sitemap generation/submission and current limits; submission does not guarantee indexing.</w:t>
      </w:r>
    </w:p>
    <w:p>
      <w:pPr>
        <w:keepNext/>
        <w:spacing w:before="140" w:after="60"/>
      </w:pPr>
      <w:bookmarkStart w:id="251" w:name="ref_R98"/>
      <w:bookmarkEnd w:id="251"/>
      <w:hyperlink r:id="rId110" w:history="1">
        <w:r>
          <w:rPr>
            <w:color w:val="087F83"/>
            <w:b/>
          </w:rPr>
          <w:t>[R98] FTC — Consumer Reviews and Testimonials Rule: Questions and Answers</w:t>
        </w:r>
      </w:hyperlink>
    </w:p>
    <w:p>
      <w:pPr>
        <w:pStyle w:val="ReferenceNote"/>
        <w:keepLines/>
      </w:pPr>
      <w:r>
        <w:t>Consulted official staff guidance: deceptive reviews/testimonials and context-specific obligations; obtain applicable legal review.</w:t>
      </w:r>
    </w:p>
    <w:p>
      <w:pPr>
        <w:keepNext/>
        <w:spacing w:before="140" w:after="60"/>
      </w:pPr>
      <w:bookmarkStart w:id="252" w:name="ref_R99"/>
      <w:bookmarkEnd w:id="252"/>
      <w:hyperlink r:id="rId111" w:history="1">
        <w:r>
          <w:rPr>
            <w:color w:val="087F83"/>
            <w:b/>
          </w:rPr>
          <w:t>[R99] IETF RFC 9110 — HTTP Semantics</w:t>
        </w:r>
      </w:hyperlink>
    </w:p>
    <w:p>
      <w:pPr>
        <w:pStyle w:val="ReferenceNote"/>
        <w:keepLines/>
      </w:pPr>
      <w:r>
        <w:t>Consulted primary specification: status, validators and HTTP method semantics; apply through actual API/route tests.</w:t>
      </w:r>
    </w:p>
    <w:p>
      <w:pPr>
        <w:keepNext/>
        <w:spacing w:before="140" w:after="60"/>
      </w:pPr>
      <w:bookmarkStart w:id="253" w:name="ref_R100"/>
      <w:bookmarkEnd w:id="253"/>
      <w:hyperlink r:id="rId112" w:history="1">
        <w:r>
          <w:rPr>
            <w:color w:val="087F83"/>
            <w:b/>
          </w:rPr>
          <w:t>[R100] OpenFeature — Specification introduction</w:t>
        </w:r>
      </w:hyperlink>
    </w:p>
    <w:p>
      <w:pPr>
        <w:pStyle w:val="ReferenceNote"/>
        <w:keepLines/>
      </w:pPr>
      <w:r>
        <w:t>Consulted primary project specification: vendor-neutral feature evaluation; not authorization or consent.</w:t>
      </w:r>
    </w:p>
    <w:p>
      <w:pPr>
        <w:keepNext/>
        <w:spacing w:before="140" w:after="60"/>
      </w:pPr>
      <w:bookmarkStart w:id="254" w:name="ref_R101"/>
      <w:bookmarkEnd w:id="254"/>
      <w:hyperlink r:id="rId113" w:history="1">
        <w:r>
          <w:rPr>
            <w:color w:val="087F83"/>
            <w:b/>
          </w:rPr>
          <w:t>[R101] OpenAPI Initiative — OpenAPI Specification</w:t>
        </w:r>
      </w:hyperlink>
    </w:p>
    <w:p>
      <w:pPr>
        <w:pStyle w:val="ReferenceNote"/>
        <w:keepLines/>
      </w:pPr>
      <w:r>
        <w:t>Consulted primary specification: pin a version compatible with the chosen tools; generated contracts need runtime tests.</w:t>
      </w:r>
    </w:p>
    <w:p>
      <w:pPr>
        <w:keepNext/>
        <w:spacing w:before="140" w:after="60"/>
      </w:pPr>
      <w:bookmarkStart w:id="255" w:name="ref_R102"/>
      <w:bookmarkEnd w:id="255"/>
      <w:hyperlink r:id="rId114" w:history="1">
        <w:r>
          <w:rPr>
            <w:color w:val="087F83"/>
            <w:b/>
          </w:rPr>
          <w:t>[R102] Schema.org — Full schema hierarchy</w:t>
        </w:r>
      </w:hyperlink>
    </w:p>
    <w:p>
      <w:pPr>
        <w:pStyle w:val="ReferenceNote"/>
        <w:keepLines/>
      </w:pPr>
      <w:r>
        <w:t>Consulted vocabulary: broader than supported Google rich-result features.</w:t>
      </w:r>
    </w:p>
    <w:p>
      <w:pPr>
        <w:keepNext/>
        <w:spacing w:before="140" w:after="60"/>
      </w:pPr>
      <w:bookmarkStart w:id="256" w:name="ref_R103"/>
      <w:bookmarkEnd w:id="256"/>
      <w:hyperlink r:id="rId115" w:history="1">
        <w:r>
          <w:rPr>
            <w:color w:val="087F83"/>
            <w:b/>
          </w:rPr>
          <w:t>[R103] Telegram — Bot API</w:t>
        </w:r>
      </w:hyperlink>
    </w:p>
    <w:p>
      <w:pPr>
        <w:pStyle w:val="ReferenceNote"/>
        <w:keepLines/>
      </w:pPr>
      <w:r>
        <w:t>Consulted primary API documentation: explicit messaging/update mechanisms; verify enabled bot/webhook/contact behavior.</w:t>
      </w:r>
    </w:p>
    <w:p>
      <w:pPr>
        <w:keepNext/>
        <w:spacing w:before="140" w:after="60"/>
      </w:pPr>
      <w:bookmarkStart w:id="257" w:name="ref_R104"/>
      <w:bookmarkEnd w:id="257"/>
      <w:hyperlink r:id="rId116" w:history="1">
        <w:r>
          <w:rPr>
            <w:color w:val="087F83"/>
            <w:b/>
          </w:rPr>
          <w:t>[R104] WhatsApp Business — Business Messaging Policy</w:t>
        </w:r>
      </w:hyperlink>
    </w:p>
    <w:p>
      <w:pPr>
        <w:pStyle w:val="ReferenceNote"/>
        <w:keepLines/>
      </w:pPr>
      <w:r>
        <w:t>Consulted official policy: notices/permissions, message expectations and opt-outs; account-specific messaging/calling constraints remain verification tasks.</w:t>
      </w:r>
    </w:p>
    <w:p>
      <w:pPr>
        <w:keepNext/>
        <w:spacing w:before="140" w:after="60"/>
      </w:pPr>
      <w:bookmarkStart w:id="258" w:name="ref_R105"/>
      <w:bookmarkEnd w:id="258"/>
      <w:hyperlink r:id="rId117" w:history="1">
        <w:r>
          <w:rPr>
            <w:color w:val="087F83"/>
            <w:b/>
          </w:rPr>
          <w:t>[R105] Google Search Console API — Getting your performance data</w:t>
        </w:r>
      </w:hyperlink>
    </w:p>
    <w:p>
      <w:pPr>
        <w:pStyle w:val="ReferenceNote"/>
        <w:keepLines/>
      </w:pPr>
      <w:r>
        <w:t>Consulted primary guidance: extracting performance data and understanding aggregation/detail limits.</w:t>
      </w:r>
    </w:p>
    <w:p>
      <w:pPr>
        <w:keepNext/>
        <w:spacing w:before="140" w:after="60"/>
      </w:pPr>
      <w:bookmarkStart w:id="259" w:name="ref_R106"/>
      <w:bookmarkEnd w:id="259"/>
      <w:hyperlink r:id="rId118" w:history="1">
        <w:r>
          <w:rPr>
            <w:color w:val="087F83"/>
            <w:b/>
          </w:rPr>
          <w:t>[R106] IAB Tech Lab — ads.txt Authorized Digital Sellers</w:t>
        </w:r>
      </w:hyperlink>
    </w:p>
    <w:p>
      <w:pPr>
        <w:pStyle w:val="ReferenceNote"/>
        <w:keepLines/>
      </w:pPr>
      <w:r>
        <w:t>Consulted primary initiative/specification overview: applies to selected publisher ad inventory, not simply buying ads.</w:t>
      </w:r>
    </w:p>
    <w:p>
      <w:pPr>
        <w:pStyle w:val="Heading2"/>
        <w:keepNext/>
      </w:pPr>
      <w:r>
        <w:t>Final expansion references | R107–R128</w:t>
      </w:r>
    </w:p>
    <w:p>
      <w:pPr>
        <w:keepNext/>
        <w:spacing w:before="120" w:after="60"/>
      </w:pPr>
      <w:r/>
      <w:bookmarkStart w:id="527" w:name="ref_R107"/>
      <w:bookmarkEnd w:id="527"/>
      <w:r>
        <w:rPr>
          <w:b/>
          <w:color w:val="087F83"/>
        </w:rPr>
        <w:t xml:space="preserve">[R107] </w:t>
      </w:r>
      <w:hyperlink r:id="rId119">
        <w:r>
          <w:rPr>
            <w:color w:val="163349"/>
            <w:rFonts w:ascii="Lato" w:hAnsi="Lato"/>
            <w:sz w:val="20"/>
            <w:b/>
          </w:rPr>
          <w:t xml:space="preserve">Google Search Central — AI optimization guidance</w:t>
        </w:r>
      </w:hyperlink>
    </w:p>
    <w:p>
      <w:pPr>
        <w:pStyle w:val="SmallNote"/>
        <w:spacing w:after="80"/>
      </w:pPr>
      <w:r>
        <w:t>Consulted primary guidance: ordinary eligibility, Search Console inclusion, no special AI-file ranking requirement.</w:t>
      </w:r>
    </w:p>
    <w:p>
      <w:pPr>
        <w:keepNext/>
        <w:spacing w:before="120" w:after="60"/>
      </w:pPr>
      <w:r/>
      <w:bookmarkStart w:id="528" w:name="ref_R108"/>
      <w:bookmarkEnd w:id="528"/>
      <w:r>
        <w:rPr>
          <w:b/>
          <w:color w:val="087F83"/>
        </w:rPr>
        <w:t xml:space="preserve">[R108] </w:t>
      </w:r>
      <w:hyperlink r:id="rId120">
        <w:r>
          <w:rPr>
            <w:color w:val="163349"/>
            <w:rFonts w:ascii="Lato" w:hAnsi="Lato"/>
            <w:sz w:val="20"/>
            <w:b/>
          </w:rPr>
          <w:t xml:space="preserve">Search Console Help — Generative AI performance report</w:t>
        </w:r>
      </w:hyperlink>
    </w:p>
    <w:p>
      <w:pPr>
        <w:pStyle w:val="SmallNote"/>
        <w:spacing w:after="80"/>
      </w:pPr>
      <w:r>
        <w:t>Consulted primary guidance: report scope, availability, dimensions and timezone; actual property evidence remains a project check.</w:t>
      </w:r>
    </w:p>
    <w:p>
      <w:pPr>
        <w:keepNext/>
        <w:spacing w:before="120" w:after="60"/>
      </w:pPr>
      <w:r/>
      <w:bookmarkStart w:id="529" w:name="ref_R109"/>
      <w:bookmarkEnd w:id="529"/>
      <w:r>
        <w:rPr>
          <w:b/>
          <w:color w:val="087F83"/>
        </w:rPr>
        <w:t xml:space="preserve">[R109] </w:t>
      </w:r>
      <w:hyperlink r:id="rId121">
        <w:r>
          <w:rPr>
            <w:color w:val="163349"/>
            <w:rFonts w:ascii="Lato" w:hAnsi="Lato"/>
            <w:sz w:val="20"/>
            <w:b/>
          </w:rPr>
          <w:t xml:space="preserve">Google Search Central — Preferred sources</w:t>
        </w:r>
      </w:hyperlink>
    </w:p>
    <w:p>
      <w:pPr>
        <w:pStyle w:val="SmallNote"/>
        <w:spacing w:after="80"/>
      </w:pPr>
      <w:r>
        <w:t>Consulted primary guidance: eligible source identity and user-controlled selection; not a universal ranking promise.</w:t>
      </w:r>
    </w:p>
    <w:p>
      <w:pPr>
        <w:keepNext/>
        <w:spacing w:before="120" w:after="60"/>
      </w:pPr>
      <w:r/>
      <w:bookmarkStart w:id="530" w:name="ref_R110"/>
      <w:bookmarkEnd w:id="530"/>
      <w:r>
        <w:rPr>
          <w:b/>
          <w:color w:val="087F83"/>
        </w:rPr>
        <w:t xml:space="preserve">[R110] </w:t>
      </w:r>
      <w:hyperlink r:id="rId122">
        <w:r>
          <w:rPr>
            <w:color w:val="163349"/>
            <w:rFonts w:ascii="Lato" w:hAnsi="Lato"/>
            <w:sz w:val="20"/>
            <w:b/>
          </w:rPr>
          <w:t xml:space="preserve">Google Search Central — Regional search experiences</w:t>
        </w:r>
      </w:hyperlink>
    </w:p>
    <w:p>
      <w:pPr>
        <w:pStyle w:val="SmallNote"/>
        <w:spacing w:after="80"/>
      </w:pPr>
      <w:r>
        <w:t>Consulted primary guidance: region/query-specific features and eligibility.</w:t>
      </w:r>
    </w:p>
    <w:p>
      <w:pPr>
        <w:keepNext/>
        <w:spacing w:before="120" w:after="60"/>
      </w:pPr>
      <w:r/>
      <w:bookmarkStart w:id="531" w:name="ref_R111"/>
      <w:bookmarkEnd w:id="531"/>
      <w:r>
        <w:rPr>
          <w:b/>
          <w:color w:val="087F83"/>
        </w:rPr>
        <w:t xml:space="preserve">[R111] </w:t>
      </w:r>
      <w:hyperlink r:id="rId123">
        <w:r>
          <w:rPr>
            <w:color w:val="163349"/>
            <w:rFonts w:ascii="Lato" w:hAnsi="Lato"/>
            <w:sz w:val="20"/>
            <w:b/>
          </w:rPr>
          <w:t xml:space="preserve">IndexNow — Protocol documentation</w:t>
        </w:r>
      </w:hyperlink>
    </w:p>
    <w:p>
      <w:pPr>
        <w:pStyle w:val="SmallNote"/>
        <w:spacing w:after="80"/>
      </w:pPr>
      <w:r>
        <w:t>Consulted primary specification: URL notifications and ownership validation; acceptance is not indexing.</w:t>
      </w:r>
    </w:p>
    <w:p>
      <w:pPr>
        <w:keepNext/>
        <w:spacing w:before="120" w:after="60"/>
      </w:pPr>
      <w:r/>
      <w:bookmarkStart w:id="532" w:name="ref_R112"/>
      <w:bookmarkEnd w:id="532"/>
      <w:r>
        <w:rPr>
          <w:b/>
          <w:color w:val="087F83"/>
        </w:rPr>
        <w:t xml:space="preserve">[R112] </w:t>
      </w:r>
      <w:hyperlink r:id="rId124">
        <w:r>
          <w:rPr>
            <w:color w:val="163349"/>
            <w:rFonts w:ascii="Lato" w:hAnsi="Lato"/>
            <w:sz w:val="20"/>
            <w:b/>
          </w:rPr>
          <w:t xml:space="preserve">Google Search Central — Generative AI content guidance</w:t>
        </w:r>
      </w:hyperlink>
    </w:p>
    <w:p>
      <w:pPr>
        <w:pStyle w:val="SmallNote"/>
        <w:spacing w:after="80"/>
      </w:pPr>
      <w:r>
        <w:t>Consulted primary guidance updated 1 October 2026: review of generated content/metadata and Merchant AI provenance requirements.</w:t>
      </w:r>
    </w:p>
    <w:p>
      <w:pPr>
        <w:keepNext/>
        <w:spacing w:before="120" w:after="60"/>
      </w:pPr>
      <w:r/>
      <w:bookmarkStart w:id="533" w:name="ref_R113"/>
      <w:bookmarkEnd w:id="533"/>
      <w:r>
        <w:rPr>
          <w:b/>
          <w:color w:val="087F83"/>
        </w:rPr>
        <w:t xml:space="preserve">[R113] </w:t>
      </w:r>
      <w:hyperlink r:id="rId125">
        <w:r>
          <w:rPr>
            <w:color w:val="163349"/>
            <w:rFonts w:ascii="Lato" w:hAnsi="Lato"/>
            <w:sz w:val="20"/>
            <w:b/>
          </w:rPr>
          <w:t xml:space="preserve">web.dev — Build agent-friendly websites</w:t>
        </w:r>
      </w:hyperlink>
    </w:p>
    <w:p>
      <w:pPr>
        <w:pStyle w:val="SmallNote"/>
        <w:spacing w:after="80"/>
      </w:pPr>
      <w:r>
        <w:t>Consulted primary guidance: semantic interfaces and evolving agent mechanisms; no authorization or ranking bypass.</w:t>
      </w:r>
    </w:p>
    <w:p>
      <w:pPr>
        <w:keepNext/>
        <w:spacing w:before="120" w:after="60"/>
      </w:pPr>
      <w:r/>
      <w:bookmarkStart w:id="534" w:name="ref_R114"/>
      <w:bookmarkEnd w:id="534"/>
      <w:r>
        <w:rPr>
          <w:b/>
          <w:color w:val="087F83"/>
        </w:rPr>
        <w:t xml:space="preserve">[R114] </w:t>
      </w:r>
      <w:hyperlink r:id="rId22">
        <w:r>
          <w:rPr>
            <w:color w:val="163349"/>
            <w:rFonts w:ascii="Lato" w:hAnsi="Lato"/>
            <w:sz w:val="20"/>
            <w:b/>
          </w:rPr>
          <w:t xml:space="preserve">Google Search Central — Documentation updates</w:t>
        </w:r>
      </w:hyperlink>
    </w:p>
    <w:p>
      <w:pPr>
        <w:pStyle w:val="SmallNote"/>
        <w:spacing w:after="80"/>
      </w:pPr>
      <w:r>
        <w:t>Consulted update register: changing search features, dates and links to controlling guidance.</w:t>
      </w:r>
    </w:p>
    <w:p>
      <w:pPr>
        <w:keepNext/>
        <w:spacing w:before="120" w:after="60"/>
      </w:pPr>
      <w:r/>
      <w:bookmarkStart w:id="535" w:name="ref_R115"/>
      <w:bookmarkEnd w:id="535"/>
      <w:r>
        <w:rPr>
          <w:b/>
          <w:color w:val="087F83"/>
        </w:rPr>
        <w:t xml:space="preserve">[R115] </w:t>
      </w:r>
      <w:hyperlink r:id="rId126">
        <w:r>
          <w:rPr>
            <w:color w:val="163349"/>
            <w:rFonts w:ascii="Lato" w:hAnsi="Lato"/>
            <w:sz w:val="20"/>
            <w:b/>
          </w:rPr>
          <w:t xml:space="preserve">Google Ads Help — About Ad Rank</w:t>
        </w:r>
      </w:hyperlink>
    </w:p>
    <w:p>
      <w:pPr>
        <w:pStyle w:val="SmallNote"/>
        <w:spacing w:after="80"/>
      </w:pPr>
      <w:r>
        <w:t>Consulted primary guidance: auction factors and distinct top-placement metrics. Quality Score guidance R01 was also rechecked.</w:t>
      </w:r>
    </w:p>
    <w:p>
      <w:pPr>
        <w:keepNext/>
        <w:spacing w:before="120" w:after="60"/>
      </w:pPr>
      <w:r/>
      <w:bookmarkStart w:id="536" w:name="ref_R116"/>
      <w:bookmarkEnd w:id="536"/>
      <w:r>
        <w:rPr>
          <w:b/>
          <w:color w:val="087F83"/>
        </w:rPr>
        <w:t xml:space="preserve">[R116] </w:t>
      </w:r>
      <w:hyperlink r:id="rId127">
        <w:r>
          <w:rPr>
            <w:color w:val="163349"/>
            <w:rFonts w:ascii="Lato" w:hAnsi="Lato"/>
            <w:sz w:val="20"/>
            <w:b/>
          </w:rPr>
          <w:t xml:space="preserve">Google Ads Help — Target impression share bidding</w:t>
        </w:r>
      </w:hyperlink>
    </w:p>
    <w:p>
      <w:pPr>
        <w:pStyle w:val="SmallNote"/>
        <w:spacing w:after="80"/>
      </w:pPr>
      <w:r>
        <w:t>Consulted primary guidance: placement target and CPC cap; visibility differs from profitability.</w:t>
      </w:r>
    </w:p>
    <w:p>
      <w:pPr>
        <w:keepNext/>
        <w:spacing w:before="120" w:after="60"/>
      </w:pPr>
      <w:r/>
      <w:bookmarkStart w:id="537" w:name="ref_R117"/>
      <w:bookmarkEnd w:id="537"/>
      <w:r>
        <w:rPr>
          <w:b/>
          <w:color w:val="087F83"/>
        </w:rPr>
        <w:t xml:space="preserve">[R117] </w:t>
      </w:r>
      <w:hyperlink r:id="rId128">
        <w:r>
          <w:rPr>
            <w:color w:val="163349"/>
            <w:rFonts w:ascii="Lato" w:hAnsi="Lato"/>
            <w:sz w:val="20"/>
            <w:b/>
          </w:rPr>
          <w:t xml:space="preserve">Google Ads Help — Primary and secondary conversion actions</w:t>
        </w:r>
      </w:hyperlink>
    </w:p>
    <w:p>
      <w:pPr>
        <w:pStyle w:val="SmallNote"/>
        <w:spacing w:after="80"/>
      </w:pPr>
      <w:r>
        <w:t>Consulted primary guidance: custom-goal exception requires effective campaign-goal inspection.</w:t>
      </w:r>
    </w:p>
    <w:p>
      <w:pPr>
        <w:keepNext/>
        <w:spacing w:before="120" w:after="60"/>
      </w:pPr>
      <w:r/>
      <w:bookmarkStart w:id="538" w:name="ref_R118"/>
      <w:bookmarkEnd w:id="538"/>
      <w:r>
        <w:rPr>
          <w:b/>
          <w:color w:val="087F83"/>
        </w:rPr>
        <w:t xml:space="preserve">[R118] </w:t>
      </w:r>
      <w:hyperlink r:id="rId129">
        <w:r>
          <w:rPr>
            <w:color w:val="163349"/>
            <w:rFonts w:ascii="Lato" w:hAnsi="Lato"/>
            <w:sz w:val="20"/>
            <w:b/>
          </w:rPr>
          <w:t xml:space="preserve">Meta Business Help — About ad auctions</w:t>
        </w:r>
      </w:hyperlink>
    </w:p>
    <w:p>
      <w:pPr>
        <w:pStyle w:val="SmallNote"/>
        <w:spacing w:after="80"/>
      </w:pPr>
      <w:r>
        <w:t>Limited public search material; full page redirected to login. Confirm current auction/control guidance through authorized official account access.</w:t>
      </w:r>
    </w:p>
    <w:p>
      <w:pPr>
        <w:keepNext/>
        <w:spacing w:before="120" w:after="60"/>
      </w:pPr>
      <w:r/>
      <w:bookmarkStart w:id="539" w:name="ref_R119"/>
      <w:bookmarkEnd w:id="539"/>
      <w:r>
        <w:rPr>
          <w:b/>
          <w:color w:val="087F83"/>
        </w:rPr>
        <w:t xml:space="preserve">[R119] </w:t>
      </w:r>
      <w:hyperlink r:id="rId26">
        <w:r>
          <w:rPr>
            <w:color w:val="163349"/>
            <w:rFonts w:ascii="Lato" w:hAnsi="Lato"/>
            <w:sz w:val="20"/>
            <w:b/>
          </w:rPr>
          <w:t xml:space="preserve">Google Ads API — Offline conversion integration restrictions</w:t>
        </w:r>
      </w:hyperlink>
    </w:p>
    <w:p>
      <w:pPr>
        <w:pStyle w:val="SmallNote"/>
        <w:spacing w:after="80"/>
      </w:pPr>
      <w:r>
        <w:t>Consulted primary guidance: legacy restriction, Data Manager route and Cloud-project authorization transition; verify the selected account setup.</w:t>
      </w:r>
    </w:p>
    <w:p>
      <w:pPr>
        <w:keepNext/>
        <w:spacing w:before="120" w:after="60"/>
      </w:pPr>
      <w:r/>
      <w:bookmarkStart w:id="540" w:name="ref_R120"/>
      <w:bookmarkEnd w:id="540"/>
      <w:r>
        <w:rPr>
          <w:b/>
          <w:color w:val="087F83"/>
        </w:rPr>
        <w:t xml:space="preserve">[R120] </w:t>
      </w:r>
      <w:hyperlink r:id="rId130">
        <w:r>
          <w:rPr>
            <w:color w:val="163349"/>
            <w:rFonts w:ascii="Lato" w:hAnsi="Lato"/>
            <w:sz w:val="20"/>
            <w:b/>
          </w:rPr>
          <w:t xml:space="preserve">Google Data Manager — GA4 recommended/custom event ingestion</w:t>
        </w:r>
      </w:hyperlink>
    </w:p>
    <w:p>
      <w:pPr>
        <w:pStyle w:val="SmallNote"/>
        <w:spacing w:after="80"/>
      </w:pPr>
      <w:r>
        <w:t>Consulted primary guidance: property/stream access, event fields and timing. No parallel duplicate sender should be introduced.</w:t>
      </w:r>
    </w:p>
    <w:p>
      <w:pPr>
        <w:keepNext/>
        <w:spacing w:before="120" w:after="60"/>
      </w:pPr>
      <w:r/>
      <w:bookmarkStart w:id="541" w:name="ref_R121"/>
      <w:bookmarkEnd w:id="541"/>
      <w:r>
        <w:rPr>
          <w:b/>
          <w:color w:val="087F83"/>
        </w:rPr>
        <w:t xml:space="preserve">[R121] </w:t>
      </w:r>
      <w:hyperlink r:id="rId131">
        <w:r>
          <w:rPr>
            <w:color w:val="163349"/>
            <w:rFonts w:ascii="Lato" w:hAnsi="Lato"/>
            <w:sz w:val="20"/>
            <w:b/>
          </w:rPr>
          <w:t xml:space="preserve">Meta official Node.js Business SDK — ServerEvent implementation</w:t>
        </w:r>
      </w:hyperlink>
    </w:p>
    <w:p>
      <w:pPr>
        <w:pStyle w:val="SmallNote"/>
        <w:spacing w:after="80"/>
      </w:pPr>
      <w:r>
        <w:t>Consulted official source code on mutable main: event mapping and request-context enrichment. Pin and test the chosen release; SDK code is not account-policy approval.</w:t>
      </w:r>
    </w:p>
    <w:p>
      <w:pPr>
        <w:keepNext/>
        <w:spacing w:before="120" w:after="60"/>
      </w:pPr>
      <w:r/>
      <w:bookmarkStart w:id="542" w:name="ref_R122"/>
      <w:bookmarkEnd w:id="542"/>
      <w:r>
        <w:rPr>
          <w:b/>
          <w:color w:val="087F83"/>
        </w:rPr>
        <w:t xml:space="preserve">[R122] </w:t>
      </w:r>
      <w:hyperlink r:id="rId132">
        <w:r>
          <w:rPr>
            <w:color w:val="163349"/>
            <w:rFonts w:ascii="Lato" w:hAnsi="Lato"/>
            <w:sz w:val="20"/>
            <w:b/>
          </w:rPr>
          <w:t xml:space="preserve">Meta official Node.js Business SDK — UserData implementation</w:t>
        </w:r>
      </w:hyperlink>
    </w:p>
    <w:p>
      <w:pPr>
        <w:pStyle w:val="SmallNote"/>
        <w:spacing w:after="80"/>
      </w:pPr>
      <w:r>
        <w:t>Consulted official source code on mutable main: per-field normalization/serialization. Verify supported contract and purpose before actual use.</w:t>
      </w:r>
    </w:p>
    <w:p>
      <w:pPr>
        <w:keepNext/>
        <w:spacing w:before="120" w:after="60"/>
      </w:pPr>
      <w:r/>
      <w:bookmarkStart w:id="543" w:name="ref_R123"/>
      <w:bookmarkEnd w:id="543"/>
      <w:r>
        <w:rPr>
          <w:b/>
          <w:color w:val="087F83"/>
        </w:rPr>
        <w:t xml:space="preserve">[R123] </w:t>
      </w:r>
      <w:hyperlink r:id="rId133">
        <w:r>
          <w:rPr>
            <w:color w:val="163349"/>
            <w:rFonts w:ascii="Lato" w:hAnsi="Lato"/>
            <w:sz w:val="20"/>
            <w:b/>
          </w:rPr>
          <w:t xml:space="preserve">Google Crawling Infrastructure — robots.txt specification</w:t>
        </w:r>
      </w:hyperlink>
    </w:p>
    <w:p>
      <w:pPr>
        <w:pStyle w:val="SmallNote"/>
        <w:spacing w:after="80"/>
      </w:pPr>
      <w:r>
        <w:t>Consulted primary guidance: robots response handling, scope and parsing; actual edge behavior requires tests.</w:t>
      </w:r>
    </w:p>
    <w:p>
      <w:pPr>
        <w:keepNext/>
        <w:spacing w:before="120" w:after="60"/>
      </w:pPr>
      <w:r/>
      <w:bookmarkStart w:id="544" w:name="ref_R124"/>
      <w:bookmarkEnd w:id="544"/>
      <w:r>
        <w:rPr>
          <w:b/>
          <w:color w:val="087F83"/>
        </w:rPr>
        <w:t xml:space="preserve">[R124] </w:t>
      </w:r>
      <w:hyperlink r:id="rId134">
        <w:r>
          <w:rPr>
            <w:color w:val="163349"/>
            <w:rFonts w:ascii="Lato" w:hAnsi="Lato"/>
            <w:sz w:val="20"/>
            <w:b/>
          </w:rPr>
          <w:t xml:space="preserve">web.dev — Back/forward cache</w:t>
        </w:r>
      </w:hyperlink>
    </w:p>
    <w:p>
      <w:pPr>
        <w:pStyle w:val="SmallNote"/>
        <w:spacing w:after="80"/>
      </w:pPr>
      <w:r>
        <w:t>Consulted primary guidance: restoration lifecycle, analytics and sensitive-state refresh.</w:t>
      </w:r>
    </w:p>
    <w:p>
      <w:pPr>
        <w:keepNext/>
        <w:spacing w:before="120" w:after="60"/>
      </w:pPr>
      <w:r/>
      <w:bookmarkStart w:id="545" w:name="ref_R125"/>
      <w:bookmarkEnd w:id="545"/>
      <w:r>
        <w:rPr>
          <w:b/>
          <w:color w:val="087F83"/>
        </w:rPr>
        <w:t xml:space="preserve">[R125] </w:t>
      </w:r>
      <w:hyperlink r:id="rId135">
        <w:r>
          <w:rPr>
            <w:color w:val="163349"/>
            <w:rFonts w:ascii="Lato" w:hAnsi="Lato"/>
            <w:sz w:val="20"/>
            <w:b/>
          </w:rPr>
          <w:t xml:space="preserve">MDN — Document.prerendering</w:t>
        </w:r>
      </w:hyperlink>
    </w:p>
    <w:p>
      <w:pPr>
        <w:pStyle w:val="SmallNote"/>
        <w:spacing w:after="80"/>
      </w:pPr>
      <w:r>
        <w:t>Consulted browser documentation: feature detection and activation-aware behavior.</w:t>
      </w:r>
    </w:p>
    <w:p>
      <w:pPr>
        <w:keepNext/>
        <w:spacing w:before="120" w:after="60"/>
      </w:pPr>
      <w:r/>
      <w:bookmarkStart w:id="546" w:name="ref_R126"/>
      <w:bookmarkEnd w:id="546"/>
      <w:r>
        <w:rPr>
          <w:b/>
          <w:color w:val="087F83"/>
        </w:rPr>
        <w:t xml:space="preserve">[R126] </w:t>
      </w:r>
      <w:hyperlink r:id="rId136">
        <w:r>
          <w:rPr>
            <w:color w:val="163349"/>
            <w:rFonts w:ascii="Lato" w:hAnsi="Lato"/>
            <w:sz w:val="20"/>
            <w:b/>
          </w:rPr>
          <w:t xml:space="preserve">MDN — Document.visibilityState</w:t>
        </w:r>
      </w:hyperlink>
    </w:p>
    <w:p>
      <w:pPr>
        <w:pStyle w:val="SmallNote"/>
        <w:spacing w:after="80"/>
      </w:pPr>
      <w:r>
        <w:t>Consulted browser documentation: visible/hidden state, not proof of reading.</w:t>
      </w:r>
    </w:p>
    <w:p>
      <w:pPr>
        <w:keepNext/>
        <w:spacing w:before="120" w:after="60"/>
      </w:pPr>
      <w:r/>
      <w:bookmarkStart w:id="547" w:name="ref_R127"/>
      <w:bookmarkEnd w:id="547"/>
      <w:r>
        <w:rPr>
          <w:b/>
          <w:color w:val="087F83"/>
        </w:rPr>
        <w:t xml:space="preserve">[R127] </w:t>
      </w:r>
      <w:hyperlink r:id="rId41">
        <w:r>
          <w:rPr>
            <w:color w:val="163349"/>
            <w:rFonts w:ascii="Lato" w:hAnsi="Lato"/>
            <w:sz w:val="20"/>
            <w:b/>
          </w:rPr>
          <w:t xml:space="preserve">W3C — WCAG 2.2</w:t>
        </w:r>
      </w:hyperlink>
    </w:p>
    <w:p>
      <w:pPr>
        <w:pStyle w:val="SmallNote"/>
        <w:spacing w:after="80"/>
      </w:pPr>
      <w:r>
        <w:t>Consulted normative accessibility guidance. The selected conformance scope requires actual evaluation.</w:t>
      </w:r>
    </w:p>
    <w:p>
      <w:pPr>
        <w:keepNext/>
        <w:spacing w:before="120" w:after="60"/>
      </w:pPr>
      <w:r/>
      <w:bookmarkStart w:id="548" w:name="ref_R128"/>
      <w:bookmarkEnd w:id="548"/>
      <w:r>
        <w:rPr>
          <w:b/>
          <w:color w:val="087F83"/>
        </w:rPr>
        <w:t xml:space="preserve">[R128] </w:t>
      </w:r>
      <w:hyperlink r:id="rId44">
        <w:r>
          <w:rPr>
            <w:color w:val="163349"/>
            <w:rFonts w:ascii="Lato" w:hAnsi="Lato"/>
            <w:sz w:val="20"/>
            <w:b/>
          </w:rPr>
          <w:t xml:space="preserve">OWASP — Application Security Verification Standard</w:t>
        </w:r>
      </w:hyperlink>
    </w:p>
    <w:p>
      <w:pPr>
        <w:pStyle w:val="SmallNote"/>
        <w:spacing w:after="80"/>
      </w:pPr>
      <w:r>
        <w:t>Consulted primary project/standard guidance. Pin the selected version and record real verification coverage.</w:t>
      </w:r>
    </w:p>
    <w:sectPr w:rsidR="00FC693F" w:rsidRPr="0006063C" w:rsidSect="00034616">
      <w:headerReference w:type="default" r:id="rId9"/>
      <w:footerReference w:type="default" r:id="rId10"/>
      <w:headerReference w:type="first" r:id="rId57"/>
      <w:footerReference w:type="first" r:id="rId58"/>
      <w:pgSz w:w="11905" w:h="16838"/>
      <w:pgMar w:top="1008" w:right="1037" w:bottom="965" w:left="1037" w:header="418"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tabs>
        <w:tab w:pos="9831" w:val="right"/>
      </w:tabs>
      <w:spacing w:before="60" w:after="0"/>
    </w:pPr>
    <w:r>
      <w:rPr>
        <w:sz w:val="15"/>
      </w:rPr>
      <w:t>OWNER-OPERATED  •  SEARCH-READY  •  CONSENT-AWARE</w:t>
    </w:r>
    <w:r>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234</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tabs>
        <w:tab w:pos="9831" w:val="right"/>
      </w:tabs>
      <w:spacing w:after="0"/>
      <w:pBdr>
        <w:bottom w:val="single" w:sz="4" w:color="D7E2E7" w:space="8"/>
      </w:pBdr>
    </w:pPr>
    <w:r>
      <w:rPr>
        <w:b/>
        <w:color w:val="163349"/>
        <w:sz w:val="16"/>
      </w:rPr>
      <w:t>WEBSITE MASTER BLUEPRINT</w:t>
    </w:r>
    <w:r>
      <w:rPr>
        <w:sz w:val="16"/>
      </w:rPr>
      <w:tab/>
      <w:t>REFERENCE STANDARD  |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Lato" w:hAnsi="Lato" w:eastAsia="Lato" w:cs="Lato"/>
      <w:color w:val="2436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120" w:after="200"/>
      <w:outlineLvl w:val="0"/>
    </w:pPr>
    <w:rPr>
      <w:rFonts w:asciiTheme="majorHAnsi" w:eastAsiaTheme="majorEastAsia" w:hAnsiTheme="majorHAnsi" w:cstheme="majorBidi" w:ascii="Lato" w:hAnsi="Lato" w:eastAsia="Lato" w:cs="Lato"/>
      <w:b/>
      <w:bCs/>
      <w:color w:val="163349"/>
      <w:sz w:val="4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Lato" w:hAnsi="Lato" w:eastAsia="Lato" w:cs="Lato"/>
      <w:b/>
      <w:bCs/>
      <w:color w:val="087F83"/>
      <w:sz w:val="26"/>
      <w:szCs w:val="26"/>
    </w:rPr>
  </w:style>
  <w:style w:type="paragraph" w:styleId="Heading3">
    <w:name w:val="heading 3"/>
    <w:basedOn w:val="Normal"/>
    <w:next w:val="Normal"/>
    <w:link w:val="Heading3Char"/>
    <w:uiPriority w:val="9"/>
    <w:unhideWhenUsed/>
    <w:qFormat/>
    <w:rsid w:val="00FC693F"/>
    <w:pPr>
      <w:keepNext/>
      <w:keepLines/>
      <w:widowControl/>
      <w:spacing w:before="120" w:after="200"/>
      <w:outlineLvl w:val="2"/>
    </w:pPr>
    <w:rPr>
      <w:rFonts w:asciiTheme="majorHAnsi" w:eastAsiaTheme="majorEastAsia" w:hAnsiTheme="majorHAnsi" w:cstheme="majorBidi" w:ascii="Lato" w:hAnsi="Lato" w:eastAsia="Lato" w:cs="Lato"/>
      <w:b/>
      <w:bCs/>
      <w:color w:val="1633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120"/>
      <w:contextualSpacing/>
    </w:pPr>
    <w:rPr>
      <w:rFonts w:asciiTheme="majorHAnsi" w:eastAsiaTheme="majorEastAsia" w:hAnsiTheme="majorHAnsi" w:cstheme="majorBidi" w:ascii="Lato" w:hAnsi="Lato" w:eastAsia="Lato" w:cs="Lato"/>
      <w:b/>
      <w:color w:val="163349"/>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120" w:after="200"/>
    </w:pPr>
    <w:rPr>
      <w:rFonts w:asciiTheme="majorHAnsi" w:eastAsiaTheme="majorEastAsia" w:hAnsiTheme="majorHAnsi" w:cstheme="majorBidi" w:ascii="Lato" w:hAnsi="Lato" w:eastAsia="Lato" w:cs="Lato"/>
      <w:b w:val="0"/>
      <w:i/>
      <w:iCs/>
      <w:color w:val="5B6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Lato" w:hAnsi="Lato" w:eastAsia="Lato" w:cs="Lato"/>
      <w:color w:val="243643"/>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Courier" w:cs="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after="80" w:line="259" w:lineRule="auto"/>
    </w:pPr>
    <w:rPr>
      <w:rFonts w:ascii="Lato" w:hAnsi="Lato" w:eastAsia="Lato" w:cs="Lato"/>
      <w:color w:val="243643"/>
      <w:sz w:val="18"/>
    </w:rPr>
  </w:style>
  <w:style w:type="paragraph" w:customStyle="1" w:styleId="CodeBlock">
    <w:name w:val="Code Block"/>
    <w:pPr>
      <w:widowControl/>
      <w:spacing w:after="0" w:line="247" w:lineRule="auto"/>
      <w:ind w:left="173" w:right="115"/>
    </w:pPr>
    <w:rPr>
      <w:rFonts w:ascii="DejaVu Sans Mono" w:hAnsi="DejaVu Sans Mono" w:eastAsia="DejaVu Sans Mono" w:cs="DejaVu Sans Mono"/>
      <w:color w:val="243643"/>
      <w:sz w:val="16"/>
    </w:rPr>
  </w:style>
  <w:style w:type="paragraph" w:customStyle="1" w:styleId="SmallNote">
    <w:name w:val="Small Note"/>
    <w:pPr>
      <w:widowControl/>
      <w:spacing w:after="80" w:line="259" w:lineRule="auto"/>
    </w:pPr>
    <w:rPr>
      <w:rFonts w:ascii="Lato" w:hAnsi="Lato" w:eastAsia="Lato" w:cs="Lato"/>
      <w:color w:val="5B6C78"/>
      <w:sz w:val="18"/>
    </w:rPr>
  </w:style>
  <w:style w:type="paragraph" w:customStyle="1" w:styleId="ContentsEntry">
    <w:name w:val="Contents Entry"/>
    <w:pPr>
      <w:widowControl/>
      <w:spacing w:after="180" w:line="259" w:lineRule="auto"/>
    </w:pPr>
    <w:rPr>
      <w:rFonts w:ascii="Lato" w:hAnsi="Lato" w:eastAsia="Lato" w:cs="Lato"/>
      <w:color w:val="243643"/>
      <w:sz w:val="21"/>
    </w:rPr>
  </w:style>
  <w:style w:type="paragraph" w:customStyle="1" w:styleId="Callout">
    <w:name w:val="Callout"/>
    <w:pPr>
      <w:widowControl/>
      <w:spacing w:after="200" w:line="259" w:lineRule="auto" w:before="100"/>
      <w:ind w:left="202" w:right="173"/>
    </w:pPr>
    <w:rPr>
      <w:rFonts w:ascii="Lato" w:hAnsi="Lato" w:eastAsia="Lato" w:cs="Lato"/>
      <w:color w:val="163349"/>
      <w:sz w:val="21"/>
    </w:rPr>
  </w:style>
  <w:style w:type="paragraph" w:customStyle="1" w:styleId="ReferenceNote">
    <w:name w:val="Reference Note"/>
    <w:pPr>
      <w:widowControl/>
      <w:spacing w:after="200" w:line="259" w:lineRule="auto"/>
    </w:pPr>
    <w:rPr>
      <w:rFonts w:ascii="Lato" w:hAnsi="Lato" w:eastAsia="Lato" w:cs="Lato"/>
      <w:color w:val="5B6C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ads/answer/6167118?hl=en" TargetMode="External"/><Relationship Id="rId12" Type="http://schemas.openxmlformats.org/officeDocument/2006/relationships/hyperlink" Target="https://support.google.com/google-ads/answer/142918?hl=en" TargetMode="External"/><Relationship Id="rId13" Type="http://schemas.openxmlformats.org/officeDocument/2006/relationships/hyperlink" Target="https://developers.google.com/search/docs/appearance/page-experience" TargetMode="External"/><Relationship Id="rId14" Type="http://schemas.openxmlformats.org/officeDocument/2006/relationships/hyperlink" Target="https://web.dev/articles/vitals" TargetMode="External"/><Relationship Id="rId15" Type="http://schemas.openxmlformats.org/officeDocument/2006/relationships/hyperlink" Target="https://support.google.com/adspolicy/answer/6368661?hl=en" TargetMode="External"/><Relationship Id="rId16" Type="http://schemas.openxmlformats.org/officeDocument/2006/relationships/hyperlink" Target="https://developers.google.com/search/docs/fundamentals/creating-helpful-content" TargetMode="External"/><Relationship Id="rId17" Type="http://schemas.openxmlformats.org/officeDocument/2006/relationships/hyperlink" Target="https://developers.google.com/search/docs/essentials/spam-policies" TargetMode="External"/><Relationship Id="rId18" Type="http://schemas.openxmlformats.org/officeDocument/2006/relationships/hyperlink" Target="https://developers.google.com/search/docs/appearance/structured-data/sd-policies" TargetMode="External"/><Relationship Id="rId19" Type="http://schemas.openxmlformats.org/officeDocument/2006/relationships/hyperlink" Target="https://developers.google.com/search/docs/crawling-indexing/consolidate-duplicate-urls" TargetMode="External"/><Relationship Id="rId20" Type="http://schemas.openxmlformats.org/officeDocument/2006/relationships/hyperlink" Target="https://developers.google.com/search/docs/specialty/international/localized-versions" TargetMode="External"/><Relationship Id="rId21" Type="http://schemas.openxmlformats.org/officeDocument/2006/relationships/hyperlink" Target="https://developers.google.com/search/docs/appearance/ai-features" TargetMode="External"/><Relationship Id="rId22" Type="http://schemas.openxmlformats.org/officeDocument/2006/relationships/hyperlink" Target="https://developers.google.com/search/updates" TargetMode="External"/><Relationship Id="rId23" Type="http://schemas.openxmlformats.org/officeDocument/2006/relationships/hyperlink" Target="https://support.google.com/google-ads/answer/9888656?hl=en" TargetMode="External"/><Relationship Id="rId24" Type="http://schemas.openxmlformats.org/officeDocument/2006/relationships/hyperlink" Target="https://developers.google.com/data-manager/api/devguides/events/google-ads/offline" TargetMode="External"/><Relationship Id="rId25" Type="http://schemas.openxmlformats.org/officeDocument/2006/relationships/hyperlink" Target="https://support.google.com/google-ads/answer/6386790?hl=en" TargetMode="External"/><Relationship Id="rId26" Type="http://schemas.openxmlformats.org/officeDocument/2006/relationships/hyperlink" Target="https://developers.google.com/google-ads/api/docs/conversions/upload-offline" TargetMode="External"/><Relationship Id="rId27" Type="http://schemas.openxmlformats.org/officeDocument/2006/relationships/hyperlink" Target="https://www.facebook.com/business/help/AboutConversionsAPI" TargetMode="External"/><Relationship Id="rId28" Type="http://schemas.openxmlformats.org/officeDocument/2006/relationships/hyperlink" Target="https://www.facebook.com/business/news/good-questions-real-answers-how-does-facebook-use-machine-learning-to-deliver-ads" TargetMode="External"/><Relationship Id="rId29" Type="http://schemas.openxmlformats.org/officeDocument/2006/relationships/hyperlink" Target="https://developers.facebook.com/docs/marketing-api/conversions-api/deduplicate-pixel-and-server-events/" TargetMode="External"/><Relationship Id="rId30" Type="http://schemas.openxmlformats.org/officeDocument/2006/relationships/hyperlink" Target="https://www.facebook.com/business/help/361948878201809" TargetMode="External"/><Relationship Id="rId31" Type="http://schemas.openxmlformats.org/officeDocument/2006/relationships/hyperlink" Target="https://developers.google.com/tag-platform/security/guides/consent" TargetMode="External"/><Relationship Id="rId32" Type="http://schemas.openxmlformats.org/officeDocument/2006/relationships/hyperlink" Target="https://support.google.com/analytics/answer/6366371?hl=en" TargetMode="External"/><Relationship Id="rId33" Type="http://schemas.openxmlformats.org/officeDocument/2006/relationships/hyperlink" Target="https://support.google.com/analytics/answer/9216061?hl=en" TargetMode="External"/><Relationship Id="rId34" Type="http://schemas.openxmlformats.org/officeDocument/2006/relationships/hyperlink" Target="https://support.google.com/tagmanager/answer/7679410?hl=en" TargetMode="External"/><Relationship Id="rId35" Type="http://schemas.openxmlformats.org/officeDocument/2006/relationships/hyperlink" Target="https://support.google.com/analytics/answer/9267744?hl=en" TargetMode="External"/><Relationship Id="rId36" Type="http://schemas.openxmlformats.org/officeDocument/2006/relationships/hyperlink" Target="https://developers.google.com/tag-platform/tag-manager/datalayer" TargetMode="External"/><Relationship Id="rId37" Type="http://schemas.openxmlformats.org/officeDocument/2006/relationships/hyperlink" Target="https://developers.google.com/analytics/devguides/collection/ga4/single-page-applications" TargetMode="External"/><Relationship Id="rId38" Type="http://schemas.openxmlformats.org/officeDocument/2006/relationships/hyperlink" Target="https://nextjs.org/docs/app/guides/self-hosting" TargetMode="External"/><Relationship Id="rId39" Type="http://schemas.openxmlformats.org/officeDocument/2006/relationships/hyperlink" Target="https://nextjs.org/docs/app/api-reference/functions/revalidateTag" TargetMode="External"/><Relationship Id="rId40" Type="http://schemas.openxmlformats.org/officeDocument/2006/relationships/hyperlink" Target="https://developers.google.com/analytics/devguides/collection/protocol/ga4" TargetMode="External"/><Relationship Id="rId41" Type="http://schemas.openxmlformats.org/officeDocument/2006/relationships/hyperlink" Target="https://www.w3.org/TR/WCAG22/" TargetMode="External"/><Relationship Id="rId42" Type="http://schemas.openxmlformats.org/officeDocument/2006/relationships/hyperlink" Target="https://docs.strapi.io/cms/features/draft-and-publish" TargetMode="External"/><Relationship Id="rId43" Type="http://schemas.openxmlformats.org/officeDocument/2006/relationships/hyperlink" Target="https://www.postgresql.org/docs/current/ddl-rowsecurity.html" TargetMode="External"/><Relationship Id="rId44" Type="http://schemas.openxmlformats.org/officeDocument/2006/relationships/hyperlink" Target="https://owasp.org/projects/asvs" TargetMode="External"/><Relationship Id="rId45" Type="http://schemas.openxmlformats.org/officeDocument/2006/relationships/hyperlink" Target="https://docs.nestjs.com/security/authentication" TargetMode="External"/><Relationship Id="rId46" Type="http://schemas.openxmlformats.org/officeDocument/2006/relationships/hyperlink" Target="https://kubernetes.io/docs/concepts/configuration/secret/" TargetMode="External"/><Relationship Id="rId47" Type="http://schemas.openxmlformats.org/officeDocument/2006/relationships/hyperlink" Target="https://docs.stripe.com/webhooks" TargetMode="External"/><Relationship Id="rId48" Type="http://schemas.openxmlformats.org/officeDocument/2006/relationships/hyperlink" Target="https://redis.io/docs/latest/operate/oss_and_stack/management/persistence/" TargetMode="External"/><Relationship Id="rId49" Type="http://schemas.openxmlformats.org/officeDocument/2006/relationships/hyperlink" Target="https://learn.microsoft.com/en-us/clarity/setup-and-installation/clarity-masking" TargetMode="External"/><Relationship Id="rId50" Type="http://schemas.openxmlformats.org/officeDocument/2006/relationships/hyperlink" Target="https://ico.org.uk/for-organisations/direct-marketing-and-privacy-and-electronic-communications/guide-to-pecr/cookies-and-similar-technologies/" TargetMode="External"/><Relationship Id="rId51" Type="http://schemas.openxmlformats.org/officeDocument/2006/relationships/hyperlink" Target="https://www.meity.gov.in/static/uploads/2025/11/53450e6e5dc0bfa85ebd78686cadad39.pdf" TargetMode="External"/><Relationship Id="rId52" Type="http://schemas.openxmlformats.org/officeDocument/2006/relationships/hyperlink" Target="https://developer.hashicorp.com/terraform/language/manage-sensitive-data" TargetMode="External"/><Relationship Id="rId53" Type="http://schemas.openxmlformats.org/officeDocument/2006/relationships/hyperlink" Target="https://docs.docker.com/build/building/best-practices/" TargetMode="External"/><Relationship Id="rId54" Type="http://schemas.openxmlformats.org/officeDocument/2006/relationships/hyperlink" Target="https://opentelemetry.io/docs/what-is-opentelemetry/" TargetMode="External"/><Relationship Id="rId55" Type="http://schemas.openxmlformats.org/officeDocument/2006/relationships/hyperlink" Target="https://developers.google.com/google-ads/api/docs/reporting/overview" TargetMode="External"/><Relationship Id="rId56" Type="http://schemas.openxmlformats.org/officeDocument/2006/relationships/hyperlink" Target="https://developers.facebook.com/docs/marketing-api/insights/" TargetMode="External"/><Relationship Id="rId57" Type="http://schemas.openxmlformats.org/officeDocument/2006/relationships/header" Target="header2.xml"/><Relationship Id="rId58" Type="http://schemas.openxmlformats.org/officeDocument/2006/relationships/footer" Target="footer2.xml"/><Relationship Id="rId59" Type="http://schemas.openxmlformats.org/officeDocument/2006/relationships/hyperlink" Target="https://developers.google.com/search/docs/crawling-indexing/website-testing" TargetMode="External"/><Relationship Id="rId60" Type="http://schemas.openxmlformats.org/officeDocument/2006/relationships/hyperlink" Target="https://support.google.com/analytics/answer/10917952?hl=en" TargetMode="External"/><Relationship Id="rId61" Type="http://schemas.openxmlformats.org/officeDocument/2006/relationships/hyperlink" Target="https://support.google.com/google-ads/answer/3095550?hl=en" TargetMode="External"/><Relationship Id="rId62" Type="http://schemas.openxmlformats.org/officeDocument/2006/relationships/hyperlink" Target="https://www.w3.org/TR/geolocation/" TargetMode="External"/><Relationship Id="rId63" Type="http://schemas.openxmlformats.org/officeDocument/2006/relationships/hyperlink" Target="https://support.maxmind.com/knowledge-base/articles/maxmind-geolocation-accuracy" TargetMode="External"/><Relationship Id="rId64" Type="http://schemas.openxmlformats.org/officeDocument/2006/relationships/hyperlink" Target="https://expressjs.com/en/guide/behind-proxies/" TargetMode="External"/><Relationship Id="rId65" Type="http://schemas.openxmlformats.org/officeDocument/2006/relationships/hyperlink" Target="https://cheatsheetseries.owasp.org/cheatsheets/Logging_Cheat_Sheet.html" TargetMode="External"/><Relationship Id="rId66" Type="http://schemas.openxmlformats.org/officeDocument/2006/relationships/hyperlink" Target="https://docs.aws.amazon.com/AmazonS3/latest/userguide/object-lock.html" TargetMode="External"/><Relationship Id="rId67" Type="http://schemas.openxmlformats.org/officeDocument/2006/relationships/hyperlink" Target="https://www.microsoft.com/en-us/research/articles/diagnosing-sample-ratio-mismatch-in-a-b-testing/" TargetMode="External"/><Relationship Id="rId68" Type="http://schemas.openxmlformats.org/officeDocument/2006/relationships/hyperlink" Target="https://cheatsheetseries.owasp.org/cheatsheets/LLM_Prompt_Injection_Prevention_Cheat_Sheet.html" TargetMode="External"/><Relationship Id="rId69" Type="http://schemas.openxmlformats.org/officeDocument/2006/relationships/hyperlink" Target="https://developer.mozilla.org/en-US/docs/Web/API/Window/postMessage" TargetMode="External"/><Relationship Id="rId70" Type="http://schemas.openxmlformats.org/officeDocument/2006/relationships/hyperlink" Target="https://support.google.com/analytics/answer/12017362?hl=en" TargetMode="External"/><Relationship Id="rId71" Type="http://schemas.openxmlformats.org/officeDocument/2006/relationships/hyperlink" Target="https://www.postgresql.org/docs/current/sql-grant.html" TargetMode="External"/><Relationship Id="rId72" Type="http://schemas.openxmlformats.org/officeDocument/2006/relationships/hyperlink" Target="https://www.statsmodels.org/stable/generated/statsmodels.stats.proportion.samplesize_proportions_2indep_onetail.html" TargetMode="External"/><Relationship Id="rId73" Type="http://schemas.openxmlformats.org/officeDocument/2006/relationships/hyperlink" Target="https://playwright.dev/docs/emulation#geolocation" TargetMode="External"/><Relationship Id="rId74" Type="http://schemas.openxmlformats.org/officeDocument/2006/relationships/hyperlink" Target="https://support.google.com/mail/answer/81126?hl=en" TargetMode="External"/><Relationship Id="rId75" Type="http://schemas.openxmlformats.org/officeDocument/2006/relationships/hyperlink" Target="https://datatracker.ietf.org/doc/html/rfc8058" TargetMode="External"/><Relationship Id="rId76" Type="http://schemas.openxmlformats.org/officeDocument/2006/relationships/hyperlink" Target="https://www.icann.org/resources/pages/name-holder-faqs-2017-10-10-en" TargetMode="External"/><Relationship Id="rId77" Type="http://schemas.openxmlformats.org/officeDocument/2006/relationships/hyperlink" Target="https://developers.cloudflare.com/dns/dnssec/" TargetMode="External"/><Relationship Id="rId78" Type="http://schemas.openxmlformats.org/officeDocument/2006/relationships/hyperlink" Target="https://letsencrypt.org/docs/integration-guide/" TargetMode="External"/><Relationship Id="rId79" Type="http://schemas.openxmlformats.org/officeDocument/2006/relationships/hyperlink" Target="https://www.w3.org/TR/ATAG20/" TargetMode="External"/><Relationship Id="rId80" Type="http://schemas.openxmlformats.org/officeDocument/2006/relationships/hyperlink" Target="https://support.google.com/adspolicy/answer/6299717?hl=en" TargetMode="External"/><Relationship Id="rId81" Type="http://schemas.openxmlformats.org/officeDocument/2006/relationships/hyperlink" Target="https://support.google.com/adspolicy/answer/143465?hl=en" TargetMode="External"/><Relationship Id="rId82" Type="http://schemas.openxmlformats.org/officeDocument/2006/relationships/hyperlink" Target="https://support.google.com/google-ads/answer/2454064?hl=en" TargetMode="External"/><Relationship Id="rId83" Type="http://schemas.openxmlformats.org/officeDocument/2006/relationships/hyperlink" Target="https://support.google.com/google-ads/answer/15910366?hl=en" TargetMode="External"/><Relationship Id="rId84" Type="http://schemas.openxmlformats.org/officeDocument/2006/relationships/hyperlink" Target="https://support.google.com/google-ads/answer/7478529?hl=en" TargetMode="External"/><Relationship Id="rId85" Type="http://schemas.openxmlformats.org/officeDocument/2006/relationships/hyperlink" Target="https://support.google.com/google-ads/answer/7065882?hl=en" TargetMode="External"/><Relationship Id="rId86" Type="http://schemas.openxmlformats.org/officeDocument/2006/relationships/hyperlink" Target="https://support.google.com/google-ads/answer/1704443?hl=en" TargetMode="External"/><Relationship Id="rId87" Type="http://schemas.openxmlformats.org/officeDocument/2006/relationships/hyperlink" Target="https://support.google.com/google-ads/answer/10682377?hl=en" TargetMode="External"/><Relationship Id="rId88" Type="http://schemas.openxmlformats.org/officeDocument/2006/relationships/hyperlink" Target="https://www.facebook.com/business/help/1438417719786914" TargetMode="External"/><Relationship Id="rId89" Type="http://schemas.openxmlformats.org/officeDocument/2006/relationships/hyperlink" Target="https://transparency.meta.com/policies/ad-standards/" TargetMode="External"/><Relationship Id="rId90" Type="http://schemas.openxmlformats.org/officeDocument/2006/relationships/hyperlink" Target="https://www.facebook.com/legal/terms/customaudience" TargetMode="External"/><Relationship Id="rId91" Type="http://schemas.openxmlformats.org/officeDocument/2006/relationships/hyperlink" Target="https://developers.facebook.com/docs/marketing-api/guides/lead-ads/retrieving/" TargetMode="External"/><Relationship Id="rId92" Type="http://schemas.openxmlformats.org/officeDocument/2006/relationships/hyperlink" Target="https://developers.facebook.com/documentation/ads-commerce/conversions-api/parameters/server-event" TargetMode="External"/><Relationship Id="rId93" Type="http://schemas.openxmlformats.org/officeDocument/2006/relationships/hyperlink" Target="https://support.google.com/merchants/answer/7052112?hl=en" TargetMode="External"/><Relationship Id="rId94" Type="http://schemas.openxmlformats.org/officeDocument/2006/relationships/hyperlink" Target="https://developers.google.com/merchant/api/guides/compatibility/overview" TargetMode="External"/><Relationship Id="rId95" Type="http://schemas.openxmlformats.org/officeDocument/2006/relationships/hyperlink" Target="https://developers.google.com/crawling/docs/faceted-navigation" TargetMode="External"/><Relationship Id="rId96" Type="http://schemas.openxmlformats.org/officeDocument/2006/relationships/hyperlink" Target="https://developers.google.com/search/docs/specialty/ecommerce/pagination-and-incremental-page-loading" TargetMode="External"/><Relationship Id="rId97" Type="http://schemas.openxmlformats.org/officeDocument/2006/relationships/hyperlink" Target="https://developers.google.com/search/docs/appearance/google-images" TargetMode="External"/><Relationship Id="rId98" Type="http://schemas.openxmlformats.org/officeDocument/2006/relationships/hyperlink" Target="https://developers.google.com/search/docs/appearance/video" TargetMode="External"/><Relationship Id="rId99" Type="http://schemas.openxmlformats.org/officeDocument/2006/relationships/hyperlink" Target="https://support.google.com/business/answer/3038177?hl=en" TargetMode="External"/><Relationship Id="rId100" Type="http://schemas.openxmlformats.org/officeDocument/2006/relationships/hyperlink" Target="https://developers.google.com/search/apis/indexing-api/v3/using-api" TargetMode="External"/><Relationship Id="rId101" Type="http://schemas.openxmlformats.org/officeDocument/2006/relationships/hyperlink" Target="https://support.google.com/analytics/answer/9358801?hl=en" TargetMode="External"/><Relationship Id="rId102" Type="http://schemas.openxmlformats.org/officeDocument/2006/relationships/hyperlink" Target="https://oag.ca.gov/privacy/ccpa" TargetMode="External"/><Relationship Id="rId103" Type="http://schemas.openxmlformats.org/officeDocument/2006/relationships/hyperlink" Target="https://cheatsheetseries.owasp.org/cheatsheets/Third_Party_Javascript_Management_Cheat_Sheet.html" TargetMode="External"/><Relationship Id="rId104" Type="http://schemas.openxmlformats.org/officeDocument/2006/relationships/hyperlink" Target="https://csrc.nist.gov/Projects/ssdf" TargetMode="External"/><Relationship Id="rId105" Type="http://schemas.openxmlformats.org/officeDocument/2006/relationships/hyperlink" Target="https://api-security.owasp.org/editions/2023/en/0x11-t10/" TargetMode="External"/><Relationship Id="rId106" Type="http://schemas.openxmlformats.org/officeDocument/2006/relationships/hyperlink" Target="https://datatracker.ietf.org/doc/html/rfc9700" TargetMode="External"/><Relationship Id="rId107" Type="http://schemas.openxmlformats.org/officeDocument/2006/relationships/hyperlink" Target="https://blog.pcisecuritystandards.org/new-information-supplement-payment-page-security-and-preventing-e-skimming" TargetMode="External"/><Relationship Id="rId108" Type="http://schemas.openxmlformats.org/officeDocument/2006/relationships/hyperlink" Target="https://www.postgresql.org/docs/current/continuous-archiving.html" TargetMode="External"/><Relationship Id="rId109" Type="http://schemas.openxmlformats.org/officeDocument/2006/relationships/hyperlink" Target="https://developers.google.com/search/docs/crawling-indexing/sitemaps/build-sitemap" TargetMode="External"/><Relationship Id="rId110" Type="http://schemas.openxmlformats.org/officeDocument/2006/relationships/hyperlink" Target="https://www.ftc.gov/business-guidance/resources/consumer-reviews-testimonials-rule-questions-answers" TargetMode="External"/><Relationship Id="rId111" Type="http://schemas.openxmlformats.org/officeDocument/2006/relationships/hyperlink" Target="https://www.rfc-editor.org/rfc/rfc9110.html" TargetMode="External"/><Relationship Id="rId112" Type="http://schemas.openxmlformats.org/officeDocument/2006/relationships/hyperlink" Target="https://openfeature.dev/docs/reference/intro/" TargetMode="External"/><Relationship Id="rId113" Type="http://schemas.openxmlformats.org/officeDocument/2006/relationships/hyperlink" Target="https://spec.openapis.org/oas/latest.html" TargetMode="External"/><Relationship Id="rId114" Type="http://schemas.openxmlformats.org/officeDocument/2006/relationships/hyperlink" Target="https://schema.org/docs/full.html" TargetMode="External"/><Relationship Id="rId115" Type="http://schemas.openxmlformats.org/officeDocument/2006/relationships/hyperlink" Target="https://core.telegram.org/bots/api" TargetMode="External"/><Relationship Id="rId116" Type="http://schemas.openxmlformats.org/officeDocument/2006/relationships/hyperlink" Target="https://whatsappbusiness.com/policy/" TargetMode="External"/><Relationship Id="rId117" Type="http://schemas.openxmlformats.org/officeDocument/2006/relationships/hyperlink" Target="https://developers.google.com/webmaster-tools/v1/how-tos/all-your-data" TargetMode="External"/><Relationship Id="rId118" Type="http://schemas.openxmlformats.org/officeDocument/2006/relationships/hyperlink" Target="https://iabtechlab.com/ads-txt/" TargetMode="External"/><Relationship Id="rId119" Type="http://schemas.openxmlformats.org/officeDocument/2006/relationships/hyperlink" Target="https://developers.google.com/search/docs/fundamentals/ai-optimization-guide" TargetMode="External"/><Relationship Id="rId120" Type="http://schemas.openxmlformats.org/officeDocument/2006/relationships/hyperlink" Target="https://support.google.com/webmasters/answer/16984139" TargetMode="External"/><Relationship Id="rId121" Type="http://schemas.openxmlformats.org/officeDocument/2006/relationships/hyperlink" Target="https://developers.google.com/search/docs/appearance/preferred-sources" TargetMode="External"/><Relationship Id="rId122" Type="http://schemas.openxmlformats.org/officeDocument/2006/relationships/hyperlink" Target="https://developers.google.com/search/docs/appearance/aggregator-features" TargetMode="External"/><Relationship Id="rId123" Type="http://schemas.openxmlformats.org/officeDocument/2006/relationships/hyperlink" Target="https://www.indexnow.org/documentation" TargetMode="External"/><Relationship Id="rId124" Type="http://schemas.openxmlformats.org/officeDocument/2006/relationships/hyperlink" Target="https://developers.google.com/search/docs/fundamentals/using-gen-ai-content" TargetMode="External"/><Relationship Id="rId125" Type="http://schemas.openxmlformats.org/officeDocument/2006/relationships/hyperlink" Target="https://web.dev/articles/ai-agent-site-ux" TargetMode="External"/><Relationship Id="rId126" Type="http://schemas.openxmlformats.org/officeDocument/2006/relationships/hyperlink" Target="https://support.google.com/google-ads/answer/1722122?hl=en" TargetMode="External"/><Relationship Id="rId127" Type="http://schemas.openxmlformats.org/officeDocument/2006/relationships/hyperlink" Target="https://support.google.com/google-ads/answer/9121108?hl=en" TargetMode="External"/><Relationship Id="rId128" Type="http://schemas.openxmlformats.org/officeDocument/2006/relationships/hyperlink" Target="https://support.google.com/google-ads/answer/11461796?hl=en" TargetMode="External"/><Relationship Id="rId129" Type="http://schemas.openxmlformats.org/officeDocument/2006/relationships/hyperlink" Target="https://www.facebook.com/business/help/430291176997542" TargetMode="External"/><Relationship Id="rId130" Type="http://schemas.openxmlformats.org/officeDocument/2006/relationships/hyperlink" Target="https://developers.google.com/data-manager/api/devguides/events/analytics/recommended-custom-events/send-events" TargetMode="External"/><Relationship Id="rId131" Type="http://schemas.openxmlformats.org/officeDocument/2006/relationships/hyperlink" Target="https://raw.githubusercontent.com/facebook/facebook-nodejs-business-sdk/main/src/objects/serverside/server-event.js" TargetMode="External"/><Relationship Id="rId132" Type="http://schemas.openxmlformats.org/officeDocument/2006/relationships/hyperlink" Target="https://raw.githubusercontent.com/facebook/facebook-nodejs-business-sdk/main/src/objects/serverside/user-data.js" TargetMode="External"/><Relationship Id="rId133" Type="http://schemas.openxmlformats.org/officeDocument/2006/relationships/hyperlink" Target="https://developers.google.com/crawling/docs/robots-txt/robots-txt-spec" TargetMode="External"/><Relationship Id="rId134" Type="http://schemas.openxmlformats.org/officeDocument/2006/relationships/hyperlink" Target="https://web.dev/articles/bfcache" TargetMode="External"/><Relationship Id="rId135" Type="http://schemas.openxmlformats.org/officeDocument/2006/relationships/hyperlink" Target="https://developer.mozilla.org/en-US/docs/Web/API/Document/prerendering" TargetMode="External"/><Relationship Id="rId136" Type="http://schemas.openxmlformats.org/officeDocument/2006/relationships/hyperlink" Target="https://developer.mozilla.org/en-US/docs/Web/API/Document/visibility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234</Pages>
  <Words>64869</Words>
  <Characters>0</Characters>
  <Application>Microsoft Macintosh Word</Application>
  <DocSecurity>0</DocSecurity>
  <Lines>0</Lines>
  <Paragraphs>2100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Master Blueprint — Final Consolidated Edition v1.3</dc:title>
  <dc:subject>Dynamic websites, marketing, SEO, Google Ads, Meta Ads, engineering and release acceptance</dc:subject>
  <dc:creator/>
  <cp:keywords>website,CMS,SEO,marketing,Google Ads,Meta Ads,automation,architecture,acceptance,v1.2</cp:keywords>
  <dc:description>Final consolidated reference. Source comparison and research boundaries in Appendix M.</dc:description>
  <cp:lastModifiedBy/>
  <cp:revision>1</cp:revision>
  <dcterms:created xsi:type="dcterms:W3CDTF">2026-10-06T00:00:00Z</dcterms:created>
  <dcterms:modified xsi:type="dcterms:W3CDTF">2026-10-06T00:00:00Z</dcterms:modified>
  <cp:category/>
  <cp:version>1.1</cp:version>
</cp:coreProperties>
</file>