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6A4" w:rsidRDefault="005A448A">
      <w:r>
        <w:t>IAPP</w:t>
      </w:r>
    </w:p>
    <w:p w:rsidR="008D0F6E" w:rsidRDefault="008D0F6E" w:rsidP="008D0F6E">
      <w:r>
        <w:t>From Pilkington2017:</w:t>
      </w:r>
    </w:p>
    <w:p w:rsidR="008D0F6E" w:rsidRPr="008D0F6E" w:rsidRDefault="008D0F6E" w:rsidP="008D0F6E">
      <w:pPr>
        <w:rPr>
          <w:rFonts w:ascii="Times New Roman" w:eastAsia="Times New Roman" w:hAnsi="Times New Roman" w:cs="Times New Roman"/>
        </w:rPr>
      </w:pPr>
      <w:r w:rsidRPr="008D0F6E">
        <w:rPr>
          <w:rFonts w:ascii="Palatino" w:eastAsia="Times New Roman" w:hAnsi="Palatino" w:cs="Times New Roman"/>
          <w:color w:val="222222"/>
          <w:sz w:val="26"/>
          <w:szCs w:val="26"/>
          <w:shd w:val="clear" w:color="auto" w:fill="FFFFFF"/>
        </w:rPr>
        <w:t>Aggregation of islet amyloid polypeptide (IAPP), a peptide hormone co-synthesized and co-stored with insulin in pancreatic cells and also co-secreted to the circulation, is associated with beta-cell death in type-2 diabetes (T2D). In T2D patients IAPP is found aggregating in the extracellular space of the islets of Langerhans.</w:t>
      </w:r>
    </w:p>
    <w:p w:rsidR="008D0F6E" w:rsidRPr="008D0F6E" w:rsidRDefault="008D0F6E" w:rsidP="008D0F6E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8D0F6E" w:rsidRDefault="008D0F6E"/>
    <w:p w:rsidR="005A448A" w:rsidRDefault="005A448A"/>
    <w:p w:rsidR="005A448A" w:rsidRDefault="005A448A">
      <w:r>
        <w:t>Pilkington2017</w:t>
      </w:r>
    </w:p>
    <w:p w:rsidR="005A448A" w:rsidRDefault="005A448A">
      <w:proofErr w:type="spellStart"/>
      <w:r>
        <w:t>ThT</w:t>
      </w:r>
      <w:proofErr w:type="spellEnd"/>
      <w:r>
        <w:t xml:space="preserve"> assay: </w:t>
      </w:r>
    </w:p>
    <w:tbl>
      <w:tblPr>
        <w:tblW w:w="9020" w:type="dxa"/>
        <w:tblLook w:val="04A0" w:firstRow="1" w:lastRow="0" w:firstColumn="1" w:lastColumn="0" w:noHBand="0" w:noVBand="1"/>
      </w:tblPr>
      <w:tblGrid>
        <w:gridCol w:w="9020"/>
      </w:tblGrid>
      <w:tr w:rsidR="005A448A" w:rsidRPr="005A448A" w:rsidTr="005A448A">
        <w:trPr>
          <w:trHeight w:val="320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448A" w:rsidRPr="005A448A" w:rsidRDefault="005A448A" w:rsidP="005A448A">
            <w:pPr>
              <w:rPr>
                <w:rFonts w:ascii="Calibri" w:eastAsia="Times New Roman" w:hAnsi="Calibri" w:cs="Calibri"/>
                <w:color w:val="000000"/>
              </w:rPr>
            </w:pPr>
            <w:r w:rsidRPr="005A448A">
              <w:rPr>
                <w:rFonts w:ascii="Calibri" w:eastAsia="Times New Roman" w:hAnsi="Calibri" w:cs="Calibri"/>
                <w:color w:val="000000"/>
              </w:rPr>
              <w:t xml:space="preserve">IAPP, </w:t>
            </w:r>
            <w:proofErr w:type="spellStart"/>
            <w:r w:rsidRPr="005A448A">
              <w:rPr>
                <w:rFonts w:ascii="Calibri" w:eastAsia="Times New Roman" w:hAnsi="Calibri" w:cs="Calibri"/>
                <w:color w:val="000000"/>
              </w:rPr>
              <w:t>aLac</w:t>
            </w:r>
            <w:proofErr w:type="spellEnd"/>
            <w:r w:rsidRPr="005A448A">
              <w:rPr>
                <w:rFonts w:ascii="Calibri" w:eastAsia="Times New Roman" w:hAnsi="Calibri" w:cs="Calibri"/>
                <w:color w:val="000000"/>
              </w:rPr>
              <w:t xml:space="preserve"> and Lys were added to a black/clear bottom 96 well plate (</w:t>
            </w:r>
            <w:proofErr w:type="spellStart"/>
            <w:r w:rsidRPr="005A448A">
              <w:rPr>
                <w:rFonts w:ascii="Calibri" w:eastAsia="Times New Roman" w:hAnsi="Calibri" w:cs="Calibri"/>
                <w:color w:val="000000"/>
              </w:rPr>
              <w:t>Costar</w:t>
            </w:r>
            <w:proofErr w:type="spellEnd"/>
            <w:r w:rsidRPr="005A448A">
              <w:rPr>
                <w:rFonts w:ascii="Calibri" w:eastAsia="Times New Roman" w:hAnsi="Calibri" w:cs="Calibri"/>
                <w:color w:val="000000"/>
              </w:rPr>
              <w:t xml:space="preserve">) to a final IAPP concentration of 25 </w:t>
            </w:r>
            <w:proofErr w:type="spellStart"/>
            <w:r w:rsidRPr="005A448A">
              <w:rPr>
                <w:rFonts w:ascii="EuclidSymbol" w:eastAsia="Times New Roman" w:hAnsi="EuclidSymbol" w:cs="Calibri"/>
                <w:color w:val="000000"/>
                <w:sz w:val="18"/>
                <w:szCs w:val="18"/>
              </w:rPr>
              <w:t>μ</w:t>
            </w:r>
            <w:r w:rsidRPr="005A448A">
              <w:rPr>
                <w:rFonts w:ascii="MinionPro" w:eastAsia="Times New Roman" w:hAnsi="MinionPro" w:cs="Calibri"/>
                <w:color w:val="000000"/>
                <w:sz w:val="18"/>
                <w:szCs w:val="18"/>
              </w:rPr>
              <w:t>M</w:t>
            </w:r>
            <w:proofErr w:type="spellEnd"/>
            <w:r w:rsidRPr="005A448A">
              <w:rPr>
                <w:rFonts w:ascii="MinionPro" w:eastAsia="Times New Roman" w:hAnsi="MinionPro" w:cs="Calibri"/>
                <w:color w:val="000000"/>
                <w:sz w:val="18"/>
                <w:szCs w:val="18"/>
              </w:rPr>
              <w:t xml:space="preserve">, and final </w:t>
            </w:r>
            <w:proofErr w:type="spellStart"/>
            <w:r w:rsidRPr="005A448A">
              <w:rPr>
                <w:rFonts w:ascii="MinionPro" w:eastAsia="Times New Roman" w:hAnsi="MinionPro" w:cs="Calibri"/>
                <w:color w:val="000000"/>
                <w:sz w:val="18"/>
                <w:szCs w:val="18"/>
              </w:rPr>
              <w:t>aLac</w:t>
            </w:r>
            <w:proofErr w:type="spellEnd"/>
            <w:r w:rsidRPr="005A448A">
              <w:rPr>
                <w:rFonts w:ascii="MinionPro" w:eastAsia="Times New Roman" w:hAnsi="MinionPro" w:cs="Calibri"/>
                <w:color w:val="000000"/>
                <w:sz w:val="18"/>
                <w:szCs w:val="18"/>
              </w:rPr>
              <w:t xml:space="preserve"> and Lys concentrations of 25 </w:t>
            </w:r>
            <w:proofErr w:type="spellStart"/>
            <w:r w:rsidRPr="005A448A">
              <w:rPr>
                <w:rFonts w:ascii="EuclidSymbol" w:eastAsia="Times New Roman" w:hAnsi="EuclidSymbol" w:cs="Calibri"/>
                <w:color w:val="000000"/>
                <w:sz w:val="18"/>
                <w:szCs w:val="18"/>
              </w:rPr>
              <w:t>μ</w:t>
            </w:r>
            <w:r w:rsidRPr="005A448A">
              <w:rPr>
                <w:rFonts w:ascii="MinionPro" w:eastAsia="Times New Roman" w:hAnsi="MinionPro" w:cs="Calibri"/>
                <w:color w:val="000000"/>
                <w:sz w:val="18"/>
                <w:szCs w:val="18"/>
              </w:rPr>
              <w:t>M</w:t>
            </w:r>
            <w:proofErr w:type="spellEnd"/>
            <w:r w:rsidRPr="005A448A">
              <w:rPr>
                <w:rFonts w:ascii="MinionPro" w:eastAsia="Times New Roman" w:hAnsi="MinionPro" w:cs="Calibri"/>
                <w:color w:val="000000"/>
                <w:sz w:val="18"/>
                <w:szCs w:val="18"/>
              </w:rPr>
              <w:t xml:space="preserve">, representing </w:t>
            </w:r>
            <w:proofErr w:type="spellStart"/>
            <w:r w:rsidRPr="005A448A">
              <w:rPr>
                <w:rFonts w:ascii="MinionPro" w:eastAsia="Times New Roman" w:hAnsi="MinionPro" w:cs="Calibri"/>
                <w:color w:val="000000"/>
                <w:sz w:val="18"/>
                <w:szCs w:val="18"/>
              </w:rPr>
              <w:t>IAPP:protein</w:t>
            </w:r>
            <w:proofErr w:type="spellEnd"/>
            <w:r w:rsidRPr="005A448A">
              <w:rPr>
                <w:rFonts w:ascii="MinionPro" w:eastAsia="Times New Roman" w:hAnsi="MinionPro" w:cs="Calibri"/>
                <w:color w:val="000000"/>
                <w:sz w:val="18"/>
                <w:szCs w:val="18"/>
              </w:rPr>
              <w:t xml:space="preserve"> ratios of 1:1. </w:t>
            </w:r>
          </w:p>
        </w:tc>
      </w:tr>
      <w:tr w:rsidR="005A448A" w:rsidRPr="005A448A" w:rsidTr="005A448A">
        <w:trPr>
          <w:trHeight w:val="320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448A" w:rsidRPr="005A448A" w:rsidRDefault="005A448A" w:rsidP="005A448A">
            <w:pPr>
              <w:rPr>
                <w:rFonts w:ascii="Calibri" w:eastAsia="Times New Roman" w:hAnsi="Calibri" w:cs="Calibri"/>
                <w:color w:val="000000"/>
              </w:rPr>
            </w:pPr>
            <w:r w:rsidRPr="005A448A">
              <w:rPr>
                <w:rFonts w:ascii="Calibri" w:eastAsia="Times New Roman" w:hAnsi="Calibri" w:cs="Calibri"/>
                <w:color w:val="000000"/>
              </w:rPr>
              <w:t>Thioflavin T (</w:t>
            </w:r>
            <w:proofErr w:type="spellStart"/>
            <w:r w:rsidRPr="005A448A">
              <w:rPr>
                <w:rFonts w:ascii="Calibri" w:eastAsia="Times New Roman" w:hAnsi="Calibri" w:cs="Calibri"/>
                <w:color w:val="000000"/>
              </w:rPr>
              <w:t>ThT</w:t>
            </w:r>
            <w:proofErr w:type="spellEnd"/>
            <w:r w:rsidRPr="005A448A">
              <w:rPr>
                <w:rFonts w:ascii="Calibri" w:eastAsia="Times New Roman" w:hAnsi="Calibri" w:cs="Calibri"/>
                <w:color w:val="000000"/>
              </w:rPr>
              <w:t xml:space="preserve">) dye (Sigma Aldrich) was added to all wells to a concentration of 25 </w:t>
            </w:r>
            <w:proofErr w:type="spellStart"/>
            <w:r w:rsidRPr="005A448A">
              <w:rPr>
                <w:rFonts w:ascii="Calibri" w:eastAsia="Times New Roman" w:hAnsi="Calibri" w:cs="Calibri"/>
                <w:color w:val="000000"/>
              </w:rPr>
              <w:t>μM</w:t>
            </w:r>
            <w:proofErr w:type="spellEnd"/>
            <w:r w:rsidRPr="005A448A">
              <w:rPr>
                <w:rFonts w:ascii="Calibri" w:eastAsia="Times New Roman" w:hAnsi="Calibri" w:cs="Calibri"/>
                <w:color w:val="000000"/>
              </w:rPr>
              <w:t xml:space="preserve">, and the remaining volume made up to 100 </w:t>
            </w:r>
            <w:proofErr w:type="spellStart"/>
            <w:r w:rsidRPr="005A448A">
              <w:rPr>
                <w:rFonts w:ascii="Calibri" w:eastAsia="Times New Roman" w:hAnsi="Calibri" w:cs="Calibri"/>
                <w:color w:val="000000"/>
              </w:rPr>
              <w:t>μL</w:t>
            </w:r>
            <w:proofErr w:type="spellEnd"/>
            <w:r w:rsidRPr="005A448A">
              <w:rPr>
                <w:rFonts w:ascii="Calibri" w:eastAsia="Times New Roman" w:hAnsi="Calibri" w:cs="Calibri"/>
                <w:color w:val="000000"/>
              </w:rPr>
              <w:t xml:space="preserve"> with Milli-Q water.</w:t>
            </w:r>
          </w:p>
        </w:tc>
      </w:tr>
      <w:tr w:rsidR="005A448A" w:rsidRPr="005A448A" w:rsidTr="005A448A">
        <w:trPr>
          <w:trHeight w:val="320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448A" w:rsidRPr="005A448A" w:rsidRDefault="005A448A" w:rsidP="005A448A">
            <w:pPr>
              <w:rPr>
                <w:rFonts w:ascii="Calibri" w:eastAsia="Times New Roman" w:hAnsi="Calibri" w:cs="Calibri"/>
                <w:color w:val="000000"/>
              </w:rPr>
            </w:pPr>
            <w:r w:rsidRPr="005A448A">
              <w:rPr>
                <w:rFonts w:ascii="Calibri" w:eastAsia="Times New Roman" w:hAnsi="Calibri" w:cs="Calibri"/>
                <w:color w:val="000000"/>
              </w:rPr>
              <w:t xml:space="preserve"> The plate was kept at 25 °C and read on a </w:t>
            </w:r>
            <w:proofErr w:type="spellStart"/>
            <w:r w:rsidRPr="005A448A">
              <w:rPr>
                <w:rFonts w:ascii="Calibri" w:eastAsia="Times New Roman" w:hAnsi="Calibri" w:cs="Calibri"/>
                <w:color w:val="000000"/>
              </w:rPr>
              <w:t>Flexstation</w:t>
            </w:r>
            <w:proofErr w:type="spellEnd"/>
            <w:r w:rsidRPr="005A448A">
              <w:rPr>
                <w:rFonts w:ascii="Calibri" w:eastAsia="Times New Roman" w:hAnsi="Calibri" w:cs="Calibri"/>
                <w:color w:val="000000"/>
              </w:rPr>
              <w:t xml:space="preserve"> 3 plate reader (Molecular Devices) every 5 min for a total of 14 h (169 readings), with wells excited at 440 nm and the emission read at 485 nm. </w:t>
            </w:r>
          </w:p>
        </w:tc>
      </w:tr>
    </w:tbl>
    <w:p w:rsidR="005A448A" w:rsidRDefault="005A448A"/>
    <w:p w:rsidR="005A448A" w:rsidRDefault="005A448A">
      <w:r>
        <w:t xml:space="preserve">Not necessarily pure – bought as lyophilised powder from Sigma, resuspended in </w:t>
      </w:r>
      <w:proofErr w:type="spellStart"/>
      <w:r>
        <w:t>milliQ</w:t>
      </w:r>
      <w:proofErr w:type="spellEnd"/>
      <w:r>
        <w:t xml:space="preserve"> and immediately used.</w:t>
      </w:r>
    </w:p>
    <w:p w:rsidR="008D0F6E" w:rsidRDefault="008D0F6E"/>
    <w:p w:rsidR="008D0F6E" w:rsidRDefault="008D0F6E">
      <w:r>
        <w:t>Daval2010</w:t>
      </w:r>
    </w:p>
    <w:p w:rsidR="008D0F6E" w:rsidRPr="008D0F6E" w:rsidRDefault="008D0F6E" w:rsidP="008D0F6E">
      <w:pPr>
        <w:rPr>
          <w:rFonts w:ascii="Times New Roman" w:eastAsia="Times New Roman" w:hAnsi="Times New Roman" w:cs="Times New Roman"/>
        </w:rPr>
      </w:pPr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To test the effect of curcumin on </w:t>
      </w:r>
      <w:proofErr w:type="spellStart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>ThT</w:t>
      </w:r>
      <w:proofErr w:type="spellEnd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fluorescence intensity of IAPP fibrils, 20 </w:t>
      </w:r>
      <w:proofErr w:type="spellStart"/>
      <w:r w:rsidRPr="008D0F6E">
        <w:rPr>
          <w:rFonts w:ascii="Times New Roman" w:eastAsia="Times New Roman" w:hAnsi="Times New Roman" w:cs="Times New Roman"/>
          <w:i/>
          <w:iCs/>
          <w:color w:val="000000"/>
        </w:rPr>
        <w:t>μ</w:t>
      </w:r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>l</w:t>
      </w:r>
      <w:proofErr w:type="spellEnd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aliquots of wild type IAPP peptide solutions in 0.5% acetic acid were mixed with 500 </w:t>
      </w:r>
      <w:proofErr w:type="spellStart"/>
      <w:r w:rsidRPr="008D0F6E">
        <w:rPr>
          <w:rFonts w:ascii="Times New Roman" w:eastAsia="Times New Roman" w:hAnsi="Times New Roman" w:cs="Times New Roman"/>
          <w:i/>
          <w:iCs/>
          <w:color w:val="000000"/>
        </w:rPr>
        <w:t>μ</w:t>
      </w:r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>l</w:t>
      </w:r>
      <w:proofErr w:type="spellEnd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of 10 </w:t>
      </w:r>
      <w:proofErr w:type="spellStart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>mM</w:t>
      </w:r>
      <w:proofErr w:type="spellEnd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phosphate buffer (pH 7.4) to yield 50 </w:t>
      </w:r>
      <w:proofErr w:type="spellStart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>mM</w:t>
      </w:r>
      <w:proofErr w:type="spellEnd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IAPP concentration in the presence and absence of 10 </w:t>
      </w:r>
      <w:proofErr w:type="spellStart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>mM</w:t>
      </w:r>
      <w:proofErr w:type="spellEnd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50 </w:t>
      </w:r>
      <w:proofErr w:type="spellStart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>mM</w:t>
      </w:r>
      <w:proofErr w:type="spellEnd"/>
      <w:r w:rsidRPr="008D0F6E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curcumin concentrations.</w:t>
      </w:r>
    </w:p>
    <w:p w:rsidR="008D0F6E" w:rsidRDefault="008D0F6E"/>
    <w:sectPr w:rsidR="008D0F6E" w:rsidSect="008752B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EuclidSymbol">
    <w:altName w:val="Cambria"/>
    <w:panose1 w:val="020B0604020202020204"/>
    <w:charset w:val="00"/>
    <w:family w:val="roman"/>
    <w:notTrueType/>
    <w:pitch w:val="default"/>
  </w:font>
  <w:font w:name="MinionPro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8A"/>
    <w:rsid w:val="00116344"/>
    <w:rsid w:val="00143268"/>
    <w:rsid w:val="001572BF"/>
    <w:rsid w:val="002103CB"/>
    <w:rsid w:val="005306A4"/>
    <w:rsid w:val="005A448A"/>
    <w:rsid w:val="008752BA"/>
    <w:rsid w:val="00882336"/>
    <w:rsid w:val="008D0F6E"/>
    <w:rsid w:val="009B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D1AB6"/>
  <w15:chartTrackingRefBased/>
  <w15:docId w15:val="{70DBB3D5-A943-8841-84F4-DC87D049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D0F6E"/>
  </w:style>
  <w:style w:type="character" w:styleId="Emphasis">
    <w:name w:val="Emphasis"/>
    <w:basedOn w:val="DefaultParagraphFont"/>
    <w:uiPriority w:val="20"/>
    <w:qFormat/>
    <w:rsid w:val="008D0F6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0F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2019-09-28T12:28:00Z</dcterms:created>
  <dcterms:modified xsi:type="dcterms:W3CDTF">2019-10-06T14:15:00Z</dcterms:modified>
</cp:coreProperties>
</file>