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06A4" w:rsidRDefault="007D0837">
      <w:r>
        <w:t>Serum amyloid</w:t>
      </w:r>
    </w:p>
    <w:p w:rsidR="007D0837" w:rsidRDefault="007D0837"/>
    <w:p w:rsidR="007D0837" w:rsidRDefault="007D0837">
      <w:r>
        <w:t xml:space="preserve">From </w:t>
      </w:r>
      <w:hyperlink r:id="rId4" w:history="1">
        <w:r w:rsidRPr="00951AED">
          <w:rPr>
            <w:rStyle w:val="Hyperlink"/>
          </w:rPr>
          <w:t>https://molmed.biomedcentral.com/articles/10.1186/s10020-018-0047-0</w:t>
        </w:r>
      </w:hyperlink>
    </w:p>
    <w:p w:rsidR="007D0837" w:rsidRDefault="007D0837" w:rsidP="007D0837">
      <w:pPr>
        <w:rPr>
          <w:rFonts w:ascii="Georgia" w:eastAsia="Times New Roman" w:hAnsi="Georgia" w:cs="Times New Roman"/>
          <w:color w:val="333333"/>
          <w:sz w:val="27"/>
          <w:szCs w:val="27"/>
          <w:shd w:val="clear" w:color="auto" w:fill="FFFFFF"/>
        </w:rPr>
      </w:pPr>
      <w:r w:rsidRPr="007D0837">
        <w:rPr>
          <w:rFonts w:ascii="Georgia" w:eastAsia="Times New Roman" w:hAnsi="Georgia" w:cs="Times New Roman"/>
          <w:color w:val="333333"/>
          <w:sz w:val="27"/>
          <w:szCs w:val="27"/>
          <w:shd w:val="clear" w:color="auto" w:fill="FFFFFF"/>
        </w:rPr>
        <w:t>Serum amyloid A (SAA) proteins were isolated and named over 50 years ago. They are small (104 amino acids) and have a striking relationship to the acute phase response with serum levels rising as much as 1000-fold in 24 hours. SAA proteins are encoded in a family of closely-related genes and have been remarkably conserved throughout vertebrate evolution. Amino-terminal fragments of SAA can form highly organized, insoluble fibrils that accumulate in “secondary” amyloid disease. Despite their evolutionary preservation and dynamic synthesis pattern SAA proteins have lacked well-defined physiologic roles.</w:t>
      </w:r>
    </w:p>
    <w:p w:rsidR="007D0837" w:rsidRDefault="007D0837" w:rsidP="007D0837">
      <w:pPr>
        <w:rPr>
          <w:rFonts w:ascii="Georgia" w:eastAsia="Times New Roman" w:hAnsi="Georgia" w:cs="Times New Roman"/>
          <w:color w:val="333333"/>
          <w:sz w:val="27"/>
          <w:szCs w:val="27"/>
          <w:shd w:val="clear" w:color="auto" w:fill="FFFFFF"/>
        </w:rPr>
      </w:pPr>
    </w:p>
    <w:p w:rsidR="007D0837" w:rsidRDefault="007D0837" w:rsidP="007D0837">
      <w:pPr>
        <w:rPr>
          <w:rFonts w:ascii="Georgia" w:eastAsia="Times New Roman" w:hAnsi="Georgia" w:cs="Times New Roman"/>
          <w:color w:val="333333"/>
          <w:sz w:val="27"/>
          <w:szCs w:val="27"/>
          <w:shd w:val="clear" w:color="auto" w:fill="FFFFFF"/>
        </w:rPr>
      </w:pPr>
      <w:r>
        <w:rPr>
          <w:rFonts w:ascii="Georgia" w:eastAsia="Times New Roman" w:hAnsi="Georgia" w:cs="Times New Roman"/>
          <w:color w:val="333333"/>
          <w:sz w:val="27"/>
          <w:szCs w:val="27"/>
          <w:shd w:val="clear" w:color="auto" w:fill="FFFFFF"/>
        </w:rPr>
        <w:t>Patke</w:t>
      </w:r>
      <w:r w:rsidR="00EC35E4">
        <w:rPr>
          <w:rFonts w:ascii="Georgia" w:eastAsia="Times New Roman" w:hAnsi="Georgia" w:cs="Times New Roman"/>
          <w:color w:val="333333"/>
          <w:sz w:val="27"/>
          <w:szCs w:val="27"/>
          <w:shd w:val="clear" w:color="auto" w:fill="FFFFFF"/>
        </w:rPr>
        <w:t>2013</w:t>
      </w:r>
    </w:p>
    <w:p w:rsidR="00EC35E4" w:rsidRDefault="00EC35E4" w:rsidP="007D0837">
      <w:pPr>
        <w:rPr>
          <w:rFonts w:ascii="Georgia" w:eastAsia="Times New Roman" w:hAnsi="Georgia" w:cs="Times New Roman"/>
          <w:color w:val="333333"/>
          <w:sz w:val="27"/>
          <w:szCs w:val="27"/>
          <w:shd w:val="clear" w:color="auto" w:fill="FFFFFF"/>
        </w:rPr>
      </w:pPr>
      <w:r>
        <w:rPr>
          <w:rFonts w:ascii="Georgia" w:eastAsia="Times New Roman" w:hAnsi="Georgia" w:cs="Times New Roman"/>
          <w:color w:val="333333"/>
          <w:sz w:val="27"/>
          <w:szCs w:val="27"/>
          <w:shd w:val="clear" w:color="auto" w:fill="FFFFFF"/>
        </w:rPr>
        <w:t>Purification involves a step in 8M urea, so should be all monomeric by the end.</w:t>
      </w:r>
    </w:p>
    <w:p w:rsidR="00EC35E4" w:rsidRDefault="00EC35E4" w:rsidP="00EC35E4">
      <w:pPr>
        <w:rPr>
          <w:color w:val="000000"/>
          <w:shd w:val="clear" w:color="auto" w:fill="FFFFFF"/>
        </w:rPr>
      </w:pPr>
      <w:r>
        <w:rPr>
          <w:color w:val="000000"/>
          <w:shd w:val="clear" w:color="auto" w:fill="FFFFFF"/>
        </w:rPr>
        <w:t>I</w:t>
      </w:r>
      <w:r>
        <w:rPr>
          <w:color w:val="000000"/>
          <w:shd w:val="clear" w:color="auto" w:fill="FFFFFF"/>
        </w:rPr>
        <w:t>nterestingly, most previous studies discussing the pathological importance of hSAA1.1 use a protein expressed in</w:t>
      </w:r>
      <w:r>
        <w:rPr>
          <w:rStyle w:val="apple-converted-space"/>
          <w:color w:val="000000"/>
          <w:shd w:val="clear" w:color="auto" w:fill="FFFFFF"/>
        </w:rPr>
        <w:t> </w:t>
      </w:r>
      <w:r>
        <w:rPr>
          <w:rStyle w:val="Emphasis"/>
          <w:color w:val="000000"/>
        </w:rPr>
        <w:t>E. coli</w:t>
      </w:r>
      <w:r>
        <w:rPr>
          <w:rStyle w:val="apple-converted-space"/>
          <w:color w:val="000000"/>
          <w:shd w:val="clear" w:color="auto" w:fill="FFFFFF"/>
        </w:rPr>
        <w:t> </w:t>
      </w:r>
      <w:hyperlink r:id="rId5" w:anchor="pone.0064974-Yamada1" w:history="1">
        <w:r>
          <w:rPr>
            <w:rStyle w:val="Hyperlink"/>
            <w:color w:val="642A8F"/>
          </w:rPr>
          <w:t>[28]</w:t>
        </w:r>
      </w:hyperlink>
      <w:r>
        <w:rPr>
          <w:rStyle w:val="apple-converted-space"/>
          <w:color w:val="000000"/>
          <w:shd w:val="clear" w:color="auto" w:fill="FFFFFF"/>
        </w:rPr>
        <w:t> </w:t>
      </w:r>
      <w:r>
        <w:rPr>
          <w:color w:val="000000"/>
          <w:shd w:val="clear" w:color="auto" w:fill="FFFFFF"/>
        </w:rPr>
        <w:t>or obtained commercially</w:t>
      </w:r>
      <w:r>
        <w:rPr>
          <w:rStyle w:val="apple-converted-space"/>
          <w:color w:val="000000"/>
          <w:shd w:val="clear" w:color="auto" w:fill="FFFFFF"/>
        </w:rPr>
        <w:t> </w:t>
      </w:r>
      <w:hyperlink r:id="rId6" w:anchor="pone.0064974-Ather1" w:history="1">
        <w:r>
          <w:rPr>
            <w:rStyle w:val="Hyperlink"/>
            <w:color w:val="642A8F"/>
          </w:rPr>
          <w:t>[19]</w:t>
        </w:r>
      </w:hyperlink>
      <w:r>
        <w:rPr>
          <w:color w:val="000000"/>
          <w:shd w:val="clear" w:color="auto" w:fill="FFFFFF"/>
        </w:rPr>
        <w:t>,</w:t>
      </w:r>
      <w:r>
        <w:rPr>
          <w:rStyle w:val="apple-converted-space"/>
          <w:color w:val="000000"/>
          <w:shd w:val="clear" w:color="auto" w:fill="FFFFFF"/>
        </w:rPr>
        <w:t> </w:t>
      </w:r>
      <w:hyperlink r:id="rId7" w:anchor="pone.0064974-Bozinovski1" w:history="1">
        <w:r>
          <w:rPr>
            <w:rStyle w:val="Hyperlink"/>
            <w:color w:val="642A8F"/>
          </w:rPr>
          <w:t>[20]</w:t>
        </w:r>
      </w:hyperlink>
      <w:r>
        <w:rPr>
          <w:color w:val="000000"/>
          <w:shd w:val="clear" w:color="auto" w:fill="FFFFFF"/>
        </w:rPr>
        <w:t>,</w:t>
      </w:r>
      <w:r>
        <w:rPr>
          <w:rStyle w:val="apple-converted-space"/>
          <w:color w:val="000000"/>
          <w:shd w:val="clear" w:color="auto" w:fill="FFFFFF"/>
        </w:rPr>
        <w:t> </w:t>
      </w:r>
      <w:hyperlink r:id="rId8" w:anchor="pone.0064974-Cheng1" w:history="1">
        <w:r>
          <w:rPr>
            <w:rStyle w:val="Hyperlink"/>
            <w:color w:val="642A8F"/>
          </w:rPr>
          <w:t>[29]</w:t>
        </w:r>
      </w:hyperlink>
      <w:r>
        <w:rPr>
          <w:color w:val="000000"/>
          <w:shd w:val="clear" w:color="auto" w:fill="FFFFFF"/>
        </w:rPr>
        <w:t>,</w:t>
      </w:r>
      <w:r>
        <w:rPr>
          <w:rStyle w:val="apple-converted-space"/>
          <w:color w:val="000000"/>
          <w:shd w:val="clear" w:color="auto" w:fill="FFFFFF"/>
        </w:rPr>
        <w:t> </w:t>
      </w:r>
      <w:hyperlink r:id="rId9" w:anchor="pone.0064974-He1" w:history="1">
        <w:r>
          <w:rPr>
            <w:rStyle w:val="Hyperlink"/>
            <w:color w:val="642A8F"/>
          </w:rPr>
          <w:t>[30]</w:t>
        </w:r>
      </w:hyperlink>
      <w:r>
        <w:rPr>
          <w:color w:val="000000"/>
          <w:shd w:val="clear" w:color="auto" w:fill="FFFFFF"/>
        </w:rPr>
        <w:t>, that carries a N-terminal methionine, a residue which is absent in the SAA protein found in amyloid deposits</w:t>
      </w:r>
      <w:r>
        <w:rPr>
          <w:rStyle w:val="apple-converted-space"/>
          <w:color w:val="000000"/>
          <w:shd w:val="clear" w:color="auto" w:fill="FFFFFF"/>
        </w:rPr>
        <w:t> </w:t>
      </w:r>
      <w:r>
        <w:rPr>
          <w:rStyle w:val="Emphasis"/>
          <w:color w:val="000000"/>
        </w:rPr>
        <w:t>in vivo</w:t>
      </w:r>
      <w:r>
        <w:rPr>
          <w:rStyle w:val="apple-converted-space"/>
          <w:color w:val="000000"/>
          <w:shd w:val="clear" w:color="auto" w:fill="FFFFFF"/>
        </w:rPr>
        <w:t> </w:t>
      </w:r>
      <w:hyperlink r:id="rId10" w:anchor="pone.0064974-Eriksen1" w:history="1">
        <w:r>
          <w:rPr>
            <w:rStyle w:val="Hyperlink"/>
            <w:color w:val="642A8F"/>
          </w:rPr>
          <w:t>[7]</w:t>
        </w:r>
      </w:hyperlink>
      <w:r>
        <w:rPr>
          <w:color w:val="000000"/>
          <w:shd w:val="clear" w:color="auto" w:fill="FFFFFF"/>
        </w:rPr>
        <w:t>,</w:t>
      </w:r>
      <w:r>
        <w:rPr>
          <w:rStyle w:val="apple-converted-space"/>
          <w:color w:val="000000"/>
          <w:shd w:val="clear" w:color="auto" w:fill="FFFFFF"/>
        </w:rPr>
        <w:t> </w:t>
      </w:r>
      <w:hyperlink r:id="rId11" w:anchor="pone.0064974-Liepnieks1" w:history="1">
        <w:r>
          <w:rPr>
            <w:rStyle w:val="Hyperlink"/>
            <w:color w:val="642A8F"/>
          </w:rPr>
          <w:t>[16]</w:t>
        </w:r>
      </w:hyperlink>
      <w:r>
        <w:rPr>
          <w:color w:val="000000"/>
          <w:shd w:val="clear" w:color="auto" w:fill="FFFFFF"/>
        </w:rPr>
        <w:t>,</w:t>
      </w:r>
      <w:r>
        <w:rPr>
          <w:rStyle w:val="apple-converted-space"/>
          <w:color w:val="000000"/>
          <w:shd w:val="clear" w:color="auto" w:fill="FFFFFF"/>
        </w:rPr>
        <w:t> </w:t>
      </w:r>
      <w:hyperlink r:id="rId12" w:anchor="pone.0064974-Parmelee1" w:history="1">
        <w:r>
          <w:rPr>
            <w:rStyle w:val="Hyperlink"/>
            <w:color w:val="642A8F"/>
          </w:rPr>
          <w:t>[18]</w:t>
        </w:r>
      </w:hyperlink>
      <w:r>
        <w:rPr>
          <w:color w:val="000000"/>
          <w:shd w:val="clear" w:color="auto" w:fill="FFFFFF"/>
        </w:rPr>
        <w:t>. We therefore used both hSAA1.1 without the N-terminal methionine (hSAA1.1) and with the N-terminal methionine (referred to as MetSAA1.1). Such a side-by-side comparison of the commonly studied version of the protein (MetSAA1.1) and the physiologically relevant isoform (hSAA1.1) would help provide a more comprehensive understanding of the oligomerization and fibrillation properties of hSAA1.</w:t>
      </w:r>
    </w:p>
    <w:p w:rsidR="001A22CB" w:rsidRDefault="001A22CB" w:rsidP="00EC35E4">
      <w:pPr>
        <w:rPr>
          <w:color w:val="000000"/>
          <w:shd w:val="clear" w:color="auto" w:fill="FFFFFF"/>
        </w:rPr>
      </w:pPr>
    </w:p>
    <w:p w:rsidR="001A22CB" w:rsidRPr="001A22CB" w:rsidRDefault="001A22CB" w:rsidP="001A22CB">
      <w:pPr>
        <w:rPr>
          <w:rFonts w:ascii="Times New Roman" w:eastAsia="Times New Roman" w:hAnsi="Times New Roman" w:cs="Times New Roman"/>
        </w:rPr>
      </w:pPr>
      <w:r w:rsidRPr="001A22CB">
        <w:rPr>
          <w:rFonts w:ascii="Times New Roman" w:eastAsia="Times New Roman" w:hAnsi="Times New Roman" w:cs="Times New Roman"/>
          <w:color w:val="000000"/>
          <w:shd w:val="clear" w:color="auto" w:fill="FFFFFF"/>
        </w:rPr>
        <w:t>For ThT fluorescence assay, a solution containing freshly refolded protein (20 µM) in Tris buffer (20 mM Tris-HCl, pH 8.3, 4°C) was incubated at 37°C without agitation in an Eppendorf Mastercycler (Eppendorf). At desired time intervals, 5 µL of this solution were mixed with 5 µL ThT dye solution (260 µM) and 90 µL of glycine-NaOH buffer (50 mM glycine, pH 8.5) and measurements were made on a Safire II microplate reader (Tecan). Analysis was done in triplicates. The experimental settings used were as follows: excitation wavelength, 440 nm; emission wavelength, 485 nm; excitation bandwidth, 5 nm; emission bandwidth, 5 nm; Number of scans, 6.</w:t>
      </w:r>
    </w:p>
    <w:p w:rsidR="001A22CB" w:rsidRDefault="001A22CB" w:rsidP="00EC35E4"/>
    <w:p w:rsidR="00EA2A10" w:rsidRDefault="001A790A" w:rsidP="00EC35E4">
      <w:r>
        <w:t xml:space="preserve">There are seeding experiments in this paper, but it’s not clear what seed concentration was used. However, the seeded reactions </w:t>
      </w:r>
      <w:r w:rsidR="00EB19FD">
        <w:t>don’t seem to aggregate faster than the unseeded ones.</w:t>
      </w:r>
    </w:p>
    <w:p w:rsidR="00EA2A10" w:rsidRDefault="00EA2A10" w:rsidP="00EC35E4"/>
    <w:p w:rsidR="00EA2A10" w:rsidRDefault="001A7368" w:rsidP="00EC35E4">
      <w:r>
        <w:t>Srini</w:t>
      </w:r>
      <w:r w:rsidR="00EA2A10">
        <w:t>vasan2013</w:t>
      </w:r>
    </w:p>
    <w:p w:rsidR="001A790A" w:rsidRDefault="00EA2A10" w:rsidP="00EC35E4">
      <w:r>
        <w:t>Purification involves urea, and also centrifugation to get rid of insoluble stuff. No shaking mentioned, but from the same lab as Patke2013 so probably safe to assume there was no shaking.</w:t>
      </w:r>
      <w:r w:rsidR="001A790A">
        <w:t xml:space="preserve"> </w:t>
      </w:r>
    </w:p>
    <w:p w:rsidR="00A91B08" w:rsidRDefault="00A91B08" w:rsidP="00A91B08">
      <w:pPr>
        <w:autoSpaceDE w:val="0"/>
        <w:autoSpaceDN w:val="0"/>
        <w:adjustRightInd w:val="0"/>
        <w:rPr>
          <w:rFonts w:ascii="Times New Roman" w:hAnsi="Times New Roman" w:cs="Times New Roman"/>
          <w:sz w:val="19"/>
          <w:szCs w:val="19"/>
          <w:lang w:val="en-US"/>
        </w:rPr>
      </w:pPr>
      <w:r>
        <w:rPr>
          <w:rFonts w:ascii="Times New Roman" w:hAnsi="Times New Roman" w:cs="Times New Roman"/>
          <w:sz w:val="19"/>
          <w:szCs w:val="19"/>
          <w:lang w:val="en-US"/>
        </w:rPr>
        <w:t>Murine SAA1.1 is pathogenic and SAA2.2 is non-pathogenic in AA amyloidosis</w:t>
      </w:r>
      <w:r>
        <w:rPr>
          <w:rFonts w:ascii="Times New Roman" w:hAnsi="Times New Roman" w:cs="Times New Roman"/>
          <w:sz w:val="19"/>
          <w:szCs w:val="19"/>
          <w:lang w:val="en-US"/>
        </w:rPr>
        <w:t xml:space="preserve">. </w:t>
      </w:r>
      <w:r>
        <w:rPr>
          <w:rFonts w:ascii="Times New Roman" w:hAnsi="Times New Roman" w:cs="Times New Roman"/>
          <w:sz w:val="19"/>
          <w:szCs w:val="19"/>
          <w:lang w:val="en-US"/>
        </w:rPr>
        <w:t>Despite the high sequence identity</w:t>
      </w:r>
    </w:p>
    <w:p w:rsidR="00A91B08" w:rsidRDefault="00A91B08" w:rsidP="00A91B08">
      <w:pPr>
        <w:autoSpaceDE w:val="0"/>
        <w:autoSpaceDN w:val="0"/>
        <w:adjustRightInd w:val="0"/>
        <w:rPr>
          <w:rFonts w:ascii="Times New Roman" w:hAnsi="Times New Roman" w:cs="Times New Roman"/>
          <w:sz w:val="19"/>
          <w:szCs w:val="19"/>
          <w:lang w:val="en-US"/>
        </w:rPr>
      </w:pPr>
      <w:r>
        <w:rPr>
          <w:rFonts w:ascii="Times New Roman" w:hAnsi="Times New Roman" w:cs="Times New Roman"/>
          <w:sz w:val="19"/>
          <w:szCs w:val="19"/>
          <w:lang w:val="en-US"/>
        </w:rPr>
        <w:t>among different SAA isoforms, not all SAA proteins are</w:t>
      </w:r>
    </w:p>
    <w:p w:rsidR="00A91B08" w:rsidRDefault="00A91B08" w:rsidP="00A91B08">
      <w:pPr>
        <w:autoSpaceDE w:val="0"/>
        <w:autoSpaceDN w:val="0"/>
        <w:adjustRightInd w:val="0"/>
        <w:rPr>
          <w:rFonts w:ascii="Times New Roman" w:hAnsi="Times New Roman" w:cs="Times New Roman"/>
          <w:sz w:val="19"/>
          <w:szCs w:val="19"/>
          <w:lang w:val="en-US"/>
        </w:rPr>
      </w:pPr>
      <w:r>
        <w:rPr>
          <w:rFonts w:ascii="Times New Roman" w:hAnsi="Times New Roman" w:cs="Times New Roman"/>
          <w:sz w:val="19"/>
          <w:szCs w:val="19"/>
          <w:lang w:val="en-US"/>
        </w:rPr>
        <w:t>pathogenic. In most mouse strains, the AA deposits mostly</w:t>
      </w:r>
    </w:p>
    <w:p w:rsidR="00A91B08" w:rsidRDefault="00A91B08" w:rsidP="00A91B08">
      <w:pPr>
        <w:autoSpaceDE w:val="0"/>
        <w:autoSpaceDN w:val="0"/>
        <w:adjustRightInd w:val="0"/>
        <w:rPr>
          <w:rFonts w:ascii="Times New Roman" w:hAnsi="Times New Roman" w:cs="Times New Roman"/>
          <w:sz w:val="19"/>
          <w:szCs w:val="19"/>
          <w:lang w:val="en-US"/>
        </w:rPr>
      </w:pPr>
      <w:r>
        <w:rPr>
          <w:rFonts w:ascii="Times New Roman" w:hAnsi="Times New Roman" w:cs="Times New Roman"/>
          <w:sz w:val="19"/>
          <w:szCs w:val="19"/>
          <w:lang w:val="en-US"/>
        </w:rPr>
        <w:t>consist of SAA1.1. Conversely, the CE/J type mouse expresses</w:t>
      </w:r>
    </w:p>
    <w:p w:rsidR="00A91B08" w:rsidRDefault="00A91B08" w:rsidP="00A91B08">
      <w:pPr>
        <w:autoSpaceDE w:val="0"/>
        <w:autoSpaceDN w:val="0"/>
        <w:adjustRightInd w:val="0"/>
        <w:rPr>
          <w:rFonts w:ascii="Times New Roman" w:hAnsi="Times New Roman" w:cs="Times New Roman"/>
          <w:sz w:val="19"/>
          <w:szCs w:val="19"/>
          <w:lang w:val="en-US"/>
        </w:rPr>
      </w:pPr>
      <w:r>
        <w:rPr>
          <w:rFonts w:ascii="Times New Roman" w:hAnsi="Times New Roman" w:cs="Times New Roman"/>
          <w:sz w:val="19"/>
          <w:szCs w:val="19"/>
          <w:lang w:val="en-US"/>
        </w:rPr>
        <w:t>a single non-pathogenic SAA2.2 protein that is 94% identical</w:t>
      </w:r>
    </w:p>
    <w:p w:rsidR="00A91B08" w:rsidRDefault="00A91B08" w:rsidP="00A91B08">
      <w:pPr>
        <w:rPr>
          <w:rFonts w:ascii="Times New Roman" w:hAnsi="Times New Roman" w:cs="Times New Roman"/>
          <w:sz w:val="19"/>
          <w:szCs w:val="19"/>
          <w:lang w:val="en-US"/>
        </w:rPr>
      </w:pPr>
      <w:r>
        <w:rPr>
          <w:rFonts w:ascii="Times New Roman" w:hAnsi="Times New Roman" w:cs="Times New Roman"/>
          <w:sz w:val="19"/>
          <w:szCs w:val="19"/>
          <w:lang w:val="en-US"/>
        </w:rPr>
        <w:t>to SAA1.1.</w:t>
      </w:r>
    </w:p>
    <w:p w:rsidR="00A91B08" w:rsidRDefault="00A91B08" w:rsidP="00A91B08">
      <w:p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For seeding assays, preformed SAA</w:t>
      </w:r>
    </w:p>
    <w:p w:rsidR="00A91B08" w:rsidRDefault="00A91B08" w:rsidP="00A91B08">
      <w:p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lastRenderedPageBreak/>
        <w:t>protofibrils or fibrils were added at 5% w/w to purified refolded</w:t>
      </w:r>
    </w:p>
    <w:p w:rsidR="00A91B08" w:rsidRDefault="00A91B08" w:rsidP="00A91B08">
      <w:p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oligomers of SAA and immediately incubated at 37 °C and</w:t>
      </w:r>
    </w:p>
    <w:p w:rsidR="00A91B08" w:rsidRDefault="00A91B08" w:rsidP="00A91B08">
      <w:pPr>
        <w:rPr>
          <w:rFonts w:ascii="Times New Roman" w:hAnsi="Times New Roman" w:cs="Times New Roman"/>
          <w:sz w:val="20"/>
          <w:szCs w:val="20"/>
          <w:lang w:val="en-US"/>
        </w:rPr>
      </w:pPr>
      <w:r>
        <w:rPr>
          <w:rFonts w:ascii="Times New Roman" w:hAnsi="Times New Roman" w:cs="Times New Roman"/>
          <w:sz w:val="20"/>
          <w:szCs w:val="20"/>
          <w:lang w:val="en-US"/>
        </w:rPr>
        <w:t>allowed to aggregate.</w:t>
      </w:r>
    </w:p>
    <w:p w:rsidR="00A16246" w:rsidRDefault="00A16246" w:rsidP="00A91B08">
      <w:pPr>
        <w:rPr>
          <w:rFonts w:ascii="Times New Roman" w:hAnsi="Times New Roman" w:cs="Times New Roman"/>
          <w:sz w:val="20"/>
          <w:szCs w:val="20"/>
          <w:lang w:val="en-US"/>
        </w:rPr>
      </w:pPr>
    </w:p>
    <w:p w:rsidR="00A16246" w:rsidRDefault="00A16246" w:rsidP="00A91B08">
      <w:pPr>
        <w:rPr>
          <w:rFonts w:ascii="Times New Roman" w:hAnsi="Times New Roman" w:cs="Times New Roman"/>
          <w:sz w:val="20"/>
          <w:szCs w:val="20"/>
          <w:lang w:val="en-US"/>
        </w:rPr>
      </w:pPr>
      <w:r>
        <w:rPr>
          <w:rFonts w:ascii="Times New Roman" w:hAnsi="Times New Roman" w:cs="Times New Roman"/>
          <w:sz w:val="20"/>
          <w:szCs w:val="20"/>
          <w:lang w:val="en-US"/>
        </w:rPr>
        <w:t>Ye2011</w:t>
      </w:r>
    </w:p>
    <w:p w:rsidR="00A16246" w:rsidRDefault="00DE15D1" w:rsidP="00A91B08">
      <w:r>
        <w:rPr>
          <w:rFonts w:ascii="Times New Roman" w:hAnsi="Times New Roman" w:cs="Times New Roman"/>
          <w:sz w:val="20"/>
          <w:szCs w:val="20"/>
          <w:lang w:val="en-US"/>
        </w:rPr>
        <w:t>Purified in 6 M urea.</w:t>
      </w:r>
      <w:bookmarkStart w:id="0" w:name="_GoBack"/>
      <w:bookmarkEnd w:id="0"/>
    </w:p>
    <w:p w:rsidR="00EC35E4" w:rsidRPr="007D0837" w:rsidRDefault="00EC35E4" w:rsidP="007D0837">
      <w:pPr>
        <w:rPr>
          <w:rFonts w:ascii="Times New Roman" w:eastAsia="Times New Roman" w:hAnsi="Times New Roman" w:cs="Times New Roman"/>
        </w:rPr>
      </w:pPr>
    </w:p>
    <w:p w:rsidR="007D0837" w:rsidRDefault="007D0837"/>
    <w:sectPr w:rsidR="007D0837" w:rsidSect="008752B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37"/>
    <w:rsid w:val="00116344"/>
    <w:rsid w:val="00143268"/>
    <w:rsid w:val="001572BF"/>
    <w:rsid w:val="001A22CB"/>
    <w:rsid w:val="001A7368"/>
    <w:rsid w:val="001A790A"/>
    <w:rsid w:val="002103CB"/>
    <w:rsid w:val="005306A4"/>
    <w:rsid w:val="00725EBE"/>
    <w:rsid w:val="007D0837"/>
    <w:rsid w:val="008752BA"/>
    <w:rsid w:val="00882336"/>
    <w:rsid w:val="009B0542"/>
    <w:rsid w:val="00A16246"/>
    <w:rsid w:val="00A91B08"/>
    <w:rsid w:val="00DE15D1"/>
    <w:rsid w:val="00EA2A10"/>
    <w:rsid w:val="00EB19FD"/>
    <w:rsid w:val="00EC35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4A4AB2"/>
  <w15:chartTrackingRefBased/>
  <w15:docId w15:val="{C0C01D80-450C-2743-8F8B-69E3360A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837"/>
    <w:rPr>
      <w:color w:val="0563C1" w:themeColor="hyperlink"/>
      <w:u w:val="single"/>
    </w:rPr>
  </w:style>
  <w:style w:type="character" w:styleId="UnresolvedMention">
    <w:name w:val="Unresolved Mention"/>
    <w:basedOn w:val="DefaultParagraphFont"/>
    <w:uiPriority w:val="99"/>
    <w:rsid w:val="007D0837"/>
    <w:rPr>
      <w:color w:val="605E5C"/>
      <w:shd w:val="clear" w:color="auto" w:fill="E1DFDD"/>
    </w:rPr>
  </w:style>
  <w:style w:type="character" w:customStyle="1" w:styleId="apple-converted-space">
    <w:name w:val="apple-converted-space"/>
    <w:basedOn w:val="DefaultParagraphFont"/>
    <w:rsid w:val="00EC35E4"/>
  </w:style>
  <w:style w:type="character" w:styleId="Emphasis">
    <w:name w:val="Emphasis"/>
    <w:basedOn w:val="DefaultParagraphFont"/>
    <w:uiPriority w:val="20"/>
    <w:qFormat/>
    <w:rsid w:val="00EC35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175529">
      <w:bodyDiv w:val="1"/>
      <w:marLeft w:val="0"/>
      <w:marRight w:val="0"/>
      <w:marTop w:val="0"/>
      <w:marBottom w:val="0"/>
      <w:divBdr>
        <w:top w:val="none" w:sz="0" w:space="0" w:color="auto"/>
        <w:left w:val="none" w:sz="0" w:space="0" w:color="auto"/>
        <w:bottom w:val="none" w:sz="0" w:space="0" w:color="auto"/>
        <w:right w:val="none" w:sz="0" w:space="0" w:color="auto"/>
      </w:divBdr>
    </w:div>
    <w:div w:id="1318848204">
      <w:bodyDiv w:val="1"/>
      <w:marLeft w:val="0"/>
      <w:marRight w:val="0"/>
      <w:marTop w:val="0"/>
      <w:marBottom w:val="0"/>
      <w:divBdr>
        <w:top w:val="none" w:sz="0" w:space="0" w:color="auto"/>
        <w:left w:val="none" w:sz="0" w:space="0" w:color="auto"/>
        <w:bottom w:val="none" w:sz="0" w:space="0" w:color="auto"/>
        <w:right w:val="none" w:sz="0" w:space="0" w:color="auto"/>
      </w:divBdr>
    </w:div>
    <w:div w:id="1332953177">
      <w:bodyDiv w:val="1"/>
      <w:marLeft w:val="0"/>
      <w:marRight w:val="0"/>
      <w:marTop w:val="0"/>
      <w:marBottom w:val="0"/>
      <w:divBdr>
        <w:top w:val="none" w:sz="0" w:space="0" w:color="auto"/>
        <w:left w:val="none" w:sz="0" w:space="0" w:color="auto"/>
        <w:bottom w:val="none" w:sz="0" w:space="0" w:color="auto"/>
        <w:right w:val="none" w:sz="0" w:space="0" w:color="auto"/>
      </w:divBdr>
    </w:div>
    <w:div w:id="177597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367217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cbi.nlm.nih.gov/pmc/articles/PMC3672174/" TargetMode="External"/><Relationship Id="rId12" Type="http://schemas.openxmlformats.org/officeDocument/2006/relationships/hyperlink" Target="https://www.ncbi.nlm.nih.gov/pmc/articles/PMC367217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bi.nlm.nih.gov/pmc/articles/PMC3672174/" TargetMode="External"/><Relationship Id="rId11" Type="http://schemas.openxmlformats.org/officeDocument/2006/relationships/hyperlink" Target="https://www.ncbi.nlm.nih.gov/pmc/articles/PMC3672174/" TargetMode="External"/><Relationship Id="rId5" Type="http://schemas.openxmlformats.org/officeDocument/2006/relationships/hyperlink" Target="https://www.ncbi.nlm.nih.gov/pmc/articles/PMC3672174/" TargetMode="External"/><Relationship Id="rId10" Type="http://schemas.openxmlformats.org/officeDocument/2006/relationships/hyperlink" Target="https://www.ncbi.nlm.nih.gov/pmc/articles/PMC3672174/" TargetMode="External"/><Relationship Id="rId4" Type="http://schemas.openxmlformats.org/officeDocument/2006/relationships/hyperlink" Target="https://molmed.biomedcentral.com/articles/10.1186/s10020-018-0047-0" TargetMode="External"/><Relationship Id="rId9" Type="http://schemas.openxmlformats.org/officeDocument/2006/relationships/hyperlink" Target="https://www.ncbi.nlm.nih.gov/pmc/articles/PMC36721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2019-10-06T16:09:00Z</dcterms:created>
  <dcterms:modified xsi:type="dcterms:W3CDTF">2019-10-06T19:21:00Z</dcterms:modified>
</cp:coreProperties>
</file>