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06A4" w:rsidRPr="001B43B4" w:rsidRDefault="00EF2F71">
      <w:pPr>
        <w:rPr>
          <w:rFonts w:ascii="Calibri" w:hAnsi="Calibri"/>
          <w:b/>
          <w:color w:val="000000" w:themeColor="text1"/>
        </w:rPr>
      </w:pPr>
      <w:r w:rsidRPr="001B43B4">
        <w:rPr>
          <w:rFonts w:ascii="Calibri" w:hAnsi="Calibri"/>
          <w:b/>
          <w:color w:val="000000" w:themeColor="text1"/>
        </w:rPr>
        <w:t>Gadm1</w:t>
      </w:r>
    </w:p>
    <w:p w:rsidR="001B43B4" w:rsidRPr="001B43B4" w:rsidRDefault="001B43B4" w:rsidP="001B43B4">
      <w:pPr>
        <w:rPr>
          <w:rFonts w:ascii="Calibri" w:eastAsia="Times New Roman" w:hAnsi="Calibri" w:cs="Times New Roman"/>
          <w:color w:val="000000" w:themeColor="text1"/>
        </w:rPr>
      </w:pPr>
      <w:r w:rsidRPr="001B43B4">
        <w:rPr>
          <w:rFonts w:ascii="Calibri" w:hAnsi="Calibri"/>
          <w:b/>
          <w:color w:val="000000" w:themeColor="text1"/>
        </w:rPr>
        <w:t xml:space="preserve">Mass = </w:t>
      </w:r>
      <w:r w:rsidRPr="001B43B4">
        <w:rPr>
          <w:rFonts w:ascii="Calibri" w:eastAsia="Times New Roman" w:hAnsi="Calibri" w:cs="Times New Roman"/>
          <w:color w:val="000000" w:themeColor="text1"/>
          <w:shd w:val="clear" w:color="auto" w:fill="FFFFFF"/>
        </w:rPr>
        <w:t>11551.07 Da</w:t>
      </w:r>
    </w:p>
    <w:p w:rsidR="001B43B4" w:rsidRPr="001B43B4" w:rsidRDefault="001B43B4">
      <w:pPr>
        <w:rPr>
          <w:rFonts w:ascii="Calibri" w:hAnsi="Calibri"/>
          <w:b/>
          <w:color w:val="000000" w:themeColor="text1"/>
        </w:rPr>
      </w:pPr>
    </w:p>
    <w:p w:rsidR="00EF2F71" w:rsidRDefault="00EF2F71">
      <w:pPr>
        <w:rPr>
          <w:rFonts w:ascii="Calibri" w:hAnsi="Calibri"/>
          <w:color w:val="000000" w:themeColor="text1"/>
        </w:rPr>
      </w:pPr>
      <w:r w:rsidRPr="001B43B4">
        <w:rPr>
          <w:rFonts w:ascii="Calibri" w:hAnsi="Calibri"/>
          <w:color w:val="000000" w:themeColor="text1"/>
        </w:rPr>
        <w:t xml:space="preserve">Gadm1 is a beta-parvalbumin, the major allergen in fish allergy, and its amyloid fibrils are recognised by </w:t>
      </w:r>
      <w:proofErr w:type="spellStart"/>
      <w:r w:rsidRPr="001B43B4">
        <w:rPr>
          <w:rFonts w:ascii="Calibri" w:hAnsi="Calibri"/>
          <w:color w:val="000000" w:themeColor="text1"/>
        </w:rPr>
        <w:t>IgE</w:t>
      </w:r>
      <w:proofErr w:type="spellEnd"/>
      <w:r w:rsidRPr="001B43B4">
        <w:rPr>
          <w:rFonts w:ascii="Calibri" w:hAnsi="Calibri"/>
          <w:color w:val="000000" w:themeColor="text1"/>
        </w:rPr>
        <w:t xml:space="preserve"> in patient sera, suggesting they may have a pathological role.</w:t>
      </w:r>
      <w:r w:rsidR="006922CD" w:rsidRPr="001B43B4">
        <w:rPr>
          <w:rFonts w:ascii="Calibri" w:hAnsi="Calibri"/>
          <w:color w:val="000000" w:themeColor="text1"/>
        </w:rPr>
        <w:t xml:space="preserve"> Not sure which category this should fall into, since it’s not really pathogenic by spreading, they propose that the amyloid fold helps with providing an epitope, and also makes it more stable towards degradation.</w:t>
      </w:r>
    </w:p>
    <w:p w:rsidR="00514415" w:rsidRDefault="00514415">
      <w:pPr>
        <w:rPr>
          <w:rFonts w:ascii="Calibri" w:hAnsi="Calibri"/>
          <w:color w:val="000000" w:themeColor="text1"/>
        </w:rPr>
      </w:pPr>
    </w:p>
    <w:p w:rsidR="00514415" w:rsidRPr="001B43B4" w:rsidRDefault="00514415">
      <w:pPr>
        <w:rPr>
          <w:rFonts w:ascii="Calibri" w:hAnsi="Calibri"/>
          <w:color w:val="000000" w:themeColor="text1"/>
        </w:rPr>
      </w:pPr>
      <w:r>
        <w:rPr>
          <w:rFonts w:ascii="Calibri" w:hAnsi="Calibri"/>
          <w:color w:val="000000" w:themeColor="text1"/>
        </w:rPr>
        <w:t>Neither of the papers we have for Gadm1 have seeded kinetics.</w:t>
      </w:r>
    </w:p>
    <w:p w:rsidR="00EF2F71" w:rsidRPr="001B43B4" w:rsidRDefault="00EF2F71">
      <w:pPr>
        <w:rPr>
          <w:rFonts w:ascii="Calibri" w:hAnsi="Calibri"/>
          <w:color w:val="000000" w:themeColor="text1"/>
        </w:rPr>
      </w:pPr>
    </w:p>
    <w:p w:rsidR="00EF2F71" w:rsidRPr="001B43B4" w:rsidRDefault="00EF2F71">
      <w:pPr>
        <w:rPr>
          <w:rFonts w:ascii="Calibri" w:hAnsi="Calibri"/>
          <w:color w:val="000000" w:themeColor="text1"/>
        </w:rPr>
      </w:pPr>
      <w:r w:rsidRPr="007E00E9">
        <w:rPr>
          <w:rFonts w:ascii="Calibri" w:hAnsi="Calibri"/>
          <w:b/>
          <w:color w:val="000000" w:themeColor="text1"/>
        </w:rPr>
        <w:t>Sanchez2016</w:t>
      </w:r>
      <w:r w:rsidRPr="001B43B4">
        <w:rPr>
          <w:rFonts w:ascii="Calibri" w:hAnsi="Calibri"/>
          <w:color w:val="000000" w:themeColor="text1"/>
        </w:rPr>
        <w:t>: Terribly written paper… ACE correspond to mutations within 3 regions, mutations given in fig 2b, but these mutations probably aren’t relevant for us; they wanted to modify antibody binding, so we should just use the WT data.</w:t>
      </w:r>
    </w:p>
    <w:p w:rsidR="006922CD" w:rsidRPr="001B43B4" w:rsidRDefault="00EF2F71">
      <w:pPr>
        <w:rPr>
          <w:rFonts w:ascii="Calibri" w:hAnsi="Calibri"/>
          <w:color w:val="000000" w:themeColor="text1"/>
        </w:rPr>
      </w:pPr>
      <w:r w:rsidRPr="001B43B4">
        <w:rPr>
          <w:rFonts w:ascii="Calibri" w:hAnsi="Calibri"/>
          <w:color w:val="000000" w:themeColor="text1"/>
        </w:rPr>
        <w:t xml:space="preserve">The aggregation assay was performed with 150 </w:t>
      </w:r>
      <w:proofErr w:type="spellStart"/>
      <w:r w:rsidRPr="001B43B4">
        <w:rPr>
          <w:rFonts w:ascii="Calibri" w:hAnsi="Calibri"/>
          <w:color w:val="000000" w:themeColor="text1"/>
        </w:rPr>
        <w:t>μM</w:t>
      </w:r>
      <w:proofErr w:type="spellEnd"/>
      <w:r w:rsidRPr="001B43B4">
        <w:rPr>
          <w:rFonts w:ascii="Calibri" w:hAnsi="Calibri"/>
          <w:color w:val="000000" w:themeColor="text1"/>
        </w:rPr>
        <w:t xml:space="preserve"> protein in 50 mM Tris-HCl, pH 7.5, with 5 mM EDTA</w:t>
      </w:r>
      <w:r w:rsidR="00C30FA4" w:rsidRPr="001B43B4">
        <w:rPr>
          <w:rFonts w:ascii="Calibri" w:hAnsi="Calibri"/>
          <w:color w:val="000000" w:themeColor="text1"/>
        </w:rPr>
        <w:t>, and</w:t>
      </w:r>
      <w:r w:rsidRPr="001B43B4">
        <w:rPr>
          <w:rFonts w:ascii="Calibri" w:hAnsi="Calibri"/>
          <w:color w:val="000000" w:themeColor="text1"/>
        </w:rPr>
        <w:t xml:space="preserve"> monitored by the time-dependence of </w:t>
      </w:r>
      <w:proofErr w:type="spellStart"/>
      <w:r w:rsidRPr="001B43B4">
        <w:rPr>
          <w:rFonts w:ascii="Calibri" w:hAnsi="Calibri"/>
          <w:color w:val="000000" w:themeColor="text1"/>
        </w:rPr>
        <w:t>ThT</w:t>
      </w:r>
      <w:proofErr w:type="spellEnd"/>
      <w:r w:rsidRPr="001B43B4">
        <w:rPr>
          <w:rFonts w:ascii="Calibri" w:hAnsi="Calibri"/>
          <w:color w:val="000000" w:themeColor="text1"/>
        </w:rPr>
        <w:t xml:space="preserve"> binding. </w:t>
      </w:r>
      <w:r w:rsidR="006922CD" w:rsidRPr="001B43B4">
        <w:rPr>
          <w:rFonts w:ascii="Calibri" w:hAnsi="Calibri"/>
          <w:color w:val="000000" w:themeColor="text1"/>
        </w:rPr>
        <w:t>The measurements were performed using 0.18 mL samples containing 10 </w:t>
      </w:r>
      <w:proofErr w:type="spellStart"/>
      <w:r w:rsidR="006922CD" w:rsidRPr="001B43B4">
        <w:rPr>
          <w:rFonts w:ascii="Calibri" w:hAnsi="Calibri"/>
          <w:color w:val="000000" w:themeColor="text1"/>
        </w:rPr>
        <w:t>μM</w:t>
      </w:r>
      <w:proofErr w:type="spellEnd"/>
      <w:r w:rsidR="006922CD" w:rsidRPr="001B43B4">
        <w:rPr>
          <w:rFonts w:ascii="Calibri" w:hAnsi="Calibri"/>
          <w:color w:val="000000" w:themeColor="text1"/>
        </w:rPr>
        <w:t xml:space="preserve"> </w:t>
      </w:r>
      <w:proofErr w:type="spellStart"/>
      <w:r w:rsidR="006922CD" w:rsidRPr="001B43B4">
        <w:rPr>
          <w:rFonts w:ascii="Calibri" w:hAnsi="Calibri"/>
          <w:color w:val="000000" w:themeColor="text1"/>
        </w:rPr>
        <w:t>ThT</w:t>
      </w:r>
      <w:proofErr w:type="spellEnd"/>
      <w:r w:rsidR="006922CD" w:rsidRPr="001B43B4">
        <w:rPr>
          <w:rFonts w:ascii="Calibri" w:hAnsi="Calibri"/>
          <w:color w:val="000000" w:themeColor="text1"/>
        </w:rPr>
        <w:t xml:space="preserve"> and 450 nm excitation and 480 nm emission filters. The measurement program consisted of 10 flashes, a reading collected every 15 min</w:t>
      </w:r>
      <w:r w:rsidR="006922CD" w:rsidRPr="005873FD">
        <w:rPr>
          <w:rFonts w:ascii="Calibri" w:hAnsi="Calibri"/>
          <w:b/>
          <w:color w:val="000000" w:themeColor="text1"/>
        </w:rPr>
        <w:t>, 0.5-min of orbital shaking at 100 rpm</w:t>
      </w:r>
      <w:r w:rsidR="006922CD" w:rsidRPr="001B43B4">
        <w:rPr>
          <w:rFonts w:ascii="Calibri" w:hAnsi="Calibri"/>
          <w:color w:val="000000" w:themeColor="text1"/>
        </w:rPr>
        <w:t>, and the temperature controller was set to 37 °C.</w:t>
      </w:r>
    </w:p>
    <w:p w:rsidR="00EF2F71" w:rsidRPr="001B43B4" w:rsidRDefault="00C30FA4">
      <w:pPr>
        <w:rPr>
          <w:rFonts w:ascii="Calibri" w:hAnsi="Calibri"/>
          <w:color w:val="000000" w:themeColor="text1"/>
        </w:rPr>
      </w:pPr>
      <w:r w:rsidRPr="001B43B4">
        <w:rPr>
          <w:rFonts w:ascii="Calibri" w:hAnsi="Calibri"/>
          <w:color w:val="000000" w:themeColor="text1"/>
        </w:rPr>
        <w:t>Before use, the proteins were centrifuged at 16,000 × g for 20 min at 4 °C to remove any insoluble material</w:t>
      </w:r>
      <w:r w:rsidR="006922CD" w:rsidRPr="001B43B4">
        <w:rPr>
          <w:rFonts w:ascii="Calibri" w:hAnsi="Calibri"/>
          <w:color w:val="000000" w:themeColor="text1"/>
        </w:rPr>
        <w:t xml:space="preserve">. </w:t>
      </w:r>
    </w:p>
    <w:p w:rsidR="00EF2F71" w:rsidRPr="001B43B4" w:rsidRDefault="00EF2F71">
      <w:pPr>
        <w:rPr>
          <w:rFonts w:ascii="Calibri" w:hAnsi="Calibri"/>
          <w:color w:val="000000" w:themeColor="text1"/>
        </w:rPr>
      </w:pPr>
    </w:p>
    <w:p w:rsidR="00EF2F71" w:rsidRPr="001B43B4" w:rsidRDefault="00EF2F71">
      <w:pPr>
        <w:rPr>
          <w:rFonts w:ascii="Calibri" w:hAnsi="Calibri"/>
          <w:color w:val="000000" w:themeColor="text1"/>
        </w:rPr>
      </w:pPr>
      <w:r w:rsidRPr="007E00E9">
        <w:rPr>
          <w:rFonts w:ascii="Calibri" w:hAnsi="Calibri"/>
          <w:b/>
          <w:color w:val="000000" w:themeColor="text1"/>
        </w:rPr>
        <w:t>Castellanos2018</w:t>
      </w:r>
      <w:r w:rsidRPr="001B43B4">
        <w:rPr>
          <w:rFonts w:ascii="Calibri" w:hAnsi="Calibri"/>
          <w:color w:val="000000" w:themeColor="text1"/>
        </w:rPr>
        <w:t>:</w:t>
      </w:r>
      <w:r w:rsidR="00932011" w:rsidRPr="001B43B4">
        <w:rPr>
          <w:rFonts w:ascii="Calibri" w:hAnsi="Calibri"/>
          <w:color w:val="000000" w:themeColor="text1"/>
        </w:rPr>
        <w:t xml:space="preserve"> Again, the mutants probably aren’t so relevant to us</w:t>
      </w:r>
      <w:r w:rsidR="001B43B4" w:rsidRPr="001B43B4">
        <w:rPr>
          <w:rFonts w:ascii="Calibri" w:hAnsi="Calibri"/>
          <w:color w:val="000000" w:themeColor="text1"/>
        </w:rPr>
        <w:t xml:space="preserve"> (unless we classify these as </w:t>
      </w:r>
      <w:proofErr w:type="spellStart"/>
      <w:r w:rsidR="001B43B4" w:rsidRPr="001B43B4">
        <w:rPr>
          <w:rFonts w:ascii="Calibri" w:hAnsi="Calibri"/>
          <w:color w:val="000000" w:themeColor="text1"/>
        </w:rPr>
        <w:t>non pathological</w:t>
      </w:r>
      <w:proofErr w:type="spellEnd"/>
      <w:r w:rsidR="001B43B4" w:rsidRPr="001B43B4">
        <w:rPr>
          <w:rFonts w:ascii="Calibri" w:hAnsi="Calibri"/>
          <w:color w:val="000000" w:themeColor="text1"/>
        </w:rPr>
        <w:t>/functional).</w:t>
      </w:r>
    </w:p>
    <w:p w:rsidR="001B43B4" w:rsidRPr="001B43B4" w:rsidRDefault="001B43B4">
      <w:pPr>
        <w:rPr>
          <w:rFonts w:ascii="Calibri" w:hAnsi="Calibri"/>
          <w:color w:val="000000" w:themeColor="text1"/>
        </w:rPr>
      </w:pPr>
      <w:r w:rsidRPr="001B43B4">
        <w:rPr>
          <w:rFonts w:ascii="Calibri" w:hAnsi="Calibri"/>
          <w:color w:val="000000" w:themeColor="text1"/>
        </w:rPr>
        <w:t>Protein was centrifuged at 16,000× g for 20 min at 4 °C to remove aggregates prior to use. Amyloid aggregates were formed by incubating proteins (2 mg/mL</w:t>
      </w:r>
      <w:r w:rsidR="00514415">
        <w:rPr>
          <w:rFonts w:ascii="Calibri" w:hAnsi="Calibri"/>
          <w:color w:val="000000" w:themeColor="text1"/>
        </w:rPr>
        <w:t xml:space="preserve"> = 173 </w:t>
      </w:r>
      <w:proofErr w:type="spellStart"/>
      <w:r w:rsidR="00514415">
        <w:rPr>
          <w:rFonts w:ascii="Calibri" w:hAnsi="Calibri"/>
          <w:color w:val="000000" w:themeColor="text1"/>
        </w:rPr>
        <w:t>uM</w:t>
      </w:r>
      <w:proofErr w:type="spellEnd"/>
      <w:r w:rsidRPr="001B43B4">
        <w:rPr>
          <w:rFonts w:ascii="Calibri" w:hAnsi="Calibri"/>
          <w:color w:val="000000" w:themeColor="text1"/>
        </w:rPr>
        <w:t xml:space="preserve">) in 25 mM Tris-HCl (pH 7.5) containing 50 mM NaCl and 4 mM EDTA for 120 h at 37 °C. Briefly, after aggregates were removed by centrifugation, protein stock solutions were diluted with 25 mM Tris-HCl (pH 7.5) containing 50 mM NaCl and 4 mM EDTA and supplemented with or </w:t>
      </w:r>
      <w:bookmarkStart w:id="0" w:name="_GoBack"/>
      <w:bookmarkEnd w:id="0"/>
      <w:r w:rsidRPr="001B43B4">
        <w:rPr>
          <w:rFonts w:ascii="Calibri" w:hAnsi="Calibri"/>
          <w:color w:val="000000" w:themeColor="text1"/>
        </w:rPr>
        <w:t xml:space="preserve">without 10 </w:t>
      </w:r>
      <w:proofErr w:type="spellStart"/>
      <w:r w:rsidRPr="001B43B4">
        <w:rPr>
          <w:rFonts w:ascii="Calibri" w:hAnsi="Calibri"/>
          <w:color w:val="000000" w:themeColor="text1"/>
        </w:rPr>
        <w:t>μM</w:t>
      </w:r>
      <w:proofErr w:type="spellEnd"/>
      <w:r w:rsidRPr="001B43B4">
        <w:rPr>
          <w:rFonts w:ascii="Calibri" w:hAnsi="Calibri"/>
          <w:color w:val="000000" w:themeColor="text1"/>
        </w:rPr>
        <w:t xml:space="preserve"> </w:t>
      </w:r>
      <w:proofErr w:type="spellStart"/>
      <w:r w:rsidRPr="001B43B4">
        <w:rPr>
          <w:rFonts w:ascii="Calibri" w:hAnsi="Calibri"/>
          <w:color w:val="000000" w:themeColor="text1"/>
        </w:rPr>
        <w:t>ThT</w:t>
      </w:r>
      <w:proofErr w:type="spellEnd"/>
      <w:r w:rsidRPr="001B43B4">
        <w:rPr>
          <w:rFonts w:ascii="Calibri" w:hAnsi="Calibri"/>
          <w:color w:val="000000" w:themeColor="text1"/>
        </w:rPr>
        <w:t xml:space="preserve"> (</w:t>
      </w:r>
      <w:proofErr w:type="spellStart"/>
      <w:r w:rsidRPr="001B43B4">
        <w:rPr>
          <w:rFonts w:ascii="Calibri" w:hAnsi="Calibri"/>
          <w:color w:val="000000" w:themeColor="text1"/>
        </w:rPr>
        <w:t>Calbiochem</w:t>
      </w:r>
      <w:proofErr w:type="spellEnd"/>
      <w:r w:rsidRPr="001B43B4">
        <w:rPr>
          <w:rFonts w:ascii="Calibri" w:hAnsi="Calibri"/>
          <w:color w:val="000000" w:themeColor="text1"/>
        </w:rPr>
        <w:t xml:space="preserve">, Darmstadt, Germany) for fluorescence experiments. Reactions were initiated by placing the sealed 96-well plate (0.150 mL solution/well) at 37 °C in a </w:t>
      </w:r>
      <w:proofErr w:type="spellStart"/>
      <w:r w:rsidRPr="001B43B4">
        <w:rPr>
          <w:rFonts w:ascii="Calibri" w:hAnsi="Calibri"/>
          <w:color w:val="000000" w:themeColor="text1"/>
        </w:rPr>
        <w:t>POLARstar</w:t>
      </w:r>
      <w:proofErr w:type="spellEnd"/>
      <w:r w:rsidRPr="001B43B4">
        <w:rPr>
          <w:rFonts w:ascii="Calibri" w:hAnsi="Calibri"/>
          <w:color w:val="000000" w:themeColor="text1"/>
        </w:rPr>
        <w:t xml:space="preserve"> (BMG Labtech, </w:t>
      </w:r>
      <w:proofErr w:type="spellStart"/>
      <w:r w:rsidRPr="001B43B4">
        <w:rPr>
          <w:rFonts w:ascii="Calibri" w:hAnsi="Calibri"/>
          <w:color w:val="000000" w:themeColor="text1"/>
        </w:rPr>
        <w:t>Ortenberg</w:t>
      </w:r>
      <w:proofErr w:type="spellEnd"/>
      <w:r w:rsidRPr="001B43B4">
        <w:rPr>
          <w:rFonts w:ascii="Calibri" w:hAnsi="Calibri"/>
          <w:color w:val="000000" w:themeColor="text1"/>
        </w:rPr>
        <w:t>, Germany) microplate reader.</w:t>
      </w:r>
      <w:r w:rsidR="00514415">
        <w:rPr>
          <w:rFonts w:ascii="Calibri" w:hAnsi="Calibri"/>
          <w:color w:val="000000" w:themeColor="text1"/>
        </w:rPr>
        <w:t xml:space="preserve"> Samples were read every 30 minutes in the absence of agitation.</w:t>
      </w:r>
    </w:p>
    <w:sectPr w:rsidR="001B43B4" w:rsidRPr="001B43B4" w:rsidSect="008752B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F71"/>
    <w:rsid w:val="00116344"/>
    <w:rsid w:val="001572BF"/>
    <w:rsid w:val="001B43B4"/>
    <w:rsid w:val="004525B5"/>
    <w:rsid w:val="00514415"/>
    <w:rsid w:val="005306A4"/>
    <w:rsid w:val="005873FD"/>
    <w:rsid w:val="006922CD"/>
    <w:rsid w:val="007E00E9"/>
    <w:rsid w:val="008752BA"/>
    <w:rsid w:val="00882336"/>
    <w:rsid w:val="00932011"/>
    <w:rsid w:val="009B0542"/>
    <w:rsid w:val="00C30FA4"/>
    <w:rsid w:val="00EF2F71"/>
    <w:rsid w:val="00F26D6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743046-6CB5-E74E-9005-0BE8718A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402113">
      <w:bodyDiv w:val="1"/>
      <w:marLeft w:val="0"/>
      <w:marRight w:val="0"/>
      <w:marTop w:val="0"/>
      <w:marBottom w:val="0"/>
      <w:divBdr>
        <w:top w:val="none" w:sz="0" w:space="0" w:color="auto"/>
        <w:left w:val="none" w:sz="0" w:space="0" w:color="auto"/>
        <w:bottom w:val="none" w:sz="0" w:space="0" w:color="auto"/>
        <w:right w:val="none" w:sz="0" w:space="0" w:color="auto"/>
      </w:divBdr>
    </w:div>
    <w:div w:id="194395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gm_lenovo</cp:lastModifiedBy>
  <cp:revision>7</cp:revision>
  <dcterms:created xsi:type="dcterms:W3CDTF">2019-07-04T09:09:00Z</dcterms:created>
  <dcterms:modified xsi:type="dcterms:W3CDTF">2019-07-29T16:00:00Z</dcterms:modified>
</cp:coreProperties>
</file>