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6A4" w:rsidRDefault="001A65C1">
      <w:proofErr w:type="spellStart"/>
      <w:r>
        <w:t>hnRNPA</w:t>
      </w:r>
      <w:proofErr w:type="spellEnd"/>
      <w:r>
        <w:t xml:space="preserve"> summary</w:t>
      </w:r>
    </w:p>
    <w:p w:rsidR="00C45B8F" w:rsidRDefault="00C45B8F"/>
    <w:p w:rsidR="00C45B8F" w:rsidRDefault="00C45B8F">
      <w:r>
        <w:t xml:space="preserve">from </w:t>
      </w:r>
      <w:r w:rsidRPr="00C45B8F">
        <w:t>https://www.ncbi.nlm.nih.gov/pmc/articles/PMC4947485/</w:t>
      </w:r>
    </w:p>
    <w:p w:rsidR="00C45B8F" w:rsidRDefault="00C45B8F">
      <w:proofErr w:type="spellStart"/>
      <w:r>
        <w:t>hnRNPA</w:t>
      </w:r>
      <w:proofErr w:type="spellEnd"/>
      <w:r>
        <w:t xml:space="preserve"> = heterogeneous nuclear ribonucleoprotein</w:t>
      </w:r>
    </w:p>
    <w:p w:rsidR="00C45B8F" w:rsidRDefault="00C45B8F" w:rsidP="00C45B8F">
      <w:pPr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Mutations found in the prion-like domain located in </w:t>
      </w:r>
      <w:proofErr w:type="spellStart"/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>hnRNP</w:t>
      </w:r>
      <w:proofErr w:type="spellEnd"/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A1 and A2/B1 are causative for ALS/FTLD. </w:t>
      </w:r>
    </w:p>
    <w:p w:rsidR="00C45B8F" w:rsidRPr="00C45B8F" w:rsidRDefault="00C45B8F" w:rsidP="00C45B8F">
      <w:pPr>
        <w:rPr>
          <w:rFonts w:ascii="Times New Roman" w:eastAsia="Times New Roman" w:hAnsi="Times New Roman" w:cs="Times New Roman"/>
        </w:rPr>
      </w:pPr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Another </w:t>
      </w:r>
      <w:proofErr w:type="spellStart"/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>hnRNP</w:t>
      </w:r>
      <w:proofErr w:type="spellEnd"/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mutated in ALS patients is </w:t>
      </w:r>
      <w:proofErr w:type="spellStart"/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>hnRNP</w:t>
      </w:r>
      <w:proofErr w:type="spellEnd"/>
      <w:r w:rsidRPr="00C45B8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P2, better known as FUS/TLS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:rsidR="00C45B8F" w:rsidRPr="00C45B8F" w:rsidRDefault="00C45B8F" w:rsidP="00C45B8F">
      <w:pPr>
        <w:rPr>
          <w:rFonts w:ascii="Times New Roman" w:eastAsia="Times New Roman" w:hAnsi="Times New Roman" w:cs="Times New Roman"/>
        </w:rPr>
      </w:pPr>
    </w:p>
    <w:p w:rsidR="001A65C1" w:rsidRDefault="001A65C1"/>
    <w:p w:rsidR="001A65C1" w:rsidRDefault="001A65C1">
      <w:r>
        <w:t>Kim2013</w:t>
      </w:r>
    </w:p>
    <w:p w:rsidR="001E6648" w:rsidRDefault="001E6648">
      <w:r>
        <w:t>Has data on hnRNPA1 and hnRNPA2</w:t>
      </w:r>
    </w:p>
    <w:p w:rsidR="001E6648" w:rsidRPr="001E6648" w:rsidRDefault="001E6648" w:rsidP="001E6648">
      <w:pPr>
        <w:rPr>
          <w:rFonts w:ascii="Times New Roman" w:eastAsia="Times New Roman" w:hAnsi="Times New Roman" w:cs="Times New Roman"/>
        </w:rPr>
      </w:pPr>
      <w:r w:rsidRPr="001E6648">
        <w:rPr>
          <w:rFonts w:ascii="Times New Roman" w:eastAsia="Times New Roman" w:hAnsi="Times New Roman" w:cs="Times New Roman"/>
          <w:color w:val="666666"/>
          <w:sz w:val="22"/>
          <w:szCs w:val="22"/>
          <w:shd w:val="clear" w:color="auto" w:fill="FFFCF0"/>
        </w:rPr>
        <w:t> A2 wild-type (NYNDFG) or mutant (NYNVFG)</w:t>
      </w:r>
    </w:p>
    <w:p w:rsidR="001E6648" w:rsidRPr="001E6648" w:rsidRDefault="001E6648" w:rsidP="001E6648">
      <w:pPr>
        <w:rPr>
          <w:rFonts w:ascii="Times New Roman" w:eastAsia="Times New Roman" w:hAnsi="Times New Roman" w:cs="Times New Roman"/>
        </w:rPr>
      </w:pPr>
      <w:r w:rsidRPr="001E6648">
        <w:rPr>
          <w:rFonts w:ascii="Times New Roman" w:eastAsia="Times New Roman" w:hAnsi="Times New Roman" w:cs="Times New Roman"/>
          <w:color w:val="666666"/>
          <w:sz w:val="22"/>
          <w:szCs w:val="22"/>
          <w:shd w:val="clear" w:color="auto" w:fill="FFFCF0"/>
        </w:rPr>
        <w:t>A1 wild-type (SYNDFG) or mutant (SYNVFG)</w:t>
      </w:r>
    </w:p>
    <w:p w:rsidR="007A7DBC" w:rsidRPr="007A7DBC" w:rsidRDefault="001E6648" w:rsidP="007A7DBC">
      <w:pPr>
        <w:rPr>
          <w:rFonts w:ascii="Times New Roman" w:eastAsia="Times New Roman" w:hAnsi="Times New Roman" w:cs="Times New Roman"/>
        </w:rPr>
      </w:pPr>
      <w:r w:rsidRPr="001E6648">
        <w:rPr>
          <w:rFonts w:ascii="Times New Roman" w:eastAsia="Times New Roman" w:hAnsi="Times New Roman" w:cs="Times New Roman"/>
          <w:color w:val="000000"/>
          <w:shd w:val="clear" w:color="auto" w:fill="FFFFFF"/>
        </w:rPr>
        <w:t>hnRNPA2B1 is expressed as two alternatively spliced isoforms: A2 and B1. The shorter hnRNPA2, which lacks 12 amino acids in the N-terminal region, is the major isoform accounting for ~90% of the protein in most tissues.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The valine mutation is </w:t>
      </w:r>
      <w:r w:rsid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associated with multiple system </w:t>
      </w:r>
      <w:proofErr w:type="spellStart"/>
      <w:r w:rsid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>proteinopathy</w:t>
      </w:r>
      <w:proofErr w:type="spellEnd"/>
      <w:r w:rsid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(MSP). </w:t>
      </w:r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>This mutation substitutes valine for an aspartate residue that is evolutionarily conserved (</w:t>
      </w:r>
      <w:hyperlink r:id="rId4" w:tgtFrame="figure" w:history="1">
        <w:r w:rsidR="007A7DBC" w:rsidRPr="007A7DBC">
          <w:rPr>
            <w:rFonts w:ascii="Times New Roman" w:eastAsia="Times New Roman" w:hAnsi="Times New Roman" w:cs="Times New Roman"/>
            <w:color w:val="642A8F"/>
            <w:u w:val="single"/>
          </w:rPr>
          <w:t>Fig. 1d</w:t>
        </w:r>
      </w:hyperlink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) and also </w:t>
      </w:r>
      <w:proofErr w:type="spellStart"/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>centered</w:t>
      </w:r>
      <w:proofErr w:type="spellEnd"/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in a motif that is conserved in multiple human paralogs in the </w:t>
      </w:r>
      <w:proofErr w:type="spellStart"/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>hnRNP</w:t>
      </w:r>
      <w:proofErr w:type="spellEnd"/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A/B family (</w:t>
      </w:r>
      <w:hyperlink r:id="rId5" w:tgtFrame="figure" w:history="1">
        <w:r w:rsidR="007A7DBC" w:rsidRPr="007A7DBC">
          <w:rPr>
            <w:rFonts w:ascii="Times New Roman" w:eastAsia="Times New Roman" w:hAnsi="Times New Roman" w:cs="Times New Roman"/>
            <w:color w:val="642A8F"/>
            <w:u w:val="single"/>
          </w:rPr>
          <w:t>Fig 1f</w:t>
        </w:r>
      </w:hyperlink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> and </w:t>
      </w:r>
      <w:hyperlink r:id="rId6" w:anchor="SD1" w:history="1">
        <w:r w:rsidR="007A7DBC" w:rsidRPr="007A7DBC">
          <w:rPr>
            <w:rFonts w:ascii="Times New Roman" w:eastAsia="Times New Roman" w:hAnsi="Times New Roman" w:cs="Times New Roman"/>
            <w:color w:val="642A8F"/>
            <w:u w:val="single"/>
          </w:rPr>
          <w:t>Supplementary Fig. 3</w:t>
        </w:r>
      </w:hyperlink>
      <w:r w:rsidR="007A7DBC" w:rsidRPr="007A7DBC">
        <w:rPr>
          <w:rFonts w:ascii="Times New Roman" w:eastAsia="Times New Roman" w:hAnsi="Times New Roman" w:cs="Times New Roman"/>
          <w:color w:val="000000"/>
          <w:shd w:val="clear" w:color="auto" w:fill="FFFFFF"/>
        </w:rPr>
        <w:t>).</w:t>
      </w:r>
    </w:p>
    <w:p w:rsidR="001E6648" w:rsidRPr="001E6648" w:rsidRDefault="001E6648" w:rsidP="001E6648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1E6648" w:rsidRDefault="001E6648"/>
    <w:p w:rsidR="001A65C1" w:rsidRDefault="001A65C1" w:rsidP="001A65C1">
      <w:r w:rsidRPr="001A65C1">
        <w:t xml:space="preserve">Synthetic </w:t>
      </w:r>
      <w:r>
        <w:t xml:space="preserve">(if mutants, </w:t>
      </w:r>
      <w:r w:rsidR="00C45B8F">
        <w:t xml:space="preserve">whereas </w:t>
      </w:r>
      <w:r>
        <w:t xml:space="preserve">WT </w:t>
      </w:r>
      <w:r w:rsidR="00C45B8F">
        <w:t xml:space="preserve">was </w:t>
      </w:r>
      <w:r>
        <w:t xml:space="preserve">expressed in E. coli) </w:t>
      </w:r>
      <w:r w:rsidRPr="001A65C1">
        <w:t>peptides were incubated at 25°C for 2h. Fibrillization wa</w:t>
      </w:r>
      <w:r>
        <w:t xml:space="preserve">s monitored by </w:t>
      </w:r>
      <w:proofErr w:type="spellStart"/>
      <w:r>
        <w:t>ThT</w:t>
      </w:r>
      <w:proofErr w:type="spellEnd"/>
      <w:r>
        <w:t xml:space="preserve"> fluorescence. </w:t>
      </w:r>
      <w:r w:rsidRPr="001A65C1">
        <w:t>Protein was centrifuged for 10 min at 16,100 g, and supernatant was separated from pellet to remove any protein aggregates. Protein concentration was determined by Bradford assay (Bio-Rad) in comparison to BSA standards.</w:t>
      </w:r>
    </w:p>
    <w:p w:rsidR="001A65C1" w:rsidRDefault="001A65C1"/>
    <w:p w:rsidR="00C45B8F" w:rsidRDefault="00C45B8F"/>
    <w:sectPr w:rsidR="00C45B8F" w:rsidSect="008752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C1"/>
    <w:rsid w:val="00116344"/>
    <w:rsid w:val="00143268"/>
    <w:rsid w:val="001572BF"/>
    <w:rsid w:val="001A65C1"/>
    <w:rsid w:val="001E6648"/>
    <w:rsid w:val="002103CB"/>
    <w:rsid w:val="005306A4"/>
    <w:rsid w:val="00725EBE"/>
    <w:rsid w:val="007A7DBC"/>
    <w:rsid w:val="008752BA"/>
    <w:rsid w:val="00882336"/>
    <w:rsid w:val="009B0542"/>
    <w:rsid w:val="00C4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86E8A"/>
  <w15:chartTrackingRefBased/>
  <w15:docId w15:val="{1D9C141F-27BC-9541-A043-7363432C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5C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45B8F"/>
  </w:style>
  <w:style w:type="character" w:styleId="Hyperlink">
    <w:name w:val="Hyperlink"/>
    <w:basedOn w:val="DefaultParagraphFont"/>
    <w:uiPriority w:val="99"/>
    <w:semiHidden/>
    <w:unhideWhenUsed/>
    <w:rsid w:val="007A7D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0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5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bi.nlm.nih.gov/pmc/articles/PMC3756911/" TargetMode="External"/><Relationship Id="rId5" Type="http://schemas.openxmlformats.org/officeDocument/2006/relationships/hyperlink" Target="https://www.ncbi.nlm.nih.gov/pmc/articles/PMC3756911/figure/F1/" TargetMode="External"/><Relationship Id="rId4" Type="http://schemas.openxmlformats.org/officeDocument/2006/relationships/hyperlink" Target="https://www.ncbi.nlm.nih.gov/pmc/articles/PMC3756911/figure/F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2019-10-03T09:36:00Z</dcterms:created>
  <dcterms:modified xsi:type="dcterms:W3CDTF">2019-10-06T15:04:00Z</dcterms:modified>
</cp:coreProperties>
</file>