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0B206" w14:textId="4934C525" w:rsidR="005306A4" w:rsidRDefault="00610AB4">
      <w:proofErr w:type="spellStart"/>
      <w:r>
        <w:t>PrP</w:t>
      </w:r>
      <w:proofErr w:type="spellEnd"/>
    </w:p>
    <w:p w14:paraId="087C0113" w14:textId="1841E735" w:rsidR="00610AB4" w:rsidRDefault="00610AB4"/>
    <w:p w14:paraId="334FA3A9" w14:textId="607E428C" w:rsidR="00610AB4" w:rsidRDefault="00610AB4">
      <w:pPr>
        <w:rPr>
          <w:b/>
          <w:color w:val="000000" w:themeColor="text1"/>
        </w:rPr>
      </w:pPr>
      <w:r>
        <w:rPr>
          <w:b/>
          <w:color w:val="000000" w:themeColor="text1"/>
        </w:rPr>
        <w:t>Stoehr2008</w:t>
      </w:r>
    </w:p>
    <w:p w14:paraId="66CBEA45" w14:textId="199001C1" w:rsidR="00D10AE7" w:rsidRDefault="00D10AE7">
      <w:pPr>
        <w:rPr>
          <w:color w:val="000000" w:themeColor="text1"/>
        </w:rPr>
      </w:pPr>
      <w:r w:rsidRPr="00D10AE7">
        <w:rPr>
          <w:color w:val="000000" w:themeColor="text1"/>
        </w:rPr>
        <w:t xml:space="preserve">The truncated form of </w:t>
      </w:r>
      <w:proofErr w:type="spellStart"/>
      <w:r w:rsidRPr="00D10AE7">
        <w:rPr>
          <w:color w:val="000000" w:themeColor="text1"/>
        </w:rPr>
        <w:t>recPrP</w:t>
      </w:r>
      <w:proofErr w:type="spellEnd"/>
      <w:r w:rsidRPr="00D10AE7">
        <w:rPr>
          <w:color w:val="000000" w:themeColor="text1"/>
        </w:rPr>
        <w:t xml:space="preserve"> of Syrian hamster residues 90 –</w:t>
      </w:r>
      <w:r w:rsidR="00E64781">
        <w:rPr>
          <w:color w:val="000000" w:themeColor="text1"/>
        </w:rPr>
        <w:t xml:space="preserve"> </w:t>
      </w:r>
      <w:bookmarkStart w:id="0" w:name="_GoBack"/>
      <w:bookmarkEnd w:id="0"/>
      <w:r w:rsidRPr="00D10AE7">
        <w:rPr>
          <w:color w:val="000000" w:themeColor="text1"/>
        </w:rPr>
        <w:t xml:space="preserve">231 was used. It was expressed, purified, and refolded as described (25, 35). </w:t>
      </w:r>
      <w:proofErr w:type="spellStart"/>
      <w:r w:rsidRPr="00D10AE7">
        <w:rPr>
          <w:color w:val="000000" w:themeColor="text1"/>
        </w:rPr>
        <w:t>PrPSc</w:t>
      </w:r>
      <w:proofErr w:type="spellEnd"/>
      <w:r w:rsidRPr="00D10AE7">
        <w:rPr>
          <w:color w:val="000000" w:themeColor="text1"/>
        </w:rPr>
        <w:t xml:space="preserve"> was isolated to high purity by using a modified protocol of the </w:t>
      </w:r>
      <w:proofErr w:type="spellStart"/>
      <w:r w:rsidRPr="00D10AE7">
        <w:rPr>
          <w:color w:val="000000" w:themeColor="text1"/>
        </w:rPr>
        <w:t>NaPTA</w:t>
      </w:r>
      <w:proofErr w:type="spellEnd"/>
      <w:r w:rsidRPr="00D10AE7">
        <w:rPr>
          <w:color w:val="000000" w:themeColor="text1"/>
        </w:rPr>
        <w:t xml:space="preserve"> precipitation method (22, 36). Differing from the protocol, an additional washing step in 10 </w:t>
      </w:r>
      <w:proofErr w:type="spellStart"/>
      <w:r w:rsidRPr="00D10AE7">
        <w:rPr>
          <w:color w:val="000000" w:themeColor="text1"/>
        </w:rPr>
        <w:t>mM</w:t>
      </w:r>
      <w:proofErr w:type="spellEnd"/>
      <w:r w:rsidRPr="00D10AE7">
        <w:rPr>
          <w:color w:val="000000" w:themeColor="text1"/>
        </w:rPr>
        <w:t xml:space="preserve"> </w:t>
      </w:r>
      <w:proofErr w:type="spellStart"/>
      <w:r w:rsidRPr="00D10AE7">
        <w:rPr>
          <w:color w:val="000000" w:themeColor="text1"/>
        </w:rPr>
        <w:t>NaPi</w:t>
      </w:r>
      <w:proofErr w:type="spellEnd"/>
      <w:r w:rsidRPr="00D10AE7">
        <w:rPr>
          <w:color w:val="000000" w:themeColor="text1"/>
        </w:rPr>
        <w:t xml:space="preserve"> was performed and the resulting pellet was resuspended in 10 </w:t>
      </w:r>
      <w:proofErr w:type="spellStart"/>
      <w:r w:rsidRPr="00D10AE7">
        <w:rPr>
          <w:color w:val="000000" w:themeColor="text1"/>
        </w:rPr>
        <w:t>mM</w:t>
      </w:r>
      <w:proofErr w:type="spellEnd"/>
      <w:r w:rsidRPr="00D10AE7">
        <w:rPr>
          <w:color w:val="000000" w:themeColor="text1"/>
        </w:rPr>
        <w:t xml:space="preserve"> </w:t>
      </w:r>
      <w:proofErr w:type="spellStart"/>
      <w:r w:rsidRPr="00D10AE7">
        <w:rPr>
          <w:color w:val="000000" w:themeColor="text1"/>
        </w:rPr>
        <w:t>NaPi</w:t>
      </w:r>
      <w:proofErr w:type="spellEnd"/>
      <w:r w:rsidRPr="00D10AE7">
        <w:rPr>
          <w:color w:val="000000" w:themeColor="text1"/>
        </w:rPr>
        <w:t xml:space="preserve"> by brief sonication.</w:t>
      </w:r>
      <w:r>
        <w:rPr>
          <w:color w:val="000000" w:themeColor="text1"/>
        </w:rPr>
        <w:t xml:space="preserve"> </w:t>
      </w:r>
    </w:p>
    <w:p w14:paraId="32E578C5" w14:textId="2856ED11" w:rsidR="00D10AE7" w:rsidRDefault="00D10AE7">
      <w:pPr>
        <w:rPr>
          <w:color w:val="000000" w:themeColor="text1"/>
        </w:rPr>
      </w:pPr>
    </w:p>
    <w:p w14:paraId="29D1744D" w14:textId="2D939513" w:rsidR="00D10AE7" w:rsidRDefault="00D10AE7">
      <w:pPr>
        <w:rPr>
          <w:color w:val="000000" w:themeColor="text1"/>
        </w:rPr>
      </w:pPr>
      <w:r>
        <w:rPr>
          <w:color w:val="000000" w:themeColor="text1"/>
        </w:rPr>
        <w:t xml:space="preserve">From ref 35: solubilised in 8M and then SEC in 6M </w:t>
      </w:r>
      <w:proofErr w:type="spellStart"/>
      <w:r>
        <w:rPr>
          <w:color w:val="000000" w:themeColor="text1"/>
        </w:rPr>
        <w:t>GdnCl</w:t>
      </w:r>
      <w:proofErr w:type="spellEnd"/>
      <w:r>
        <w:rPr>
          <w:color w:val="000000" w:themeColor="text1"/>
        </w:rPr>
        <w:t>, and then HPLC in acetonitrile, both of which should remove any aggregates.</w:t>
      </w:r>
    </w:p>
    <w:p w14:paraId="3F39362E" w14:textId="77777777" w:rsidR="00D10AE7" w:rsidRDefault="00D10AE7">
      <w:pPr>
        <w:rPr>
          <w:color w:val="000000" w:themeColor="text1"/>
        </w:rPr>
      </w:pPr>
    </w:p>
    <w:p w14:paraId="35E4907D" w14:textId="39BBC622" w:rsidR="00610AB4" w:rsidRPr="00610AB4" w:rsidRDefault="00610AB4">
      <w:pPr>
        <w:rPr>
          <w:color w:val="000000" w:themeColor="text1"/>
        </w:rPr>
      </w:pPr>
      <w:r w:rsidRPr="00610AB4">
        <w:rPr>
          <w:rFonts w:hint="eastAsia"/>
          <w:color w:val="000000" w:themeColor="text1"/>
        </w:rPr>
        <w:t xml:space="preserve">Fluorescence emission spectra of </w:t>
      </w:r>
      <w:proofErr w:type="spellStart"/>
      <w:r w:rsidRPr="00610AB4">
        <w:rPr>
          <w:rFonts w:hint="eastAsia"/>
          <w:color w:val="000000" w:themeColor="text1"/>
        </w:rPr>
        <w:t>ThT</w:t>
      </w:r>
      <w:proofErr w:type="spellEnd"/>
      <w:r w:rsidRPr="00610AB4">
        <w:rPr>
          <w:rFonts w:hint="eastAsia"/>
          <w:color w:val="000000" w:themeColor="text1"/>
        </w:rPr>
        <w:t xml:space="preserve"> were measured at a concentration of 5 </w:t>
      </w:r>
      <w:proofErr w:type="spellStart"/>
      <w:r>
        <w:rPr>
          <w:color w:val="000000" w:themeColor="text1"/>
        </w:rPr>
        <w:t>u</w:t>
      </w:r>
      <w:r w:rsidRPr="00610AB4">
        <w:rPr>
          <w:rFonts w:hint="eastAsia"/>
          <w:color w:val="000000" w:themeColor="text1"/>
        </w:rPr>
        <w:t>M</w:t>
      </w:r>
      <w:proofErr w:type="spellEnd"/>
      <w:r w:rsidRPr="00610AB4">
        <w:rPr>
          <w:rFonts w:hint="eastAsia"/>
          <w:color w:val="000000" w:themeColor="text1"/>
        </w:rPr>
        <w:t xml:space="preserve"> </w:t>
      </w:r>
      <w:proofErr w:type="spellStart"/>
      <w:r w:rsidRPr="00610AB4">
        <w:rPr>
          <w:rFonts w:hint="eastAsia"/>
          <w:color w:val="000000" w:themeColor="text1"/>
        </w:rPr>
        <w:t>ThT</w:t>
      </w:r>
      <w:proofErr w:type="spellEnd"/>
      <w:r w:rsidRPr="00610AB4">
        <w:rPr>
          <w:rFonts w:hint="eastAsia"/>
          <w:color w:val="000000" w:themeColor="text1"/>
        </w:rPr>
        <w:t xml:space="preserve"> in 150 </w:t>
      </w:r>
      <w:r w:rsidRPr="00610AB4">
        <w:rPr>
          <w:rFonts w:hint="eastAsia"/>
          <w:color w:val="000000" w:themeColor="text1"/>
        </w:rPr>
        <w:t>–</w:t>
      </w:r>
      <w:r w:rsidRPr="00610AB4">
        <w:rPr>
          <w:rFonts w:hint="eastAsia"/>
          <w:color w:val="000000" w:themeColor="text1"/>
        </w:rPr>
        <w:t xml:space="preserve">200 </w:t>
      </w:r>
      <w:proofErr w:type="spellStart"/>
      <w:r>
        <w:rPr>
          <w:color w:val="000000" w:themeColor="text1"/>
        </w:rPr>
        <w:t>u</w:t>
      </w:r>
      <w:r w:rsidRPr="00610AB4">
        <w:rPr>
          <w:rFonts w:hint="eastAsia"/>
          <w:color w:val="000000" w:themeColor="text1"/>
        </w:rPr>
        <w:t>l</w:t>
      </w:r>
      <w:proofErr w:type="spellEnd"/>
      <w:r w:rsidRPr="00610AB4">
        <w:rPr>
          <w:rFonts w:hint="eastAsia"/>
          <w:color w:val="000000" w:themeColor="text1"/>
        </w:rPr>
        <w:t xml:space="preserve"> volumes in the absence or presence of 10 ng/</w:t>
      </w:r>
      <w:proofErr w:type="spellStart"/>
      <w:r>
        <w:rPr>
          <w:color w:val="000000" w:themeColor="text1"/>
        </w:rPr>
        <w:t>u</w:t>
      </w:r>
      <w:r w:rsidRPr="00610AB4">
        <w:rPr>
          <w:rFonts w:hint="eastAsia"/>
          <w:color w:val="000000" w:themeColor="text1"/>
        </w:rPr>
        <w:t>l</w:t>
      </w:r>
      <w:proofErr w:type="spellEnd"/>
      <w:r w:rsidRPr="00610AB4">
        <w:rPr>
          <w:rFonts w:hint="eastAsia"/>
          <w:color w:val="000000" w:themeColor="text1"/>
        </w:rPr>
        <w:t xml:space="preserve"> </w:t>
      </w:r>
      <w:proofErr w:type="spellStart"/>
      <w:r w:rsidRPr="00610AB4">
        <w:rPr>
          <w:rFonts w:hint="eastAsia"/>
          <w:color w:val="000000" w:themeColor="text1"/>
        </w:rPr>
        <w:t>recPrP</w:t>
      </w:r>
      <w:proofErr w:type="spellEnd"/>
      <w:r w:rsidRPr="00610AB4">
        <w:rPr>
          <w:rFonts w:hint="eastAsia"/>
          <w:color w:val="000000" w:themeColor="text1"/>
        </w:rPr>
        <w:t>. The spectra were recorded from 460 to 600 nm with a fixed excitation wavelength of 455 nm. Fibrilliza</w:t>
      </w:r>
      <w:r w:rsidRPr="00610AB4">
        <w:rPr>
          <w:color w:val="000000" w:themeColor="text1"/>
        </w:rPr>
        <w:t>tion kinetics were followed in 96-well plates as described in Results. For evaluation, average intensity values from 495 to 505 nm were plotted over time. All measurements were performed in a Tecan sapphire plate reader (Tecan Group).</w:t>
      </w:r>
    </w:p>
    <w:sectPr w:rsidR="00610AB4" w:rsidRPr="00610AB4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B4"/>
    <w:rsid w:val="00116344"/>
    <w:rsid w:val="00143268"/>
    <w:rsid w:val="001572BF"/>
    <w:rsid w:val="005306A4"/>
    <w:rsid w:val="00610AB4"/>
    <w:rsid w:val="008752BA"/>
    <w:rsid w:val="00882336"/>
    <w:rsid w:val="009B0542"/>
    <w:rsid w:val="00D10AE7"/>
    <w:rsid w:val="00E6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B4008"/>
  <w15:chartTrackingRefBased/>
  <w15:docId w15:val="{16D1ADC4-4DB1-D24E-957F-292BFB3E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2019-09-22T20:50:00Z</dcterms:created>
  <dcterms:modified xsi:type="dcterms:W3CDTF">2019-10-06T10:48:00Z</dcterms:modified>
</cp:coreProperties>
</file>