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seline-model-comparison-report"/>
    <w:p>
      <w:pPr>
        <w:pStyle w:val="Heading1"/>
      </w:pPr>
      <w:r>
        <w:t xml:space="preserve">Baseline Model Comparison Report</w:t>
      </w:r>
    </w:p>
    <w:p>
      <w:pPr>
        <w:pStyle w:val="FirstParagraph"/>
      </w:pPr>
      <w:r>
        <w:t xml:space="preserve">This report summarizes the performance of 9 baseline models evaluated on the Autism Facial Expression Recognition dataset. The objective of this phase was to determine how well standard convolutional and transformer-based architectures can classify 6 distinct emotions (anger, fear, joy, natural, sadness, surprise) directly from raw images, establishing a benchmark for future architectural improvements.</w:t>
      </w:r>
    </w:p>
    <w:bookmarkStart w:id="9" w:name="summary-table"/>
    <w:p>
      <w:pPr>
        <w:pStyle w:val="Heading2"/>
      </w:pPr>
      <w:r>
        <w:t xml:space="preserve">Summary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F1-Macro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VGG-16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Swin Base</w:t>
            </w:r>
          </w:p>
        </w:tc>
        <w:tc>
          <w:tcPr/>
          <w:p>
            <w:pPr>
              <w:pStyle w:val="Compact"/>
            </w:pPr>
            <w:r>
              <w:t xml:space="preserve">0.7201</w:t>
            </w:r>
          </w:p>
        </w:tc>
        <w:tc>
          <w:tcPr/>
          <w:p>
            <w:pPr>
              <w:pStyle w:val="Compact"/>
            </w:pPr>
            <w:r>
              <w:t xml:space="preserve">0.6100</w:t>
            </w:r>
          </w:p>
        </w:tc>
        <w:tc>
          <w:tcPr/>
          <w:p>
            <w:pPr>
              <w:pStyle w:val="Compact"/>
            </w:pPr>
            <w:r>
              <w:t xml:space="preserve">0.5961</w:t>
            </w:r>
          </w:p>
        </w:tc>
        <w:tc>
          <w:tcPr/>
          <w:p>
            <w:pPr>
              <w:pStyle w:val="Compact"/>
            </w:pPr>
            <w:r>
              <w:t xml:space="preserve">0.6485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Inception V3</w:t>
            </w:r>
          </w:p>
        </w:tc>
        <w:tc>
          <w:tcPr/>
          <w:p>
            <w:pPr>
              <w:pStyle w:val="Compact"/>
            </w:pPr>
            <w:r>
              <w:t xml:space="preserve">0.7196</w:t>
            </w:r>
          </w:p>
        </w:tc>
        <w:tc>
          <w:tcPr/>
          <w:p>
            <w:pPr>
              <w:pStyle w:val="Compact"/>
            </w:pPr>
            <w:r>
              <w:t xml:space="preserve">0.6067</w:t>
            </w:r>
          </w:p>
        </w:tc>
        <w:tc>
          <w:tcPr/>
          <w:p>
            <w:pPr>
              <w:pStyle w:val="Compact"/>
            </w:pPr>
            <w:r>
              <w:t xml:space="preserve">0.6030</w:t>
            </w:r>
          </w:p>
        </w:tc>
        <w:tc>
          <w:tcPr/>
          <w:p>
            <w:pPr>
              <w:pStyle w:val="Compact"/>
            </w:pPr>
            <w:r>
              <w:t xml:space="preserve">0.6363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DeiT Small</w:t>
            </w:r>
          </w:p>
        </w:tc>
        <w:tc>
          <w:tcPr/>
          <w:p>
            <w:pPr>
              <w:pStyle w:val="Compact"/>
            </w:pPr>
            <w:r>
              <w:t xml:space="preserve">0.7113</w:t>
            </w:r>
          </w:p>
        </w:tc>
        <w:tc>
          <w:tcPr/>
          <w:p>
            <w:pPr>
              <w:pStyle w:val="Compact"/>
            </w:pPr>
            <w:r>
              <w:t xml:space="preserve">0.6026</w:t>
            </w:r>
          </w:p>
        </w:tc>
        <w:tc>
          <w:tcPr/>
          <w:p>
            <w:pPr>
              <w:pStyle w:val="Compact"/>
            </w:pPr>
            <w:r>
              <w:t xml:space="preserve">0.5895</w:t>
            </w:r>
          </w:p>
        </w:tc>
        <w:tc>
          <w:tcPr/>
          <w:p>
            <w:pPr>
              <w:pStyle w:val="Compact"/>
            </w:pPr>
            <w:r>
              <w:t xml:space="preserve">0.6417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DenseNet-121</w:t>
            </w:r>
          </w:p>
        </w:tc>
        <w:tc>
          <w:tcPr/>
          <w:p>
            <w:pPr>
              <w:pStyle w:val="Compact"/>
            </w:pPr>
            <w:r>
              <w:t xml:space="preserve">0.7113</w:t>
            </w:r>
          </w:p>
        </w:tc>
        <w:tc>
          <w:tcPr/>
          <w:p>
            <w:pPr>
              <w:pStyle w:val="Compact"/>
            </w:pPr>
            <w:r>
              <w:t xml:space="preserve">0.6001</w:t>
            </w:r>
          </w:p>
        </w:tc>
        <w:tc>
          <w:tcPr/>
          <w:p>
            <w:pPr>
              <w:pStyle w:val="Compact"/>
            </w:pPr>
            <w:r>
              <w:t xml:space="preserve">0.5894</w:t>
            </w:r>
          </w:p>
        </w:tc>
        <w:tc>
          <w:tcPr/>
          <w:p>
            <w:pPr>
              <w:pStyle w:val="Compact"/>
            </w:pPr>
            <w:r>
              <w:t xml:space="preserve">0.6298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 Base</w:t>
            </w:r>
          </w:p>
        </w:tc>
        <w:tc>
          <w:tcPr/>
          <w:p>
            <w:pPr>
              <w:pStyle w:val="Compact"/>
            </w:pPr>
            <w:r>
              <w:t xml:space="preserve">0.7102</w:t>
            </w:r>
          </w:p>
        </w:tc>
        <w:tc>
          <w:tcPr/>
          <w:p>
            <w:pPr>
              <w:pStyle w:val="Compact"/>
            </w:pPr>
            <w:r>
              <w:t xml:space="preserve">0.5984</w:t>
            </w:r>
          </w:p>
        </w:tc>
        <w:tc>
          <w:tcPr/>
          <w:p>
            <w:pPr>
              <w:pStyle w:val="Compact"/>
            </w:pPr>
            <w:r>
              <w:t xml:space="preserve">0.5880</w:t>
            </w:r>
          </w:p>
        </w:tc>
        <w:tc>
          <w:tcPr/>
          <w:p>
            <w:pPr>
              <w:pStyle w:val="Compact"/>
            </w:pPr>
            <w:r>
              <w:t xml:space="preserve">0.6339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Swin Tiny</w:t>
            </w:r>
          </w:p>
        </w:tc>
        <w:tc>
          <w:tcPr/>
          <w:p>
            <w:pPr>
              <w:pStyle w:val="Compact"/>
            </w:pPr>
            <w:r>
              <w:t xml:space="preserve">0.7030</w:t>
            </w:r>
          </w:p>
        </w:tc>
        <w:tc>
          <w:tcPr/>
          <w:p>
            <w:pPr>
              <w:pStyle w:val="Compact"/>
            </w:pPr>
            <w:r>
              <w:t xml:space="preserve">0.5972</w:t>
            </w:r>
          </w:p>
        </w:tc>
        <w:tc>
          <w:tcPr/>
          <w:p>
            <w:pPr>
              <w:pStyle w:val="Compact"/>
            </w:pPr>
            <w:r>
              <w:t xml:space="preserve">0.5827</w:t>
            </w:r>
          </w:p>
        </w:tc>
        <w:tc>
          <w:tcPr/>
          <w:p>
            <w:pPr>
              <w:pStyle w:val="Compact"/>
            </w:pPr>
            <w:r>
              <w:t xml:space="preserve">0.6381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EfficientNet-B0</w:t>
            </w:r>
          </w:p>
        </w:tc>
        <w:tc>
          <w:tcPr/>
          <w:p>
            <w:pPr>
              <w:pStyle w:val="Compact"/>
            </w:pPr>
            <w:r>
              <w:t xml:space="preserve">0.6980</w:t>
            </w:r>
          </w:p>
        </w:tc>
        <w:tc>
          <w:tcPr/>
          <w:p>
            <w:pPr>
              <w:pStyle w:val="Compact"/>
            </w:pPr>
            <w:r>
              <w:t xml:space="preserve">0.5871</w:t>
            </w:r>
          </w:p>
        </w:tc>
        <w:tc>
          <w:tcPr/>
          <w:p>
            <w:pPr>
              <w:pStyle w:val="Compact"/>
            </w:pPr>
            <w:r>
              <w:t xml:space="preserve">0.5813</w:t>
            </w:r>
          </w:p>
        </w:tc>
        <w:tc>
          <w:tcPr/>
          <w:p>
            <w:pPr>
              <w:pStyle w:val="Compact"/>
            </w:pPr>
            <w:r>
              <w:t xml:space="preserve">0.6167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MobileNetV2</w:t>
            </w:r>
          </w:p>
        </w:tc>
        <w:tc>
          <w:tcPr/>
          <w:p>
            <w:pPr>
              <w:pStyle w:val="Compact"/>
            </w:pPr>
            <w:r>
              <w:t xml:space="preserve">0.6858</w:t>
            </w:r>
          </w:p>
        </w:tc>
        <w:tc>
          <w:tcPr/>
          <w:p>
            <w:pPr>
              <w:pStyle w:val="Compact"/>
            </w:pPr>
            <w:r>
              <w:t xml:space="preserve">0.5790</w:t>
            </w:r>
          </w:p>
        </w:tc>
        <w:tc>
          <w:tcPr/>
          <w:p>
            <w:pPr>
              <w:pStyle w:val="Compact"/>
            </w:pPr>
            <w:r>
              <w:t xml:space="preserve">0.5687</w:t>
            </w:r>
          </w:p>
        </w:tc>
        <w:tc>
          <w:tcPr/>
          <w:p>
            <w:pPr>
              <w:pStyle w:val="Compact"/>
            </w:pPr>
            <w:r>
              <w:t xml:space="preserve">0.6174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ResNet-50</w:t>
            </w:r>
          </w:p>
        </w:tc>
        <w:tc>
          <w:tcPr/>
          <w:p>
            <w:pPr>
              <w:pStyle w:val="Compact"/>
            </w:pPr>
            <w:r>
              <w:t xml:space="preserve">0.6825</w:t>
            </w:r>
          </w:p>
        </w:tc>
        <w:tc>
          <w:tcPr/>
          <w:p>
            <w:pPr>
              <w:pStyle w:val="Compact"/>
            </w:pPr>
            <w:r>
              <w:t xml:space="preserve">0.5762</w:t>
            </w:r>
          </w:p>
        </w:tc>
        <w:tc>
          <w:tcPr/>
          <w:p>
            <w:pPr>
              <w:pStyle w:val="Compact"/>
            </w:pPr>
            <w:r>
              <w:t xml:space="preserve">0.5652</w:t>
            </w:r>
          </w:p>
        </w:tc>
        <w:tc>
          <w:tcPr/>
          <w:p>
            <w:pPr>
              <w:pStyle w:val="Compact"/>
            </w:pPr>
            <w:r>
              <w:t xml:space="preserve">0.6150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All models were evaluated using Stratified 5-Fold Cross-Validation. The metrics presented represent the average performance across all five folds, ensuring a robust and statistically sound evaluation.</w:t>
      </w:r>
    </w:p>
    <w:p>
      <w:r>
        <w:pict>
          <v:rect style="width:0;height:1.5pt" o:hralign="center" o:hrstd="t" o:hr="t"/>
        </w:pict>
      </w:r>
    </w:p>
    <w:bookmarkEnd w:id="9"/>
    <w:bookmarkStart w:id="17" w:name="key-charts-and-takeaways"/>
    <w:p>
      <w:pPr>
        <w:pStyle w:val="Heading2"/>
      </w:pPr>
      <w:r>
        <w:t xml:space="preserve">Key Charts and Takeaways</w:t>
      </w:r>
    </w:p>
    <w:bookmarkStart w:id="10" w:name="overall-performance"/>
    <w:p>
      <w:pPr>
        <w:pStyle w:val="Heading3"/>
      </w:pPr>
      <w:r>
        <w:t xml:space="preserve">1. Overall Performance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VGG-16 and Swin Base achieved the highest overall performance across the evaluated metrics, making them the strongest baseline models.</w:t>
      </w:r>
    </w:p>
    <w:bookmarkEnd w:id="10"/>
    <w:bookmarkStart w:id="11" w:name="balancing-rare-emotions"/>
    <w:p>
      <w:pPr>
        <w:pStyle w:val="Heading3"/>
      </w:pPr>
      <w:r>
        <w:t xml:space="preserve">2. Balancing Rare Emotions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The Macro-F1 score indicates how effectively a model manages class imbalance rather than defaulting to majority classes. VGG-16 demonstrates the most consistent ability to balance performance across all emotion categories.</w:t>
      </w:r>
    </w:p>
    <w:bookmarkEnd w:id="11"/>
    <w:bookmarkStart w:id="12" w:name="roc-curve-top-5-models"/>
    <w:p>
      <w:pPr>
        <w:pStyle w:val="Heading3"/>
      </w:pPr>
      <w:r>
        <w:t xml:space="preserve">3. ROC Curve (Top 5 Models)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The top 5 models achieve high Area Under the Curve (AUC) scores, demonstrating that the raw, unaugmented image data contains sufficient discriminatory features for accurate classification.</w:t>
      </w:r>
    </w:p>
    <w:bookmarkEnd w:id="12"/>
    <w:bookmarkStart w:id="13" w:name="precision-vs-recall"/>
    <w:p>
      <w:pPr>
        <w:pStyle w:val="Heading3"/>
      </w:pPr>
      <w:r>
        <w:t xml:space="preserve">4. Precision vs Recall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The tight clustering among the leading models indicates a strong capacity to maintain high precision without sacrificing recall, which is essential for handling minority classes.</w:t>
      </w:r>
    </w:p>
    <w:bookmarkEnd w:id="13"/>
    <w:bookmarkStart w:id="14" w:name="radar-chart"/>
    <w:p>
      <w:pPr>
        <w:pStyle w:val="Heading3"/>
      </w:pPr>
      <w:r>
        <w:t xml:space="preserve">5. Radar Chart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The multi-metric footprint visually confirms that VGG-16 exhibits well-rounded performance, without isolated failures in any single evaluation metric.</w:t>
      </w:r>
    </w:p>
    <w:bookmarkEnd w:id="14"/>
    <w:bookmarkStart w:id="15" w:name="where-the-best-model-struggles"/>
    <w:p>
      <w:pPr>
        <w:pStyle w:val="Heading3"/>
      </w:pPr>
      <w:r>
        <w:t xml:space="preserve">6. Where the Best Model Struggles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The confusion matrix for VGG-16 reveals that the model still occasionally misclassifies</w:t>
      </w:r>
      <w:r>
        <w:t xml:space="preserve"> </w:t>
      </w:r>
      <w:r>
        <w:t xml:space="preserve">“Fear”</w:t>
      </w:r>
      <w:r>
        <w:t xml:space="preserve"> </w:t>
      </w:r>
      <w:r>
        <w:t xml:space="preserve">and</w:t>
      </w:r>
      <w:r>
        <w:t xml:space="preserve"> </w:t>
      </w:r>
      <w:r>
        <w:t xml:space="preserve">“Surprise.”</w:t>
      </w:r>
      <w:r>
        <w:t xml:space="preserve"> </w:t>
      </w:r>
      <w:r>
        <w:t xml:space="preserve">This is an expected limitation due to the relative scarcity of training samples for these specific expressions.</w:t>
      </w:r>
    </w:p>
    <w:bookmarkEnd w:id="15"/>
    <w:bookmarkStart w:id="16" w:name="feature-correlation-analysis"/>
    <w:p>
      <w:pPr>
        <w:pStyle w:val="Heading3"/>
      </w:pPr>
      <w:r>
        <w:t xml:space="preserve">7. Feature Correlation Analysis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The correlation heatmap indicates that CNN- and Transformer-based models capture different aspects of facial features. This observation may help guide the design of an improved architecture in the next phase of the research.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thodology-overview"/>
    <w:p>
      <w:pPr>
        <w:pStyle w:val="Heading2"/>
      </w:pPr>
      <w:r>
        <w:t xml:space="preserve">Methodology Overview</w:t>
      </w:r>
    </w:p>
    <w:p>
      <w:pPr>
        <w:pStyle w:val="FirstParagraph"/>
      </w:pPr>
      <w:r>
        <w:t xml:space="preserve">To ensure the evaluation was fair and representative of real-world generalization: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Stratified 5-Fold Cross-Validation:</w:t>
      </w:r>
      <w:r>
        <w:t xml:space="preserve"> </w:t>
      </w:r>
      <w:r>
        <w:t xml:space="preserve">Instead of using a fixed test split, the 1,808 images were merged and divided into 5 folds. The models trained on 4 parts and tested on the remaining 1 part, repeating 5 times. This ensures every image is tested exactly once, producing highly reliable metrics.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Handling Class Imbalance:</w:t>
      </w:r>
      <w:r>
        <w:t xml:space="preserve"> </w:t>
      </w:r>
      <w:r>
        <w:t xml:space="preserve">During training, minority classes were sampled more frequently so that the model learned all emotion classes more effectively.</w:t>
      </w:r>
    </w:p>
    <w:p>
      <w:r>
        <w:pict>
          <v:rect style="width:0;height:1.5pt" o:hralign="center" o:hrstd="t" o:hr="t"/>
        </w:pict>
      </w:r>
    </w:p>
    <w:bookmarkEnd w:id="18"/>
    <w:bookmarkStart w:id="19" w:name="conclusion"/>
    <w:p>
      <w:pPr>
        <w:pStyle w:val="Heading2"/>
      </w:pPr>
      <w:r>
        <w:t xml:space="preserve">Conclusion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VGG-16</w:t>
      </w:r>
      <w:r>
        <w:t xml:space="preserve"> </w:t>
      </w:r>
      <w:r>
        <w:t xml:space="preserve">achieved the best overall performance among all baseline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Swin Base</w:t>
      </w:r>
      <w:r>
        <w:t xml:space="preserve"> </w:t>
      </w:r>
      <w:r>
        <w:t xml:space="preserve">produced comparable accuracy, demonstrating the effectiveness of Transformer-based models.</w:t>
      </w:r>
    </w:p>
    <w:p>
      <w:pPr>
        <w:pStyle w:val="Compact"/>
        <w:numPr>
          <w:ilvl w:val="0"/>
          <w:numId w:val="1001"/>
        </w:numPr>
      </w:pPr>
      <w:r>
        <w:t xml:space="preserve">All baseline models achieved approximately 68-72% accuracy, indicating that further improvements require architectural innovation rather than simply changing the backbone.</w:t>
      </w:r>
    </w:p>
    <w:p>
      <w:pPr>
        <w:pStyle w:val="Compact"/>
        <w:numPr>
          <w:ilvl w:val="0"/>
          <w:numId w:val="1001"/>
        </w:numPr>
      </w:pPr>
      <w:r>
        <w:t xml:space="preserve">Based on these findings, the next stage of this research is to develop a proposed dual-stream architecture by combining CNN and Transformer features.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2026-08-02T19:20:54Z</dcterms:created>
  <dcterms:modified xsi:type="dcterms:W3CDTF">2026-08-02T19:20:54Z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